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F7163">
      <w:pPr>
        <w:widowControl/>
        <w:spacing w:line="600" w:lineRule="exact"/>
        <w:rPr>
          <w:rFonts w:hint="default" w:ascii="Times New Roman" w:hAnsi="Times New Roman" w:eastAsia="黑体" w:cs="Times New Roman"/>
          <w:sz w:val="32"/>
          <w:szCs w:val="32"/>
          <w:highlight w:val="none"/>
          <w:lang w:bidi="ar"/>
        </w:rPr>
      </w:pPr>
      <w:bookmarkStart w:id="8" w:name="_GoBack"/>
      <w:r>
        <w:rPr>
          <w:rFonts w:hint="default" w:ascii="Times New Roman" w:hAnsi="Times New Roman" w:eastAsia="黑体" w:cs="Times New Roman"/>
          <w:sz w:val="32"/>
          <w:szCs w:val="32"/>
          <w:highlight w:val="none"/>
          <w:lang w:bidi="ar"/>
        </w:rPr>
        <w:t>附件2</w:t>
      </w:r>
    </w:p>
    <w:p w14:paraId="2AFF8901">
      <w:pPr>
        <w:widowControl/>
        <w:spacing w:line="600" w:lineRule="exact"/>
        <w:jc w:val="center"/>
        <w:rPr>
          <w:rFonts w:hint="default" w:ascii="Times New Roman" w:hAnsi="Times New Roman" w:eastAsia="方正小标宋简体" w:cs="Times New Roman"/>
          <w:sz w:val="44"/>
          <w:szCs w:val="44"/>
          <w:highlight w:val="none"/>
          <w:lang w:bidi="ar"/>
        </w:rPr>
      </w:pPr>
      <w:r>
        <w:rPr>
          <w:rFonts w:hint="default" w:ascii="Times New Roman" w:hAnsi="Times New Roman" w:eastAsia="方正小标宋简体" w:cs="Times New Roman"/>
          <w:sz w:val="44"/>
          <w:szCs w:val="44"/>
          <w:highlight w:val="none"/>
          <w:lang w:bidi="ar"/>
        </w:rPr>
        <w:t>定点医疗机构医保信用评价指标</w:t>
      </w:r>
    </w:p>
    <w:bookmarkEnd w:id="8"/>
    <w:tbl>
      <w:tblPr>
        <w:tblStyle w:val="4"/>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794"/>
        <w:gridCol w:w="639"/>
        <w:gridCol w:w="809"/>
        <w:gridCol w:w="770"/>
        <w:gridCol w:w="6891"/>
        <w:gridCol w:w="874"/>
        <w:gridCol w:w="3011"/>
      </w:tblGrid>
      <w:tr w14:paraId="4C60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jc w:val="center"/>
        </w:trPr>
        <w:tc>
          <w:tcPr>
            <w:tcW w:w="276" w:type="pct"/>
            <w:noWrap w:val="0"/>
            <w:vAlign w:val="center"/>
          </w:tcPr>
          <w:p w14:paraId="7DE6C771">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一级指标</w:t>
            </w:r>
          </w:p>
        </w:tc>
        <w:tc>
          <w:tcPr>
            <w:tcW w:w="272" w:type="pct"/>
            <w:noWrap w:val="0"/>
            <w:vAlign w:val="center"/>
          </w:tcPr>
          <w:p w14:paraId="361B4DE8">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二级指标</w:t>
            </w:r>
          </w:p>
        </w:tc>
        <w:tc>
          <w:tcPr>
            <w:tcW w:w="218" w:type="pct"/>
            <w:noWrap w:val="0"/>
            <w:vAlign w:val="center"/>
          </w:tcPr>
          <w:p w14:paraId="2C94E4A0">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序号</w:t>
            </w:r>
          </w:p>
        </w:tc>
        <w:tc>
          <w:tcPr>
            <w:tcW w:w="276" w:type="pct"/>
            <w:noWrap w:val="0"/>
            <w:vAlign w:val="center"/>
          </w:tcPr>
          <w:p w14:paraId="6277E8FC">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三级指标</w:t>
            </w:r>
          </w:p>
        </w:tc>
        <w:tc>
          <w:tcPr>
            <w:tcW w:w="263" w:type="pct"/>
            <w:noWrap w:val="0"/>
            <w:vAlign w:val="center"/>
          </w:tcPr>
          <w:p w14:paraId="60BE3266">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指标性质</w:t>
            </w:r>
          </w:p>
        </w:tc>
        <w:tc>
          <w:tcPr>
            <w:tcW w:w="2360" w:type="pct"/>
            <w:noWrap w:val="0"/>
            <w:vAlign w:val="center"/>
          </w:tcPr>
          <w:p w14:paraId="098816A5">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评价内容及要求</w:t>
            </w:r>
          </w:p>
        </w:tc>
        <w:tc>
          <w:tcPr>
            <w:tcW w:w="299" w:type="pct"/>
            <w:noWrap w:val="0"/>
            <w:vAlign w:val="center"/>
          </w:tcPr>
          <w:p w14:paraId="283F59AD">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评价方法</w:t>
            </w:r>
          </w:p>
        </w:tc>
        <w:tc>
          <w:tcPr>
            <w:tcW w:w="1031" w:type="pct"/>
            <w:noWrap w:val="0"/>
            <w:vAlign w:val="center"/>
          </w:tcPr>
          <w:p w14:paraId="345F5FA7">
            <w:pPr>
              <w:widowControl/>
              <w:jc w:val="center"/>
              <w:textAlignment w:val="center"/>
              <w:rPr>
                <w:rFonts w:hint="default" w:ascii="Times New Roman" w:hAnsi="Times New Roman" w:eastAsia="黑体" w:cs="Times New Roman"/>
                <w:color w:val="000000"/>
                <w:kern w:val="0"/>
                <w:sz w:val="22"/>
                <w:highlight w:val="none"/>
                <w:lang w:bidi="ar"/>
              </w:rPr>
            </w:pPr>
            <w:r>
              <w:rPr>
                <w:rFonts w:hint="default" w:ascii="Times New Roman" w:hAnsi="Times New Roman" w:eastAsia="黑体" w:cs="Times New Roman"/>
                <w:color w:val="000000"/>
                <w:kern w:val="0"/>
                <w:sz w:val="22"/>
                <w:highlight w:val="none"/>
                <w:lang w:bidi="ar"/>
              </w:rPr>
              <w:t>评分标准</w:t>
            </w:r>
          </w:p>
        </w:tc>
      </w:tr>
      <w:tr w14:paraId="7D36C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276" w:type="pct"/>
            <w:vMerge w:val="restart"/>
            <w:noWrap w:val="0"/>
            <w:vAlign w:val="center"/>
          </w:tcPr>
          <w:p w14:paraId="1D3894E5">
            <w:pPr>
              <w:widowControl/>
              <w:jc w:val="center"/>
              <w:textAlignment w:val="center"/>
              <w:rPr>
                <w:rFonts w:hint="default" w:ascii="Times New Roman" w:hAnsi="Times New Roman" w:eastAsia="仿宋_GB2312" w:cs="Times New Roman"/>
                <w:color w:val="000000"/>
                <w:kern w:val="0"/>
                <w:sz w:val="22"/>
                <w:highlight w:val="none"/>
                <w:lang w:bidi="ar"/>
              </w:rPr>
            </w:pPr>
            <w:bookmarkStart w:id="0" w:name="OLE_LINK2"/>
            <w:r>
              <w:rPr>
                <w:rFonts w:hint="default" w:ascii="Times New Roman" w:hAnsi="Times New Roman" w:eastAsia="仿宋_GB2312" w:cs="Times New Roman"/>
                <w:color w:val="000000"/>
                <w:kern w:val="0"/>
                <w:sz w:val="22"/>
                <w:highlight w:val="none"/>
                <w:lang w:bidi="ar"/>
              </w:rPr>
              <w:t>协议履行</w:t>
            </w:r>
            <w:bookmarkEnd w:id="0"/>
          </w:p>
        </w:tc>
        <w:tc>
          <w:tcPr>
            <w:tcW w:w="272" w:type="pct"/>
            <w:vMerge w:val="restart"/>
            <w:noWrap w:val="0"/>
            <w:vAlign w:val="center"/>
          </w:tcPr>
          <w:p w14:paraId="0CEFA5C4">
            <w:pPr>
              <w:widowControl/>
              <w:jc w:val="center"/>
              <w:textAlignment w:val="center"/>
              <w:rPr>
                <w:rFonts w:hint="default" w:ascii="Times New Roman" w:hAnsi="Times New Roman" w:eastAsia="仿宋_GB2312" w:cs="Times New Roman"/>
                <w:color w:val="000000"/>
                <w:kern w:val="0"/>
                <w:sz w:val="22"/>
                <w:highlight w:val="none"/>
                <w:lang w:bidi="ar"/>
              </w:rPr>
            </w:pPr>
            <w:bookmarkStart w:id="1" w:name="OLE_LINK1"/>
            <w:r>
              <w:rPr>
                <w:rFonts w:hint="default" w:ascii="Times New Roman" w:hAnsi="Times New Roman" w:eastAsia="仿宋_GB2312" w:cs="Times New Roman"/>
                <w:color w:val="000000"/>
                <w:kern w:val="0"/>
                <w:sz w:val="22"/>
                <w:highlight w:val="none"/>
                <w:lang w:bidi="ar"/>
              </w:rPr>
              <w:t>基础管理</w:t>
            </w:r>
            <w:bookmarkEnd w:id="1"/>
          </w:p>
        </w:tc>
        <w:tc>
          <w:tcPr>
            <w:tcW w:w="218" w:type="pct"/>
            <w:noWrap w:val="0"/>
            <w:vAlign w:val="center"/>
          </w:tcPr>
          <w:p w14:paraId="7444DC3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w:t>
            </w:r>
          </w:p>
        </w:tc>
        <w:tc>
          <w:tcPr>
            <w:tcW w:w="276" w:type="pct"/>
            <w:noWrap w:val="0"/>
            <w:vAlign w:val="center"/>
          </w:tcPr>
          <w:p w14:paraId="208F5CF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机构设置</w:t>
            </w:r>
          </w:p>
        </w:tc>
        <w:tc>
          <w:tcPr>
            <w:tcW w:w="263" w:type="pct"/>
            <w:noWrap w:val="0"/>
            <w:vAlign w:val="center"/>
          </w:tcPr>
          <w:p w14:paraId="02D3FC0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7F2DE38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设立专门机构或者人员负责医疗保障基金使用管理工作。</w:t>
            </w:r>
          </w:p>
        </w:tc>
        <w:tc>
          <w:tcPr>
            <w:tcW w:w="299" w:type="pct"/>
            <w:noWrap w:val="0"/>
            <w:vAlign w:val="center"/>
          </w:tcPr>
          <w:p w14:paraId="52A4C1D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45DDBF05">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达不到要求扣10分。</w:t>
            </w:r>
          </w:p>
        </w:tc>
      </w:tr>
      <w:tr w14:paraId="602F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continue"/>
            <w:noWrap w:val="0"/>
            <w:vAlign w:val="center"/>
          </w:tcPr>
          <w:p w14:paraId="0525DC1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351061A8">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80696E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w:t>
            </w:r>
          </w:p>
        </w:tc>
        <w:tc>
          <w:tcPr>
            <w:tcW w:w="276" w:type="pct"/>
            <w:noWrap w:val="0"/>
            <w:vAlign w:val="center"/>
          </w:tcPr>
          <w:p w14:paraId="031601A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规章制度</w:t>
            </w:r>
          </w:p>
        </w:tc>
        <w:tc>
          <w:tcPr>
            <w:tcW w:w="263" w:type="pct"/>
            <w:noWrap w:val="0"/>
            <w:vAlign w:val="center"/>
          </w:tcPr>
          <w:p w14:paraId="396FBD2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4638804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建立与基本医疗保险管理相适应的内部管理制度，包括医保管理制度、财务制度、统计信息管理制度、医疗质量安全核心制度等。</w:t>
            </w:r>
          </w:p>
        </w:tc>
        <w:tc>
          <w:tcPr>
            <w:tcW w:w="299" w:type="pct"/>
            <w:noWrap w:val="0"/>
            <w:vAlign w:val="center"/>
          </w:tcPr>
          <w:p w14:paraId="4698A25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209DFA4">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每缺一项制度扣5分，最多扣20分。</w:t>
            </w:r>
          </w:p>
        </w:tc>
      </w:tr>
      <w:tr w14:paraId="245E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76" w:type="pct"/>
            <w:vMerge w:val="continue"/>
            <w:noWrap w:val="0"/>
            <w:vAlign w:val="center"/>
          </w:tcPr>
          <w:p w14:paraId="40B88F9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919E494">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294DF0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w:t>
            </w:r>
          </w:p>
        </w:tc>
        <w:tc>
          <w:tcPr>
            <w:tcW w:w="276" w:type="pct"/>
            <w:noWrap w:val="0"/>
            <w:vAlign w:val="center"/>
          </w:tcPr>
          <w:p w14:paraId="225A275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宣传培训</w:t>
            </w:r>
          </w:p>
        </w:tc>
        <w:tc>
          <w:tcPr>
            <w:tcW w:w="263" w:type="pct"/>
            <w:noWrap w:val="0"/>
            <w:vAlign w:val="center"/>
          </w:tcPr>
          <w:p w14:paraId="3BD01E8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5C24D547">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①开展医疗保障政策、就医和结算流程等宣传，并提供相关咨询服务，并及时更新宣传内容；</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②组织开展医疗保障基金相关制度、政策的培训；</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③参加由医疗保障行政部门或经办机构、稽核机构组织的宣传和培训。</w:t>
            </w:r>
          </w:p>
        </w:tc>
        <w:tc>
          <w:tcPr>
            <w:tcW w:w="299" w:type="pct"/>
            <w:noWrap w:val="0"/>
            <w:vAlign w:val="center"/>
          </w:tcPr>
          <w:p w14:paraId="7FF863D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6E6EC4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每项达不到要求扣5分。</w:t>
            </w:r>
          </w:p>
        </w:tc>
      </w:tr>
      <w:tr w14:paraId="5783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76" w:type="pct"/>
            <w:vMerge w:val="continue"/>
            <w:noWrap w:val="0"/>
            <w:vAlign w:val="center"/>
          </w:tcPr>
          <w:p w14:paraId="6C6951D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43ADA9D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0D7544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w:t>
            </w:r>
          </w:p>
        </w:tc>
        <w:tc>
          <w:tcPr>
            <w:tcW w:w="276" w:type="pct"/>
            <w:noWrap w:val="0"/>
            <w:vAlign w:val="center"/>
          </w:tcPr>
          <w:p w14:paraId="22264AB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信息系统</w:t>
            </w:r>
          </w:p>
        </w:tc>
        <w:tc>
          <w:tcPr>
            <w:tcW w:w="263" w:type="pct"/>
            <w:noWrap w:val="0"/>
            <w:vAlign w:val="center"/>
          </w:tcPr>
          <w:p w14:paraId="027A07A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4C3E0697">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①建立专门的信息化管理机构，配备专职人员，制定信息安全管理制度并有效执行，保障网络稳定畅通，严格执行信息保密制度；</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②医院HIS系统与医疗保险信息系统有效对接，并采用安全有效隔离措施实现与互联网物理隔离；</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 xml:space="preserve">③医院HIS系统与医保智能监控系统有效对接，并使医保智能监控规则嵌入医院信息系统，并实现应用； </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④按照规定通过医疗保障信息系统传送医疗保障基金使用有关数据。</w:t>
            </w:r>
          </w:p>
          <w:p w14:paraId="5AB31543">
            <w:pPr>
              <w:keepNext w:val="0"/>
              <w:keepLines w:val="0"/>
              <w:pageBreakBefore w:val="0"/>
              <w:widowControl/>
              <w:kinsoku/>
              <w:wordWrap/>
              <w:overflowPunct/>
              <w:topLinePunct w:val="0"/>
              <w:autoSpaceDE/>
              <w:autoSpaceDN/>
              <w:bidi w:val="0"/>
              <w:adjustRightInd/>
              <w:snapToGrid/>
              <w:spacing w:line="28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⑤按照规定全面采集应用药品耗材追溯码，做到应采尽采、应扫尽扫。</w:t>
            </w:r>
          </w:p>
        </w:tc>
        <w:tc>
          <w:tcPr>
            <w:tcW w:w="299" w:type="pct"/>
            <w:noWrap w:val="0"/>
            <w:vAlign w:val="center"/>
          </w:tcPr>
          <w:p w14:paraId="3427202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5E6B634E">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每项达不到要求扣10分。</w:t>
            </w:r>
          </w:p>
        </w:tc>
      </w:tr>
      <w:tr w14:paraId="69A5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76" w:type="pct"/>
            <w:vMerge w:val="continue"/>
            <w:noWrap w:val="0"/>
            <w:vAlign w:val="center"/>
          </w:tcPr>
          <w:p w14:paraId="30A6D550">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E35053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4087DB0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w:t>
            </w:r>
          </w:p>
        </w:tc>
        <w:tc>
          <w:tcPr>
            <w:tcW w:w="276" w:type="pct"/>
            <w:noWrap w:val="0"/>
            <w:vAlign w:val="center"/>
          </w:tcPr>
          <w:p w14:paraId="5DB613E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收费规定</w:t>
            </w:r>
          </w:p>
        </w:tc>
        <w:tc>
          <w:tcPr>
            <w:tcW w:w="263" w:type="pct"/>
            <w:noWrap w:val="0"/>
            <w:vAlign w:val="center"/>
          </w:tcPr>
          <w:p w14:paraId="6AF37CC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59269CC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①医疗服务项目价格严格按照协议条款执行；</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②执行价格有关法律规定，在收费场所显著位置明码标价；</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③市场调节价和自主定价项目应做好知情告知，不得纳入医保支付。</w:t>
            </w:r>
          </w:p>
        </w:tc>
        <w:tc>
          <w:tcPr>
            <w:tcW w:w="299" w:type="pct"/>
            <w:noWrap w:val="0"/>
            <w:vAlign w:val="center"/>
          </w:tcPr>
          <w:p w14:paraId="2E9E2CC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3232F8C">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每项达不到要求扣10分。</w:t>
            </w:r>
          </w:p>
        </w:tc>
      </w:tr>
      <w:tr w14:paraId="19E9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continue"/>
            <w:noWrap w:val="0"/>
            <w:vAlign w:val="center"/>
          </w:tcPr>
          <w:p w14:paraId="0F25AB9F">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79B412B0">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411FF5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6</w:t>
            </w:r>
          </w:p>
        </w:tc>
        <w:tc>
          <w:tcPr>
            <w:tcW w:w="276" w:type="pct"/>
            <w:noWrap w:val="0"/>
            <w:vAlign w:val="center"/>
          </w:tcPr>
          <w:p w14:paraId="605456B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医保编码</w:t>
            </w:r>
          </w:p>
        </w:tc>
        <w:tc>
          <w:tcPr>
            <w:tcW w:w="263" w:type="pct"/>
            <w:noWrap w:val="0"/>
            <w:vAlign w:val="center"/>
          </w:tcPr>
          <w:p w14:paraId="48D0D2A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08CA4A3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①及时做好定点医疗机构、医师、护士等医保编码工作，及时入库，动态调整，国家赋码后同步更新；</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②配合做好三目录、费用结算清单等国家统一编码落地实施工作。</w:t>
            </w:r>
          </w:p>
        </w:tc>
        <w:tc>
          <w:tcPr>
            <w:tcW w:w="299" w:type="pct"/>
            <w:noWrap w:val="0"/>
            <w:vAlign w:val="center"/>
          </w:tcPr>
          <w:p w14:paraId="1AEA96D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7C6675BE">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每项达不到要求扣10分。</w:t>
            </w:r>
          </w:p>
        </w:tc>
      </w:tr>
      <w:tr w14:paraId="2371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276" w:type="pct"/>
            <w:vMerge w:val="restart"/>
            <w:noWrap w:val="0"/>
            <w:vAlign w:val="center"/>
          </w:tcPr>
          <w:p w14:paraId="61311EF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581BD46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基础管理</w:t>
            </w:r>
          </w:p>
        </w:tc>
        <w:tc>
          <w:tcPr>
            <w:tcW w:w="218" w:type="pct"/>
            <w:noWrap w:val="0"/>
            <w:vAlign w:val="center"/>
          </w:tcPr>
          <w:p w14:paraId="724061D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7</w:t>
            </w:r>
          </w:p>
        </w:tc>
        <w:tc>
          <w:tcPr>
            <w:tcW w:w="276" w:type="pct"/>
            <w:noWrap w:val="0"/>
            <w:vAlign w:val="center"/>
          </w:tcPr>
          <w:p w14:paraId="7B229C5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报送制度</w:t>
            </w:r>
          </w:p>
        </w:tc>
        <w:tc>
          <w:tcPr>
            <w:tcW w:w="263" w:type="pct"/>
            <w:noWrap w:val="0"/>
            <w:vAlign w:val="center"/>
          </w:tcPr>
          <w:p w14:paraId="1919BD1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7886E8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①按照规定及时准确报送各类统计报表、年度工作总结等；</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②按照规定向医疗保障行政部门报告医疗保障基金使用监督管理所需信息；</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③按照规定向社会公开医药费用、费用结构等信息。</w:t>
            </w:r>
          </w:p>
        </w:tc>
        <w:tc>
          <w:tcPr>
            <w:tcW w:w="299" w:type="pct"/>
            <w:noWrap w:val="0"/>
            <w:vAlign w:val="center"/>
          </w:tcPr>
          <w:p w14:paraId="3693221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4D3379F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未按规定报送的，每次扣5分，最多扣15分。</w:t>
            </w:r>
          </w:p>
        </w:tc>
      </w:tr>
      <w:tr w14:paraId="7CEC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jc w:val="center"/>
        </w:trPr>
        <w:tc>
          <w:tcPr>
            <w:tcW w:w="276" w:type="pct"/>
            <w:vMerge w:val="continue"/>
            <w:noWrap w:val="0"/>
            <w:vAlign w:val="center"/>
          </w:tcPr>
          <w:p w14:paraId="03B95298">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8D118F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094AB85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8</w:t>
            </w:r>
          </w:p>
        </w:tc>
        <w:tc>
          <w:tcPr>
            <w:tcW w:w="276" w:type="pct"/>
            <w:noWrap w:val="0"/>
            <w:vAlign w:val="center"/>
          </w:tcPr>
          <w:p w14:paraId="4511087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凭证管理</w:t>
            </w:r>
          </w:p>
        </w:tc>
        <w:tc>
          <w:tcPr>
            <w:tcW w:w="263" w:type="pct"/>
            <w:noWrap w:val="0"/>
            <w:vAlign w:val="center"/>
          </w:tcPr>
          <w:p w14:paraId="7EAE7DA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0DD8BE7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按照规定保管财务账目、会计凭证、处方、病历、治疗检查记录、费用明细、药品和医用耗材出入库记录等资料。</w:t>
            </w:r>
          </w:p>
        </w:tc>
        <w:tc>
          <w:tcPr>
            <w:tcW w:w="299" w:type="pct"/>
            <w:noWrap w:val="0"/>
            <w:vAlign w:val="center"/>
          </w:tcPr>
          <w:p w14:paraId="57D0AD8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5F6F8B4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未按规定保管的，每项扣5分，最多扣40分。</w:t>
            </w:r>
          </w:p>
        </w:tc>
      </w:tr>
      <w:tr w14:paraId="55C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276" w:type="pct"/>
            <w:vMerge w:val="continue"/>
            <w:noWrap w:val="0"/>
            <w:vAlign w:val="center"/>
          </w:tcPr>
          <w:p w14:paraId="0B02CC1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622BE854">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BEF7AF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9</w:t>
            </w:r>
          </w:p>
        </w:tc>
        <w:tc>
          <w:tcPr>
            <w:tcW w:w="276" w:type="pct"/>
            <w:noWrap w:val="0"/>
            <w:vAlign w:val="center"/>
          </w:tcPr>
          <w:p w14:paraId="3F5B7AB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变更备案</w:t>
            </w:r>
          </w:p>
        </w:tc>
        <w:tc>
          <w:tcPr>
            <w:tcW w:w="263" w:type="pct"/>
            <w:noWrap w:val="0"/>
            <w:vAlign w:val="center"/>
          </w:tcPr>
          <w:p w14:paraId="5B6A60C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9A32A1A">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机构名称、执业地址等发生变化时，及时向医疗保障部门提供相关材料备案，申请变更。</w:t>
            </w:r>
          </w:p>
        </w:tc>
        <w:tc>
          <w:tcPr>
            <w:tcW w:w="299" w:type="pct"/>
            <w:noWrap w:val="0"/>
            <w:vAlign w:val="center"/>
          </w:tcPr>
          <w:p w14:paraId="21E034D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4E056DA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发生变更未按规定办理相关手续的，发现一次扣10分</w:t>
            </w:r>
          </w:p>
        </w:tc>
      </w:tr>
      <w:tr w14:paraId="02A9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276" w:type="pct"/>
            <w:vMerge w:val="continue"/>
            <w:noWrap w:val="0"/>
            <w:vAlign w:val="center"/>
          </w:tcPr>
          <w:p w14:paraId="472EA1BF">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center"/>
          </w:tcPr>
          <w:p w14:paraId="515BF4F1">
            <w:pPr>
              <w:widowControl/>
              <w:jc w:val="center"/>
              <w:textAlignment w:val="center"/>
              <w:rPr>
                <w:rFonts w:hint="default" w:ascii="Times New Roman" w:hAnsi="Times New Roman" w:eastAsia="仿宋_GB2312" w:cs="Times New Roman"/>
                <w:color w:val="000000"/>
                <w:kern w:val="0"/>
                <w:sz w:val="22"/>
                <w:highlight w:val="none"/>
                <w:lang w:bidi="ar"/>
              </w:rPr>
            </w:pPr>
            <w:bookmarkStart w:id="2" w:name="OLE_LINK3"/>
            <w:r>
              <w:rPr>
                <w:rFonts w:hint="default" w:ascii="Times New Roman" w:hAnsi="Times New Roman" w:eastAsia="仿宋_GB2312" w:cs="Times New Roman"/>
                <w:color w:val="000000"/>
                <w:kern w:val="0"/>
                <w:sz w:val="22"/>
                <w:highlight w:val="none"/>
                <w:lang w:bidi="ar"/>
              </w:rPr>
              <w:t>费用控制</w:t>
            </w:r>
            <w:bookmarkEnd w:id="2"/>
          </w:p>
        </w:tc>
        <w:tc>
          <w:tcPr>
            <w:tcW w:w="218" w:type="pct"/>
            <w:noWrap w:val="0"/>
            <w:vAlign w:val="center"/>
          </w:tcPr>
          <w:p w14:paraId="120122D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10</w:t>
            </w:r>
          </w:p>
        </w:tc>
        <w:tc>
          <w:tcPr>
            <w:tcW w:w="276" w:type="pct"/>
            <w:noWrap w:val="0"/>
            <w:vAlign w:val="center"/>
          </w:tcPr>
          <w:p w14:paraId="38B4F21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门诊次均费用增长率</w:t>
            </w:r>
          </w:p>
        </w:tc>
        <w:tc>
          <w:tcPr>
            <w:tcW w:w="263" w:type="pct"/>
            <w:noWrap w:val="0"/>
            <w:vAlign w:val="center"/>
          </w:tcPr>
          <w:p w14:paraId="31DF8D7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181E6BC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年度门诊次均费用=年度门诊费用总额/年度门诊总人次</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门诊次均费用增长率=(本年度门诊次均费用-上年度门诊次均费用)/上年度门诊次均费用×100%</w:t>
            </w:r>
          </w:p>
        </w:tc>
        <w:tc>
          <w:tcPr>
            <w:tcW w:w="299" w:type="pct"/>
            <w:noWrap w:val="0"/>
            <w:vAlign w:val="center"/>
          </w:tcPr>
          <w:p w14:paraId="1155A31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线上考核</w:t>
            </w:r>
          </w:p>
        </w:tc>
        <w:tc>
          <w:tcPr>
            <w:tcW w:w="1031" w:type="pct"/>
            <w:noWrap w:val="0"/>
            <w:vAlign w:val="center"/>
          </w:tcPr>
          <w:p w14:paraId="05E3EBA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1.包括门诊统筹和门诊慢特病。</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2.根据本地同级定点医疗机构增长率分布情况，从低到高依次平均划分为三个区间，第一区间得满分；第二区间扣10分；第三区间扣20分。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3.对于增长率分布离散程度较大的，划分区间时可剔除部分过高或过低的数据。过低的增长率参照第一区间评分，过高的增长率参照第三区间评分。</w:t>
            </w:r>
          </w:p>
        </w:tc>
      </w:tr>
      <w:tr w14:paraId="6E69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restart"/>
            <w:noWrap w:val="0"/>
            <w:vAlign w:val="center"/>
          </w:tcPr>
          <w:p w14:paraId="5D7B32D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4231860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费用控制</w:t>
            </w:r>
          </w:p>
        </w:tc>
        <w:tc>
          <w:tcPr>
            <w:tcW w:w="218" w:type="pct"/>
            <w:noWrap w:val="0"/>
            <w:vAlign w:val="center"/>
          </w:tcPr>
          <w:p w14:paraId="2D0843D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11</w:t>
            </w:r>
          </w:p>
        </w:tc>
        <w:tc>
          <w:tcPr>
            <w:tcW w:w="276" w:type="pct"/>
            <w:noWrap w:val="0"/>
            <w:vAlign w:val="center"/>
          </w:tcPr>
          <w:p w14:paraId="62341F8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门诊目录外自费率</w:t>
            </w:r>
          </w:p>
        </w:tc>
        <w:tc>
          <w:tcPr>
            <w:tcW w:w="263" w:type="pct"/>
            <w:noWrap w:val="0"/>
            <w:vAlign w:val="center"/>
          </w:tcPr>
          <w:p w14:paraId="7E79499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2CF1FDC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门诊目录外自费率=门诊全额自费项目总额/门诊费用总额×100%</w:t>
            </w:r>
          </w:p>
        </w:tc>
        <w:tc>
          <w:tcPr>
            <w:tcW w:w="299" w:type="pct"/>
            <w:noWrap w:val="0"/>
            <w:vAlign w:val="center"/>
          </w:tcPr>
          <w:p w14:paraId="249AA33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线上考核</w:t>
            </w:r>
          </w:p>
        </w:tc>
        <w:tc>
          <w:tcPr>
            <w:tcW w:w="1031" w:type="pct"/>
            <w:noWrap w:val="0"/>
            <w:vAlign w:val="center"/>
          </w:tcPr>
          <w:p w14:paraId="5B11D1F4">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1.包括门诊统筹和门诊慢特病</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2.最小值低优，根据本地同级定点医疗机构自费率情况，合理设置一个低位区间，每高于该区间1个百分点扣2分，最多扣30分。</w:t>
            </w:r>
          </w:p>
        </w:tc>
      </w:tr>
      <w:tr w14:paraId="2848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76" w:type="pct"/>
            <w:vMerge w:val="continue"/>
            <w:noWrap w:val="0"/>
            <w:vAlign w:val="center"/>
          </w:tcPr>
          <w:p w14:paraId="73F2C14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1EDD898">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48AC338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12</w:t>
            </w:r>
          </w:p>
        </w:tc>
        <w:tc>
          <w:tcPr>
            <w:tcW w:w="276" w:type="pct"/>
            <w:noWrap w:val="0"/>
            <w:vAlign w:val="center"/>
          </w:tcPr>
          <w:p w14:paraId="0E34D58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住院次均费用增长率</w:t>
            </w:r>
          </w:p>
        </w:tc>
        <w:tc>
          <w:tcPr>
            <w:tcW w:w="263" w:type="pct"/>
            <w:noWrap w:val="0"/>
            <w:vAlign w:val="center"/>
          </w:tcPr>
          <w:p w14:paraId="72555F7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052425F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年度住院次均费用=年度住院费用总额/年度住院总人次</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住院次均费用增长率=(本年度住院次均费用-上年度住院次均费用)/上年度住院次均费用×100%</w:t>
            </w:r>
          </w:p>
        </w:tc>
        <w:tc>
          <w:tcPr>
            <w:tcW w:w="299" w:type="pct"/>
            <w:noWrap w:val="0"/>
            <w:vAlign w:val="center"/>
          </w:tcPr>
          <w:p w14:paraId="1C58290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线上考核</w:t>
            </w:r>
          </w:p>
        </w:tc>
        <w:tc>
          <w:tcPr>
            <w:tcW w:w="1031" w:type="pct"/>
            <w:noWrap w:val="0"/>
            <w:vAlign w:val="center"/>
          </w:tcPr>
          <w:p w14:paraId="1EA4C550">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w:t>
            </w:r>
            <w:r>
              <w:rPr>
                <w:rFonts w:hint="default" w:ascii="Times New Roman" w:hAnsi="Times New Roman" w:eastAsia="仿宋_GB2312" w:cs="Times New Roman"/>
                <w:color w:val="000000"/>
                <w:kern w:val="0"/>
                <w:sz w:val="22"/>
                <w:highlight w:val="none"/>
                <w:lang w:eastAsia="zh-CN" w:bidi="ar"/>
              </w:rPr>
              <w:t>.</w:t>
            </w:r>
            <w:r>
              <w:rPr>
                <w:rFonts w:hint="default" w:ascii="Times New Roman" w:hAnsi="Times New Roman" w:eastAsia="仿宋_GB2312" w:cs="Times New Roman"/>
                <w:color w:val="000000"/>
                <w:kern w:val="0"/>
                <w:sz w:val="22"/>
                <w:highlight w:val="none"/>
                <w:lang w:bidi="ar"/>
              </w:rPr>
              <w:t>根据本地同级定点医疗机构增长率分布情况，从低到高依次平均划分为三个区间，第一区间得满分；第二区间扣10分；第三区间扣20分。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2.对于增长率分布离散程度较大的，划分区间时可剔除部分过高或过低的数据。过低的增长率参照第一区间评分，过高的增长率参照第三区间评分。</w:t>
            </w:r>
          </w:p>
        </w:tc>
      </w:tr>
      <w:tr w14:paraId="6830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276" w:type="pct"/>
            <w:vMerge w:val="continue"/>
            <w:noWrap w:val="0"/>
            <w:vAlign w:val="center"/>
          </w:tcPr>
          <w:p w14:paraId="449F1969">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72D227A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48F540C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13</w:t>
            </w:r>
          </w:p>
        </w:tc>
        <w:tc>
          <w:tcPr>
            <w:tcW w:w="276" w:type="pct"/>
            <w:noWrap w:val="0"/>
            <w:vAlign w:val="center"/>
          </w:tcPr>
          <w:p w14:paraId="5D5187C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住院率增幅</w:t>
            </w:r>
          </w:p>
        </w:tc>
        <w:tc>
          <w:tcPr>
            <w:tcW w:w="263" w:type="pct"/>
            <w:noWrap w:val="0"/>
            <w:vAlign w:val="center"/>
          </w:tcPr>
          <w:p w14:paraId="138CED6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36C5183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住院率=年度出院人次数/年度门诊就医人次数×100%</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住院率增幅=丨本年度住院率-上年度住院率丨</w:t>
            </w:r>
          </w:p>
        </w:tc>
        <w:tc>
          <w:tcPr>
            <w:tcW w:w="299" w:type="pct"/>
            <w:noWrap w:val="0"/>
            <w:vAlign w:val="center"/>
          </w:tcPr>
          <w:p w14:paraId="06EB567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线上考核</w:t>
            </w:r>
          </w:p>
        </w:tc>
        <w:tc>
          <w:tcPr>
            <w:tcW w:w="1031" w:type="pct"/>
            <w:noWrap w:val="0"/>
            <w:vAlign w:val="center"/>
          </w:tcPr>
          <w:p w14:paraId="382FE5DC">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1.根据本地同级定点医疗机构住院率增幅分布情况，从低到高依次平均划分为三个区间，第一区间得满分；第二区间扣10分；第三区间扣20分。(受政策影响较大的酌情扣分)。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2.对于住院率分布离散程度较大的，划分区间时可剔除部分过高或过低的数据。过低的增幅参照第一区间评分，过高的增幅参照第三区间评分。</w:t>
            </w:r>
          </w:p>
        </w:tc>
      </w:tr>
      <w:tr w14:paraId="25F6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restart"/>
            <w:noWrap w:val="0"/>
            <w:vAlign w:val="center"/>
          </w:tcPr>
          <w:p w14:paraId="04CB457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7939A6F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费用控制</w:t>
            </w:r>
          </w:p>
        </w:tc>
        <w:tc>
          <w:tcPr>
            <w:tcW w:w="218" w:type="pct"/>
            <w:noWrap w:val="0"/>
            <w:vAlign w:val="center"/>
          </w:tcPr>
          <w:p w14:paraId="125012B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14</w:t>
            </w:r>
          </w:p>
        </w:tc>
        <w:tc>
          <w:tcPr>
            <w:tcW w:w="276" w:type="pct"/>
            <w:noWrap w:val="0"/>
            <w:vAlign w:val="center"/>
          </w:tcPr>
          <w:p w14:paraId="1009C63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住院目录外自费率</w:t>
            </w:r>
          </w:p>
        </w:tc>
        <w:tc>
          <w:tcPr>
            <w:tcW w:w="263" w:type="pct"/>
            <w:noWrap w:val="0"/>
            <w:vAlign w:val="center"/>
          </w:tcPr>
          <w:p w14:paraId="4A1B1B5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4D82324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住院目录外自费率=住院全额自费项目总额/住院费用总额×100%</w:t>
            </w:r>
          </w:p>
        </w:tc>
        <w:tc>
          <w:tcPr>
            <w:tcW w:w="299" w:type="pct"/>
            <w:noWrap w:val="0"/>
            <w:vAlign w:val="center"/>
          </w:tcPr>
          <w:p w14:paraId="7309B88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线上考核</w:t>
            </w:r>
          </w:p>
        </w:tc>
        <w:tc>
          <w:tcPr>
            <w:tcW w:w="1031" w:type="pct"/>
            <w:noWrap w:val="0"/>
            <w:vAlign w:val="center"/>
          </w:tcPr>
          <w:p w14:paraId="643DEF9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根据本地同级定点医疗机构自费率情况，合理设置一个低位区间，每高于该区间1个百分点扣2分，最多扣30分。</w:t>
            </w:r>
          </w:p>
        </w:tc>
      </w:tr>
      <w:tr w14:paraId="4A63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276" w:type="pct"/>
            <w:vMerge w:val="continue"/>
            <w:noWrap w:val="0"/>
            <w:vAlign w:val="center"/>
          </w:tcPr>
          <w:p w14:paraId="2A50F3B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E6BB187">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60F7A96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15</w:t>
            </w:r>
          </w:p>
        </w:tc>
        <w:tc>
          <w:tcPr>
            <w:tcW w:w="276" w:type="pct"/>
            <w:noWrap w:val="0"/>
            <w:vAlign w:val="center"/>
          </w:tcPr>
          <w:p w14:paraId="5B94F28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医疗费用总额增长率</w:t>
            </w:r>
          </w:p>
        </w:tc>
        <w:tc>
          <w:tcPr>
            <w:tcW w:w="263" w:type="pct"/>
            <w:noWrap w:val="0"/>
            <w:vAlign w:val="center"/>
          </w:tcPr>
          <w:p w14:paraId="4FEA96E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5382117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医疗费用总额增长率=(本年度医疗费用总额-上年度医疗费用总额)/上年度医疗费用总额×100%</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排除合理因素(新增就医人次、医疗服务价格调整、重病患者比例高等)影响。</w:t>
            </w:r>
          </w:p>
        </w:tc>
        <w:tc>
          <w:tcPr>
            <w:tcW w:w="299" w:type="pct"/>
            <w:noWrap w:val="0"/>
            <w:vAlign w:val="center"/>
          </w:tcPr>
          <w:p w14:paraId="3C70605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线上考核</w:t>
            </w:r>
          </w:p>
        </w:tc>
        <w:tc>
          <w:tcPr>
            <w:tcW w:w="1031" w:type="pct"/>
            <w:noWrap w:val="0"/>
            <w:vAlign w:val="center"/>
          </w:tcPr>
          <w:p w14:paraId="0BC66017">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1.医疗费用总额由普通门(急)诊、门诊慢特病、住院费用组成。</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2.根据本地同级定点医疗机构增长率分布情况，从低到高依次平均划分为四个区间，第一区间得满分；第二区间扣10分；第三区间扣20分，第四区间扣30分。原则上，增长率第一区间最低值不应大于本地物价上涨指数。</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3.对于增长率分布离散程度较大的，划分区间时可剔除部分过高或过低的数据。过低的增长率参照第一区间评分，过高的增长率参照第三区间评分。</w:t>
            </w:r>
          </w:p>
        </w:tc>
      </w:tr>
      <w:tr w14:paraId="4DE6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478690B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29DFF35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453F5A8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16</w:t>
            </w:r>
          </w:p>
        </w:tc>
        <w:tc>
          <w:tcPr>
            <w:tcW w:w="276" w:type="pct"/>
            <w:noWrap w:val="0"/>
            <w:vAlign w:val="center"/>
          </w:tcPr>
          <w:p w14:paraId="5492254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费用分析制度</w:t>
            </w:r>
          </w:p>
        </w:tc>
        <w:tc>
          <w:tcPr>
            <w:tcW w:w="263" w:type="pct"/>
            <w:noWrap w:val="0"/>
            <w:vAlign w:val="center"/>
          </w:tcPr>
          <w:p w14:paraId="1E2CD51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5E9FF77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根据要求建立院内医疗费用分析制度，合理科学设置各项指标，定期向医保经办机构说明医疗费用的管控情况。</w:t>
            </w:r>
          </w:p>
        </w:tc>
        <w:tc>
          <w:tcPr>
            <w:tcW w:w="299" w:type="pct"/>
            <w:noWrap w:val="0"/>
            <w:vAlign w:val="center"/>
          </w:tcPr>
          <w:p w14:paraId="4DE4E1E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5D31FC54">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未按规定建立的扣5分，未定期向医保经办机构说明的扣5分，最多扣10分。</w:t>
            </w:r>
          </w:p>
        </w:tc>
      </w:tr>
      <w:tr w14:paraId="13D4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76" w:type="pct"/>
            <w:vMerge w:val="continue"/>
            <w:noWrap w:val="0"/>
            <w:vAlign w:val="center"/>
          </w:tcPr>
          <w:p w14:paraId="5CEC9D13">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center"/>
          </w:tcPr>
          <w:p w14:paraId="1C3E9FCE">
            <w:pPr>
              <w:widowControl/>
              <w:jc w:val="center"/>
              <w:textAlignment w:val="center"/>
              <w:rPr>
                <w:rFonts w:hint="default" w:ascii="Times New Roman" w:hAnsi="Times New Roman" w:eastAsia="仿宋_GB2312" w:cs="Times New Roman"/>
                <w:color w:val="000000"/>
                <w:kern w:val="0"/>
                <w:sz w:val="22"/>
                <w:highlight w:val="none"/>
                <w:lang w:bidi="ar"/>
              </w:rPr>
            </w:pPr>
            <w:bookmarkStart w:id="3" w:name="OLE_LINK4"/>
            <w:r>
              <w:rPr>
                <w:rFonts w:hint="default" w:ascii="Times New Roman" w:hAnsi="Times New Roman" w:eastAsia="仿宋_GB2312" w:cs="Times New Roman"/>
                <w:color w:val="000000"/>
                <w:kern w:val="0"/>
                <w:sz w:val="22"/>
                <w:highlight w:val="none"/>
                <w:lang w:bidi="ar"/>
              </w:rPr>
              <w:t>行为规范</w:t>
            </w:r>
            <w:bookmarkEnd w:id="3"/>
          </w:p>
        </w:tc>
        <w:tc>
          <w:tcPr>
            <w:tcW w:w="218" w:type="pct"/>
            <w:noWrap w:val="0"/>
            <w:vAlign w:val="center"/>
          </w:tcPr>
          <w:p w14:paraId="4CD097A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17</w:t>
            </w:r>
          </w:p>
        </w:tc>
        <w:tc>
          <w:tcPr>
            <w:tcW w:w="276" w:type="pct"/>
            <w:noWrap w:val="0"/>
            <w:vAlign w:val="center"/>
          </w:tcPr>
          <w:p w14:paraId="5E3A3BB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就医核验</w:t>
            </w:r>
          </w:p>
        </w:tc>
        <w:tc>
          <w:tcPr>
            <w:tcW w:w="263" w:type="pct"/>
            <w:noWrap w:val="0"/>
            <w:vAlign w:val="center"/>
          </w:tcPr>
          <w:p w14:paraId="42B3634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03AE69AA">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①对就诊的参保人进行身份识别，查验参保人身份证、医保凭证等，确保人证一致；</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②非经医保经办机构书面授权，不得以任何理由收集、留存参保人员医疗保障有效凭证。</w:t>
            </w:r>
          </w:p>
        </w:tc>
        <w:tc>
          <w:tcPr>
            <w:tcW w:w="299" w:type="pct"/>
            <w:noWrap w:val="0"/>
            <w:vAlign w:val="center"/>
          </w:tcPr>
          <w:p w14:paraId="643E44A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日常考核</w:t>
            </w:r>
          </w:p>
        </w:tc>
        <w:tc>
          <w:tcPr>
            <w:tcW w:w="1031" w:type="pct"/>
            <w:noWrap w:val="0"/>
            <w:vAlign w:val="center"/>
          </w:tcPr>
          <w:p w14:paraId="046276FA">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未按规定执行而出现冒名就医的，每例扣5分；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未按规定收集、留存参保人员医疗保障有效凭证的，每例扣2分。本项最多扣20分。</w:t>
            </w:r>
          </w:p>
        </w:tc>
      </w:tr>
      <w:tr w14:paraId="5421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restart"/>
            <w:noWrap w:val="0"/>
            <w:vAlign w:val="center"/>
          </w:tcPr>
          <w:p w14:paraId="36AC014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5ED0C74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行为规范</w:t>
            </w:r>
          </w:p>
        </w:tc>
        <w:tc>
          <w:tcPr>
            <w:tcW w:w="218" w:type="pct"/>
            <w:noWrap w:val="0"/>
            <w:vAlign w:val="center"/>
          </w:tcPr>
          <w:p w14:paraId="6C6D3B8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18</w:t>
            </w:r>
          </w:p>
        </w:tc>
        <w:tc>
          <w:tcPr>
            <w:tcW w:w="276" w:type="pct"/>
            <w:noWrap w:val="0"/>
            <w:vAlign w:val="center"/>
          </w:tcPr>
          <w:p w14:paraId="2647878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资格认定</w:t>
            </w:r>
          </w:p>
        </w:tc>
        <w:tc>
          <w:tcPr>
            <w:tcW w:w="263" w:type="pct"/>
            <w:noWrap w:val="0"/>
            <w:vAlign w:val="center"/>
          </w:tcPr>
          <w:p w14:paraId="5EA1954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F89E74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做好门诊慢特病资格认定和信息备案工作，由专人负责，制定行之有效的门诊慢特病管理制度和工作程序。</w:t>
            </w:r>
          </w:p>
        </w:tc>
        <w:tc>
          <w:tcPr>
            <w:tcW w:w="299" w:type="pct"/>
            <w:noWrap w:val="0"/>
            <w:vAlign w:val="center"/>
          </w:tcPr>
          <w:p w14:paraId="55F5C3F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50DCD8D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未配备专人负责的扣5分，未按规定建立门诊慢特病管理制度和工作程序的扣15分。</w:t>
            </w:r>
          </w:p>
        </w:tc>
      </w:tr>
      <w:tr w14:paraId="441A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continue"/>
            <w:noWrap w:val="0"/>
            <w:vAlign w:val="center"/>
          </w:tcPr>
          <w:p w14:paraId="6D18B90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46A5EA4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BC9576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19</w:t>
            </w:r>
          </w:p>
        </w:tc>
        <w:tc>
          <w:tcPr>
            <w:tcW w:w="276" w:type="pct"/>
            <w:noWrap w:val="0"/>
            <w:vAlign w:val="center"/>
          </w:tcPr>
          <w:p w14:paraId="7D191CB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知情同意</w:t>
            </w:r>
          </w:p>
        </w:tc>
        <w:tc>
          <w:tcPr>
            <w:tcW w:w="263" w:type="pct"/>
            <w:noWrap w:val="0"/>
            <w:vAlign w:val="center"/>
          </w:tcPr>
          <w:p w14:paraId="1BCA145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604D68B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①因住院病情需要使用医保目录外药品或诊疗项目的，应书面告知参保人，严格执行全额自费项目知情同意签字制度；</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②能够向参保人员提供门诊、住院费用结算清单和住院日费用清单。</w:t>
            </w:r>
          </w:p>
        </w:tc>
        <w:tc>
          <w:tcPr>
            <w:tcW w:w="299" w:type="pct"/>
            <w:noWrap w:val="0"/>
            <w:vAlign w:val="center"/>
          </w:tcPr>
          <w:p w14:paraId="4716C1E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02278DB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除急诊、抢救等特殊情形外，自费项目未经参保患者签字同意的每例扣5分，未按规定提供费用清单的每例扣5分。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本项最多扣20分。</w:t>
            </w:r>
          </w:p>
        </w:tc>
      </w:tr>
      <w:tr w14:paraId="75B9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7466EEC8">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26C7C50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59BB27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20</w:t>
            </w:r>
          </w:p>
        </w:tc>
        <w:tc>
          <w:tcPr>
            <w:tcW w:w="276" w:type="pct"/>
            <w:noWrap w:val="0"/>
            <w:vAlign w:val="center"/>
          </w:tcPr>
          <w:p w14:paraId="7B95824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处方流转</w:t>
            </w:r>
          </w:p>
        </w:tc>
        <w:tc>
          <w:tcPr>
            <w:tcW w:w="263" w:type="pct"/>
            <w:noWrap w:val="0"/>
            <w:vAlign w:val="center"/>
          </w:tcPr>
          <w:p w14:paraId="4D70B5C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0F8584C">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严格执行门诊处方外配制度，参保人员要求到定点零售药店购药时，不得以任何理由拒绝，并及时为患者办理必要的门诊处方外配手续。</w:t>
            </w:r>
          </w:p>
        </w:tc>
        <w:tc>
          <w:tcPr>
            <w:tcW w:w="299" w:type="pct"/>
            <w:noWrap w:val="0"/>
            <w:vAlign w:val="center"/>
          </w:tcPr>
          <w:p w14:paraId="4479180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3B16D4A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未按规定执行的不得分，执行不好的视情况扣5分-10分。</w:t>
            </w:r>
          </w:p>
        </w:tc>
      </w:tr>
      <w:tr w14:paraId="0788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76" w:type="pct"/>
            <w:vMerge w:val="continue"/>
            <w:noWrap w:val="0"/>
            <w:vAlign w:val="center"/>
          </w:tcPr>
          <w:p w14:paraId="4E54E04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4EE4591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6098D21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21</w:t>
            </w:r>
          </w:p>
        </w:tc>
        <w:tc>
          <w:tcPr>
            <w:tcW w:w="276" w:type="pct"/>
            <w:noWrap w:val="0"/>
            <w:vAlign w:val="center"/>
          </w:tcPr>
          <w:p w14:paraId="1FA8D95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异地就医</w:t>
            </w:r>
          </w:p>
        </w:tc>
        <w:tc>
          <w:tcPr>
            <w:tcW w:w="263" w:type="pct"/>
            <w:noWrap w:val="0"/>
            <w:vAlign w:val="center"/>
          </w:tcPr>
          <w:p w14:paraId="6AAAF03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DC78EB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按规定对异地就医参保人员提供合理的医疗服务，办理联网结算，与当地参保人一并纳入医保管理服务，执行就医地DRG支付结算标准，无正当理由不得拒绝为异地参保人员即时结算费用。</w:t>
            </w:r>
          </w:p>
        </w:tc>
        <w:tc>
          <w:tcPr>
            <w:tcW w:w="299" w:type="pct"/>
            <w:noWrap w:val="0"/>
            <w:vAlign w:val="center"/>
          </w:tcPr>
          <w:p w14:paraId="12984FB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BC6579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未按规定执行的，每例扣5分，最多扣20分。</w:t>
            </w:r>
          </w:p>
        </w:tc>
      </w:tr>
      <w:tr w14:paraId="0832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307D38A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2F8BADB7">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14FD2CC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22</w:t>
            </w:r>
          </w:p>
        </w:tc>
        <w:tc>
          <w:tcPr>
            <w:tcW w:w="276" w:type="pct"/>
            <w:noWrap w:val="0"/>
            <w:vAlign w:val="center"/>
          </w:tcPr>
          <w:p w14:paraId="7CD7E00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目录维护</w:t>
            </w:r>
          </w:p>
        </w:tc>
        <w:tc>
          <w:tcPr>
            <w:tcW w:w="263" w:type="pct"/>
            <w:noWrap w:val="0"/>
            <w:vAlign w:val="center"/>
          </w:tcPr>
          <w:p w14:paraId="03E370E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EB3D4DE">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新增药品、医用耗材(含自费项目)的，应按要求提交新增申请材料，经办机构反馈后，及时做好对应维护。</w:t>
            </w:r>
          </w:p>
        </w:tc>
        <w:tc>
          <w:tcPr>
            <w:tcW w:w="299" w:type="pct"/>
            <w:noWrap w:val="0"/>
            <w:vAlign w:val="center"/>
          </w:tcPr>
          <w:p w14:paraId="5E608B7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676E2DA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未按时提交审核备案或做出对应维护的，每次扣5分，最多扣10分。</w:t>
            </w:r>
          </w:p>
        </w:tc>
      </w:tr>
      <w:tr w14:paraId="07A5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3" w:hRule="atLeast"/>
          <w:jc w:val="center"/>
        </w:trPr>
        <w:tc>
          <w:tcPr>
            <w:tcW w:w="276" w:type="pct"/>
            <w:vMerge w:val="continue"/>
            <w:noWrap w:val="0"/>
            <w:vAlign w:val="center"/>
          </w:tcPr>
          <w:p w14:paraId="4F5EA1F0">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6C05DA5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4AC1CC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23</w:t>
            </w:r>
          </w:p>
        </w:tc>
        <w:tc>
          <w:tcPr>
            <w:tcW w:w="276" w:type="pct"/>
            <w:noWrap w:val="0"/>
            <w:vAlign w:val="center"/>
          </w:tcPr>
          <w:p w14:paraId="4C6B43D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结算要求</w:t>
            </w:r>
          </w:p>
        </w:tc>
        <w:tc>
          <w:tcPr>
            <w:tcW w:w="263" w:type="pct"/>
            <w:noWrap w:val="0"/>
            <w:vAlign w:val="center"/>
          </w:tcPr>
          <w:p w14:paraId="1EF1819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9D1EAE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①按规定的程序和时限，通过日对账正确上传数据，及时向医保经办机构申报医疗费用；</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②协助医保经办机构对参保人员所发生的有疑义的医疗费用进行复核，并按规定时间进行疑点反馈；</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 优化医保结算流程，为参保人员提供便捷的医疗服务，按规定进行医保费用直接结算，提供费用结算单据和相关资料。</w:t>
            </w:r>
          </w:p>
        </w:tc>
        <w:tc>
          <w:tcPr>
            <w:tcW w:w="299" w:type="pct"/>
            <w:noWrap w:val="0"/>
            <w:vAlign w:val="center"/>
          </w:tcPr>
          <w:p w14:paraId="25D4CA3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43FF567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未及时申报医疗费用的，每次扣5分；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未协助医保经办机构稽核的，每次扣5分。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本项最多扣20分。</w:t>
            </w:r>
          </w:p>
        </w:tc>
      </w:tr>
      <w:tr w14:paraId="38FC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276" w:type="pct"/>
            <w:vMerge w:val="restart"/>
            <w:noWrap w:val="0"/>
            <w:vAlign w:val="center"/>
          </w:tcPr>
          <w:p w14:paraId="7E389DF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35E36F9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行为规范</w:t>
            </w:r>
          </w:p>
        </w:tc>
        <w:tc>
          <w:tcPr>
            <w:tcW w:w="218" w:type="pct"/>
            <w:noWrap w:val="0"/>
            <w:vAlign w:val="center"/>
          </w:tcPr>
          <w:p w14:paraId="40EC2D5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24</w:t>
            </w:r>
          </w:p>
        </w:tc>
        <w:tc>
          <w:tcPr>
            <w:tcW w:w="276" w:type="pct"/>
            <w:noWrap w:val="0"/>
            <w:vAlign w:val="center"/>
          </w:tcPr>
          <w:p w14:paraId="5361268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付费方式</w:t>
            </w:r>
          </w:p>
        </w:tc>
        <w:tc>
          <w:tcPr>
            <w:tcW w:w="263" w:type="pct"/>
            <w:noWrap w:val="0"/>
            <w:vAlign w:val="center"/>
          </w:tcPr>
          <w:p w14:paraId="3C46B17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365EDCC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①按规定开展DRG付费方式改革；</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②落实协议总额预算控制指标，结合本院实际制定费用控制办法，不能将指标简单分解到科室；</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③推行临床路径管理，提高诊疗行为透明度，将费用、患者负担水平等指标定期公开，为参保人就医选择提供参考。</w:t>
            </w:r>
          </w:p>
        </w:tc>
        <w:tc>
          <w:tcPr>
            <w:tcW w:w="299" w:type="pct"/>
            <w:noWrap w:val="0"/>
            <w:vAlign w:val="center"/>
          </w:tcPr>
          <w:p w14:paraId="69C2BDA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5DB1FF8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第①项达不到要求扣10分；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第②③项每一项达不到要求扣5分。</w:t>
            </w:r>
          </w:p>
        </w:tc>
      </w:tr>
      <w:tr w14:paraId="1873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9" w:hRule="atLeast"/>
          <w:jc w:val="center"/>
        </w:trPr>
        <w:tc>
          <w:tcPr>
            <w:tcW w:w="276" w:type="pct"/>
            <w:vMerge w:val="continue"/>
            <w:noWrap w:val="0"/>
            <w:vAlign w:val="center"/>
          </w:tcPr>
          <w:p w14:paraId="1DA6E4A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2964B3D6">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10736E6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25</w:t>
            </w:r>
          </w:p>
        </w:tc>
        <w:tc>
          <w:tcPr>
            <w:tcW w:w="276" w:type="pct"/>
            <w:noWrap w:val="0"/>
            <w:vAlign w:val="center"/>
          </w:tcPr>
          <w:p w14:paraId="564CD6F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药械集采</w:t>
            </w:r>
          </w:p>
        </w:tc>
        <w:tc>
          <w:tcPr>
            <w:tcW w:w="263" w:type="pct"/>
            <w:noWrap w:val="0"/>
            <w:vAlign w:val="center"/>
          </w:tcPr>
          <w:p w14:paraId="64B363D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DA6A5C5">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公立医疗机构</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①严格执行集采政策，参加集采工作并按要求报量；</w:t>
            </w:r>
          </w:p>
          <w:p w14:paraId="1E9A75B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②畅通中选药品和医用耗材入院渠道，并按时完成约定采购量；</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③严格执行网上采购政策，不得违规网下采购。</w:t>
            </w:r>
          </w:p>
        </w:tc>
        <w:tc>
          <w:tcPr>
            <w:tcW w:w="299" w:type="pct"/>
            <w:noWrap w:val="0"/>
            <w:vAlign w:val="center"/>
          </w:tcPr>
          <w:p w14:paraId="0FD1205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4F5BB91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1.一个评价年度内临床需求药品耗材未参加集采工作的扣10分，未完成约定采购量的每个品种扣5分。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2.不严格执行网上采购政策，违规网下采购的扣10分。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本项最多扣40分。</w:t>
            </w:r>
          </w:p>
        </w:tc>
      </w:tr>
      <w:tr w14:paraId="7F7D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276" w:type="pct"/>
            <w:vMerge w:val="continue"/>
            <w:noWrap w:val="0"/>
            <w:vAlign w:val="center"/>
          </w:tcPr>
          <w:p w14:paraId="6F576CA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10E89E43">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67ACCB6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26</w:t>
            </w:r>
          </w:p>
        </w:tc>
        <w:tc>
          <w:tcPr>
            <w:tcW w:w="276" w:type="pct"/>
            <w:noWrap w:val="0"/>
            <w:vAlign w:val="center"/>
          </w:tcPr>
          <w:p w14:paraId="031611B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药品管理</w:t>
            </w:r>
          </w:p>
        </w:tc>
        <w:tc>
          <w:tcPr>
            <w:tcW w:w="263" w:type="pct"/>
            <w:noWrap w:val="0"/>
            <w:vAlign w:val="center"/>
          </w:tcPr>
          <w:p w14:paraId="5EB9E29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4A606B1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①建立健全药品“进、销、存”全流程记录和管理制度、药品供应制度；</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②优先配备使用医保药品，按规定配备国家谈判药品和省谈判药品；</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③加强医疗机构药事管理，严格掌握目录内药品限定支付范围并留存用药依据。</w:t>
            </w:r>
          </w:p>
        </w:tc>
        <w:tc>
          <w:tcPr>
            <w:tcW w:w="299" w:type="pct"/>
            <w:noWrap w:val="0"/>
            <w:vAlign w:val="center"/>
          </w:tcPr>
          <w:p w14:paraId="427577D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3AF929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每缺一项制度扣5分；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未优先配备使用集采药品扣10分，未按规定配备谈判药品的扣10分；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医保药品未按限定支付范围使用的，每例扣10分。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本项最多扣40分。</w:t>
            </w:r>
          </w:p>
        </w:tc>
      </w:tr>
      <w:tr w14:paraId="6C3B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276" w:type="pct"/>
            <w:vMerge w:val="continue"/>
            <w:noWrap w:val="0"/>
            <w:vAlign w:val="center"/>
          </w:tcPr>
          <w:p w14:paraId="540D60B7">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7AC2C91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71F336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27</w:t>
            </w:r>
          </w:p>
        </w:tc>
        <w:tc>
          <w:tcPr>
            <w:tcW w:w="276" w:type="pct"/>
            <w:noWrap w:val="0"/>
            <w:vAlign w:val="center"/>
          </w:tcPr>
          <w:p w14:paraId="1FC5FA7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医用耗材</w:t>
            </w:r>
          </w:p>
        </w:tc>
        <w:tc>
          <w:tcPr>
            <w:tcW w:w="263" w:type="pct"/>
            <w:noWrap w:val="0"/>
            <w:vAlign w:val="center"/>
          </w:tcPr>
          <w:p w14:paraId="07C4276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68D7277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①取消公立医疗机构医用耗材加成，所有允许单独向患者收费的医用耗材，以实际购进价格“零差率”销售；公立医疗机构不得在实际购进价格之外接受经营者给予的价格折扣或其他形式的折扣。</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②以成本形式打包计入医疗服务价格的医用耗材，不得另行收费；</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③严格执行医用耗材临床使用的事前评估、事中跟踪和事后评价制度；建立高值医用耗材使用分析评价，严格控制高值医用耗材使用比例。</w:t>
            </w:r>
          </w:p>
        </w:tc>
        <w:tc>
          <w:tcPr>
            <w:tcW w:w="299" w:type="pct"/>
            <w:noWrap w:val="0"/>
            <w:vAlign w:val="center"/>
          </w:tcPr>
          <w:p w14:paraId="6CE3EC0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B038BF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未取消耗材加成的扣10分，出现接受经营者给予折扣的扣30分；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对打包耗材另行收费的，扣10分；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未执行医用耗材相关临床规定的扣10分。</w:t>
            </w:r>
          </w:p>
        </w:tc>
      </w:tr>
      <w:tr w14:paraId="5602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restart"/>
            <w:noWrap w:val="0"/>
            <w:vAlign w:val="center"/>
          </w:tcPr>
          <w:p w14:paraId="7D4FCF7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17BE4EE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行为规范</w:t>
            </w:r>
          </w:p>
        </w:tc>
        <w:tc>
          <w:tcPr>
            <w:tcW w:w="218" w:type="pct"/>
            <w:noWrap w:val="0"/>
            <w:vAlign w:val="center"/>
          </w:tcPr>
          <w:p w14:paraId="413664F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28</w:t>
            </w:r>
          </w:p>
        </w:tc>
        <w:tc>
          <w:tcPr>
            <w:tcW w:w="276" w:type="pct"/>
            <w:noWrap w:val="0"/>
            <w:vAlign w:val="center"/>
          </w:tcPr>
          <w:p w14:paraId="33F779D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药款结算</w:t>
            </w:r>
          </w:p>
        </w:tc>
        <w:tc>
          <w:tcPr>
            <w:tcW w:w="263" w:type="pct"/>
            <w:noWrap w:val="0"/>
            <w:vAlign w:val="center"/>
          </w:tcPr>
          <w:p w14:paraId="3BDBCEB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3D2C9464">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集采药品耗材全部纳入医保基金与医药企业直接结算，严格按政策规定审核确认应付款项。</w:t>
            </w:r>
          </w:p>
        </w:tc>
        <w:tc>
          <w:tcPr>
            <w:tcW w:w="299" w:type="pct"/>
            <w:noWrap w:val="0"/>
            <w:vAlign w:val="center"/>
          </w:tcPr>
          <w:p w14:paraId="0AB602B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5D2F5840">
            <w:pPr>
              <w:keepNext w:val="0"/>
              <w:keepLines w:val="0"/>
              <w:pageBreakBefore w:val="0"/>
              <w:widowControl/>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不参加直接结算的扣10分；无故拖延审核确认时间的扣5分，反复出现的扣10分。</w:t>
            </w:r>
          </w:p>
        </w:tc>
      </w:tr>
      <w:tr w14:paraId="1B96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638E7725">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602E788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34BA4A5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29</w:t>
            </w:r>
          </w:p>
        </w:tc>
        <w:tc>
          <w:tcPr>
            <w:tcW w:w="276" w:type="pct"/>
            <w:noWrap w:val="0"/>
            <w:vAlign w:val="center"/>
          </w:tcPr>
          <w:p w14:paraId="4EF2EE0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挂账处理</w:t>
            </w:r>
          </w:p>
        </w:tc>
        <w:tc>
          <w:tcPr>
            <w:tcW w:w="263" w:type="pct"/>
            <w:noWrap w:val="0"/>
            <w:vAlign w:val="center"/>
          </w:tcPr>
          <w:p w14:paraId="2F99803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6D82503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被当地医保经办机构拒付的医疗费用、超支分担机制下医疗机构按比例承担费用，应当在规定时限内作相应的财务处理。</w:t>
            </w:r>
          </w:p>
        </w:tc>
        <w:tc>
          <w:tcPr>
            <w:tcW w:w="299" w:type="pct"/>
            <w:noWrap w:val="0"/>
            <w:vAlign w:val="center"/>
          </w:tcPr>
          <w:p w14:paraId="459D9DD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7233A6DA">
            <w:pPr>
              <w:keepNext w:val="0"/>
              <w:keepLines w:val="0"/>
              <w:pageBreakBefore w:val="0"/>
              <w:widowControl/>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未及时做处理的扣20分。</w:t>
            </w:r>
          </w:p>
        </w:tc>
      </w:tr>
      <w:tr w14:paraId="151C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312DEF94">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503AE7B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37C9099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30</w:t>
            </w:r>
          </w:p>
        </w:tc>
        <w:tc>
          <w:tcPr>
            <w:tcW w:w="276" w:type="pct"/>
            <w:noWrap w:val="0"/>
            <w:vAlign w:val="center"/>
          </w:tcPr>
          <w:p w14:paraId="7F65BA9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自查自纠</w:t>
            </w:r>
          </w:p>
        </w:tc>
        <w:tc>
          <w:tcPr>
            <w:tcW w:w="263" w:type="pct"/>
            <w:noWrap w:val="0"/>
            <w:vAlign w:val="center"/>
          </w:tcPr>
          <w:p w14:paraId="09DBDBB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4A82579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定期检查本单位医疗保障基金使用情况，及时纠正医疗保障基金使用不规范的行为</w:t>
            </w:r>
          </w:p>
        </w:tc>
        <w:tc>
          <w:tcPr>
            <w:tcW w:w="299" w:type="pct"/>
            <w:noWrap w:val="0"/>
            <w:vAlign w:val="center"/>
          </w:tcPr>
          <w:p w14:paraId="464BBBA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7B04D05A">
            <w:pPr>
              <w:keepNext w:val="0"/>
              <w:keepLines w:val="0"/>
              <w:pageBreakBefore w:val="0"/>
              <w:widowControl/>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达不到要求扣10分。</w:t>
            </w:r>
          </w:p>
        </w:tc>
      </w:tr>
      <w:tr w14:paraId="37462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5A6FBBB0">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C02DD85">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D6117D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31</w:t>
            </w:r>
          </w:p>
        </w:tc>
        <w:tc>
          <w:tcPr>
            <w:tcW w:w="276" w:type="pct"/>
            <w:noWrap w:val="0"/>
            <w:vAlign w:val="center"/>
          </w:tcPr>
          <w:p w14:paraId="635F9E4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工作配合</w:t>
            </w:r>
          </w:p>
        </w:tc>
        <w:tc>
          <w:tcPr>
            <w:tcW w:w="263" w:type="pct"/>
            <w:noWrap w:val="0"/>
            <w:vAlign w:val="center"/>
          </w:tcPr>
          <w:p w14:paraId="11C40B9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34931E6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配合医疗保障部门开展智能监控审核稽核、履约考核、监督检查等。</w:t>
            </w:r>
          </w:p>
        </w:tc>
        <w:tc>
          <w:tcPr>
            <w:tcW w:w="299" w:type="pct"/>
            <w:noWrap w:val="0"/>
            <w:vAlign w:val="center"/>
          </w:tcPr>
          <w:p w14:paraId="4589F96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0222A829">
            <w:pPr>
              <w:keepNext w:val="0"/>
              <w:keepLines w:val="0"/>
              <w:pageBreakBefore w:val="0"/>
              <w:widowControl/>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拒绝、阻挠或不配合医疗保障部门开展智能审核、履约考核、监督检查等或者提供虚假情况，扣20分。</w:t>
            </w:r>
          </w:p>
        </w:tc>
      </w:tr>
      <w:tr w14:paraId="5DA2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4C6A2B76">
            <w:pPr>
              <w:widowControl/>
              <w:jc w:val="center"/>
              <w:textAlignment w:val="center"/>
              <w:rPr>
                <w:rFonts w:hint="default" w:ascii="Times New Roman" w:hAnsi="Times New Roman" w:eastAsia="仿宋_GB2312" w:cs="Times New Roman"/>
                <w:color w:val="000000"/>
                <w:kern w:val="0"/>
                <w:sz w:val="22"/>
                <w:highlight w:val="none"/>
                <w:lang w:bidi="ar"/>
              </w:rPr>
            </w:pPr>
            <w:bookmarkStart w:id="4" w:name="OLE_LINK5" w:colFirst="1" w:colLast="1"/>
          </w:p>
        </w:tc>
        <w:tc>
          <w:tcPr>
            <w:tcW w:w="272" w:type="pct"/>
            <w:vMerge w:val="restart"/>
            <w:noWrap w:val="0"/>
            <w:vAlign w:val="center"/>
          </w:tcPr>
          <w:p w14:paraId="61BCBBDD">
            <w:pPr>
              <w:widowControl/>
              <w:jc w:val="center"/>
              <w:textAlignment w:val="center"/>
              <w:rPr>
                <w:rFonts w:hint="default" w:ascii="Times New Roman" w:hAnsi="Times New Roman" w:eastAsia="仿宋_GB2312" w:cs="Times New Roman"/>
                <w:color w:val="000000"/>
                <w:kern w:val="0"/>
                <w:sz w:val="22"/>
                <w:szCs w:val="22"/>
                <w:highlight w:val="none"/>
                <w:lang w:val="en-US" w:eastAsia="zh-CN" w:bidi="ar"/>
              </w:rPr>
            </w:pPr>
            <w:r>
              <w:rPr>
                <w:rFonts w:hint="default" w:ascii="Times New Roman" w:hAnsi="Times New Roman" w:eastAsia="仿宋_GB2312" w:cs="Times New Roman"/>
                <w:color w:val="000000"/>
                <w:kern w:val="0"/>
                <w:sz w:val="22"/>
                <w:highlight w:val="none"/>
                <w:lang w:bidi="ar"/>
              </w:rPr>
              <w:t>服务质量</w:t>
            </w:r>
          </w:p>
        </w:tc>
        <w:tc>
          <w:tcPr>
            <w:tcW w:w="218" w:type="pct"/>
            <w:noWrap w:val="0"/>
            <w:vAlign w:val="center"/>
          </w:tcPr>
          <w:p w14:paraId="2D73CF0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32</w:t>
            </w:r>
          </w:p>
        </w:tc>
        <w:tc>
          <w:tcPr>
            <w:tcW w:w="276" w:type="pct"/>
            <w:noWrap w:val="0"/>
            <w:vAlign w:val="center"/>
          </w:tcPr>
          <w:p w14:paraId="5EA7385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就医指导</w:t>
            </w:r>
          </w:p>
        </w:tc>
        <w:tc>
          <w:tcPr>
            <w:tcW w:w="263" w:type="pct"/>
            <w:noWrap w:val="0"/>
            <w:vAlign w:val="center"/>
          </w:tcPr>
          <w:p w14:paraId="66650DC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7DBE527">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公布医保就医流程、设置明显的就医标识；设立医保患者挂号、结算窗口和门诊慢特病、特殊群体专用窗口。</w:t>
            </w:r>
          </w:p>
        </w:tc>
        <w:tc>
          <w:tcPr>
            <w:tcW w:w="299" w:type="pct"/>
            <w:noWrap w:val="0"/>
            <w:vAlign w:val="center"/>
          </w:tcPr>
          <w:p w14:paraId="4FC2CDD5">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val="en-US" w:eastAsia="zh-CN" w:bidi="ar"/>
              </w:rPr>
              <w:t>日常抽查、</w:t>
            </w:r>
            <w:r>
              <w:rPr>
                <w:rFonts w:hint="default" w:ascii="Times New Roman" w:hAnsi="Times New Roman" w:eastAsia="仿宋_GB2312" w:cs="Times New Roman"/>
                <w:color w:val="000000"/>
                <w:kern w:val="0"/>
                <w:sz w:val="22"/>
                <w:highlight w:val="none"/>
                <w:lang w:bidi="ar"/>
              </w:rPr>
              <w:t>现场考核</w:t>
            </w:r>
          </w:p>
        </w:tc>
        <w:tc>
          <w:tcPr>
            <w:tcW w:w="1031" w:type="pct"/>
            <w:noWrap w:val="0"/>
            <w:vAlign w:val="center"/>
          </w:tcPr>
          <w:p w14:paraId="17AEA789">
            <w:pPr>
              <w:keepNext w:val="0"/>
              <w:keepLines w:val="0"/>
              <w:pageBreakBefore w:val="0"/>
              <w:widowControl/>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就医流程和标识不明确的扣10分；</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无专用服务窗口或专用窗口不能满足需求扣10分。</w:t>
            </w:r>
          </w:p>
        </w:tc>
      </w:tr>
      <w:bookmarkEnd w:id="4"/>
      <w:tr w14:paraId="3254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38C263D9">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6CA20E5A">
            <w:pPr>
              <w:widowControl/>
              <w:jc w:val="center"/>
              <w:textAlignment w:val="center"/>
              <w:rPr>
                <w:rFonts w:hint="default" w:ascii="Times New Roman" w:hAnsi="Times New Roman" w:eastAsia="仿宋_GB2312" w:cs="Times New Roman"/>
                <w:color w:val="000000"/>
                <w:kern w:val="0"/>
                <w:sz w:val="22"/>
                <w:szCs w:val="22"/>
                <w:highlight w:val="none"/>
                <w:lang w:val="en-US" w:eastAsia="zh-CN" w:bidi="ar"/>
              </w:rPr>
            </w:pPr>
          </w:p>
        </w:tc>
        <w:tc>
          <w:tcPr>
            <w:tcW w:w="218" w:type="pct"/>
            <w:noWrap w:val="0"/>
            <w:vAlign w:val="center"/>
          </w:tcPr>
          <w:p w14:paraId="7A67383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33</w:t>
            </w:r>
          </w:p>
        </w:tc>
        <w:tc>
          <w:tcPr>
            <w:tcW w:w="276" w:type="pct"/>
            <w:noWrap w:val="0"/>
            <w:vAlign w:val="center"/>
          </w:tcPr>
          <w:p w14:paraId="6832118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窗口服务</w:t>
            </w:r>
          </w:p>
        </w:tc>
        <w:tc>
          <w:tcPr>
            <w:tcW w:w="263" w:type="pct"/>
            <w:noWrap w:val="0"/>
            <w:vAlign w:val="center"/>
          </w:tcPr>
          <w:p w14:paraId="2264C70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9A3E44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窗口工作人员热情耐心接待参保人，礼貌待人，使用规范化服务用语，有问必答，做到首问负责制，耐心做好解释工作。</w:t>
            </w:r>
          </w:p>
        </w:tc>
        <w:tc>
          <w:tcPr>
            <w:tcW w:w="299" w:type="pct"/>
            <w:noWrap w:val="0"/>
            <w:vAlign w:val="center"/>
          </w:tcPr>
          <w:p w14:paraId="1B07280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color w:val="000000"/>
                <w:kern w:val="0"/>
                <w:sz w:val="22"/>
                <w:highlight w:val="none"/>
                <w:lang w:val="en-US" w:eastAsia="zh-CN" w:bidi="ar"/>
              </w:rPr>
            </w:pPr>
            <w:r>
              <w:rPr>
                <w:rFonts w:hint="default" w:ascii="Times New Roman" w:hAnsi="Times New Roman" w:eastAsia="仿宋_GB2312" w:cs="Times New Roman"/>
                <w:color w:val="000000"/>
                <w:kern w:val="0"/>
                <w:sz w:val="22"/>
                <w:highlight w:val="none"/>
                <w:lang w:bidi="ar"/>
              </w:rPr>
              <w:t>现场考核</w:t>
            </w:r>
            <w:r>
              <w:rPr>
                <w:rFonts w:hint="default" w:ascii="Times New Roman" w:hAnsi="Times New Roman" w:eastAsia="仿宋_GB2312" w:cs="Times New Roman"/>
                <w:color w:val="000000"/>
                <w:kern w:val="0"/>
                <w:sz w:val="22"/>
                <w:highlight w:val="none"/>
                <w:lang w:eastAsia="zh-CN" w:bidi="ar"/>
              </w:rPr>
              <w:t>、</w:t>
            </w:r>
            <w:r>
              <w:rPr>
                <w:rFonts w:hint="default" w:ascii="Times New Roman" w:hAnsi="Times New Roman" w:eastAsia="仿宋_GB2312" w:cs="Times New Roman"/>
                <w:color w:val="000000"/>
                <w:kern w:val="0"/>
                <w:sz w:val="22"/>
                <w:highlight w:val="none"/>
                <w:lang w:val="en-US" w:eastAsia="zh-CN" w:bidi="ar"/>
              </w:rPr>
              <w:t>信访举报</w:t>
            </w:r>
          </w:p>
        </w:tc>
        <w:tc>
          <w:tcPr>
            <w:tcW w:w="1031" w:type="pct"/>
            <w:noWrap w:val="0"/>
            <w:vAlign w:val="center"/>
          </w:tcPr>
          <w:p w14:paraId="16F9EEBD">
            <w:pPr>
              <w:keepNext w:val="0"/>
              <w:keepLines w:val="0"/>
              <w:pageBreakBefore w:val="0"/>
              <w:widowControl/>
              <w:kinsoku/>
              <w:wordWrap/>
              <w:overflowPunct/>
              <w:topLinePunct w:val="0"/>
              <w:autoSpaceDE/>
              <w:autoSpaceDN/>
              <w:bidi w:val="0"/>
              <w:adjustRightInd/>
              <w:snapToGrid/>
              <w:spacing w:line="300" w:lineRule="exact"/>
              <w:textAlignment w:val="center"/>
              <w:rPr>
                <w:rFonts w:hint="default" w:ascii="Times New Roman" w:hAnsi="Times New Roman" w:eastAsia="仿宋_GB2312" w:cs="Times New Roman"/>
                <w:color w:val="000000"/>
                <w:kern w:val="0"/>
                <w:sz w:val="22"/>
                <w:highlight w:val="none"/>
                <w:lang w:eastAsia="zh-CN" w:bidi="ar"/>
              </w:rPr>
            </w:pPr>
            <w:r>
              <w:rPr>
                <w:rFonts w:hint="default" w:ascii="Times New Roman" w:hAnsi="Times New Roman" w:eastAsia="仿宋_GB2312" w:cs="Times New Roman"/>
                <w:color w:val="000000"/>
                <w:kern w:val="0"/>
                <w:sz w:val="22"/>
                <w:highlight w:val="none"/>
                <w:lang w:bidi="ar"/>
              </w:rPr>
              <w:t>因服务态度差、接待用语不规范、敷衍推诿病人等行为，被投诉举报并查实的，每例扣5分，最多扣10分</w:t>
            </w:r>
            <w:r>
              <w:rPr>
                <w:rFonts w:hint="default" w:ascii="Times New Roman" w:hAnsi="Times New Roman" w:eastAsia="仿宋_GB2312" w:cs="Times New Roman"/>
                <w:color w:val="000000"/>
                <w:kern w:val="0"/>
                <w:sz w:val="22"/>
                <w:highlight w:val="none"/>
                <w:lang w:eastAsia="zh-CN" w:bidi="ar"/>
              </w:rPr>
              <w:t>。</w:t>
            </w:r>
          </w:p>
        </w:tc>
      </w:tr>
      <w:tr w14:paraId="2B99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4EE56B5B">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760C8A7B">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54DAE6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34</w:t>
            </w:r>
          </w:p>
        </w:tc>
        <w:tc>
          <w:tcPr>
            <w:tcW w:w="276" w:type="pct"/>
            <w:noWrap w:val="0"/>
            <w:vAlign w:val="center"/>
          </w:tcPr>
          <w:p w14:paraId="116844F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接诊要求</w:t>
            </w:r>
          </w:p>
        </w:tc>
        <w:tc>
          <w:tcPr>
            <w:tcW w:w="263" w:type="pct"/>
            <w:noWrap w:val="0"/>
            <w:vAlign w:val="center"/>
          </w:tcPr>
          <w:p w14:paraId="5581106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61BDE85">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执行首诊医师负责制，不得无故拒收、推诿参保人；住院期间不得要求参保人到门诊或药店购药（双通道购药除外）；不得要求住院参保人外购医保目录内药品。</w:t>
            </w:r>
          </w:p>
        </w:tc>
        <w:tc>
          <w:tcPr>
            <w:tcW w:w="299" w:type="pct"/>
            <w:noWrap w:val="0"/>
            <w:vAlign w:val="center"/>
          </w:tcPr>
          <w:p w14:paraId="035BA8A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68984F5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每一项规定未执行的扣5分，最多扣10分。</w:t>
            </w:r>
          </w:p>
        </w:tc>
      </w:tr>
      <w:tr w14:paraId="7974C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continue"/>
            <w:noWrap w:val="0"/>
            <w:vAlign w:val="center"/>
          </w:tcPr>
          <w:p w14:paraId="444E303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618BA35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06EDD30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35</w:t>
            </w:r>
          </w:p>
        </w:tc>
        <w:tc>
          <w:tcPr>
            <w:tcW w:w="276" w:type="pct"/>
            <w:noWrap w:val="0"/>
            <w:vAlign w:val="center"/>
          </w:tcPr>
          <w:p w14:paraId="70009EB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病案规范</w:t>
            </w:r>
          </w:p>
        </w:tc>
        <w:tc>
          <w:tcPr>
            <w:tcW w:w="263" w:type="pct"/>
            <w:noWrap w:val="0"/>
            <w:vAlign w:val="center"/>
          </w:tcPr>
          <w:p w14:paraId="0064B6E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33A3590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①提高病案首页质量，按照国家统一规定规范填写病案首页，加强临</w:t>
            </w:r>
            <w:r>
              <w:rPr>
                <w:rFonts w:hint="default" w:ascii="Times New Roman" w:hAnsi="Times New Roman" w:eastAsia="仿宋_GB2312" w:cs="Times New Roman"/>
                <w:color w:val="000000"/>
                <w:spacing w:val="-6"/>
                <w:kern w:val="0"/>
                <w:sz w:val="22"/>
                <w:highlight w:val="none"/>
                <w:lang w:bidi="ar"/>
              </w:rPr>
              <w:t>床数据标准化、规范化管理，为推广按疾病诊断相关分组付费打牢基础；</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②接诊意外伤害的参保人时，须如实及时完整记录致伤原因和意外受伤的情形。</w:t>
            </w:r>
          </w:p>
        </w:tc>
        <w:tc>
          <w:tcPr>
            <w:tcW w:w="299" w:type="pct"/>
            <w:noWrap w:val="0"/>
            <w:vAlign w:val="center"/>
          </w:tcPr>
          <w:p w14:paraId="69FA873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12B488B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随机抽取病历，达不到要求的每例扣5分，最多扣20分。</w:t>
            </w:r>
          </w:p>
        </w:tc>
      </w:tr>
      <w:tr w14:paraId="546A1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restart"/>
            <w:noWrap w:val="0"/>
            <w:vAlign w:val="center"/>
          </w:tcPr>
          <w:p w14:paraId="3F1F3879">
            <w:pPr>
              <w:widowControl/>
              <w:jc w:val="center"/>
              <w:textAlignment w:val="center"/>
              <w:rPr>
                <w:rFonts w:hint="default" w:ascii="Times New Roman" w:hAnsi="Times New Roman" w:eastAsia="仿宋_GB2312" w:cs="Times New Roman"/>
                <w:color w:val="000000"/>
                <w:kern w:val="0"/>
                <w:sz w:val="22"/>
                <w:highlight w:val="none"/>
                <w:lang w:bidi="ar"/>
              </w:rPr>
            </w:pPr>
            <w:bookmarkStart w:id="5" w:name="OLE_LINK7"/>
            <w:r>
              <w:rPr>
                <w:rFonts w:hint="default" w:ascii="Times New Roman" w:hAnsi="Times New Roman" w:eastAsia="仿宋_GB2312" w:cs="Times New Roman"/>
                <w:color w:val="000000"/>
                <w:kern w:val="0"/>
                <w:sz w:val="22"/>
                <w:highlight w:val="none"/>
                <w:lang w:bidi="ar"/>
              </w:rPr>
              <w:t>协议履行</w:t>
            </w:r>
            <w:bookmarkEnd w:id="5"/>
          </w:p>
        </w:tc>
        <w:tc>
          <w:tcPr>
            <w:tcW w:w="272" w:type="pct"/>
            <w:vMerge w:val="restart"/>
            <w:noWrap w:val="0"/>
            <w:vAlign w:val="center"/>
          </w:tcPr>
          <w:p w14:paraId="78602EB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服务质量</w:t>
            </w:r>
          </w:p>
        </w:tc>
        <w:tc>
          <w:tcPr>
            <w:tcW w:w="218" w:type="pct"/>
            <w:noWrap w:val="0"/>
            <w:vAlign w:val="center"/>
          </w:tcPr>
          <w:p w14:paraId="73041EE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36</w:t>
            </w:r>
          </w:p>
        </w:tc>
        <w:tc>
          <w:tcPr>
            <w:tcW w:w="276" w:type="pct"/>
            <w:noWrap w:val="0"/>
            <w:vAlign w:val="center"/>
          </w:tcPr>
          <w:p w14:paraId="3AE617D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电子凭证</w:t>
            </w:r>
          </w:p>
        </w:tc>
        <w:tc>
          <w:tcPr>
            <w:tcW w:w="263" w:type="pct"/>
            <w:noWrap w:val="0"/>
            <w:vAlign w:val="center"/>
          </w:tcPr>
          <w:p w14:paraId="37300EE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147E41C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及时做好系统接口改造，满足参保人使用医保电子凭证就医，以扫码为交互方式，实现在线医保结算。</w:t>
            </w:r>
          </w:p>
        </w:tc>
        <w:tc>
          <w:tcPr>
            <w:tcW w:w="299" w:type="pct"/>
            <w:noWrap w:val="0"/>
            <w:vAlign w:val="center"/>
          </w:tcPr>
          <w:p w14:paraId="183D4BD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64194837">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达不到要求扣10分。</w:t>
            </w:r>
          </w:p>
        </w:tc>
      </w:tr>
      <w:tr w14:paraId="0DA5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continue"/>
            <w:noWrap w:val="0"/>
            <w:vAlign w:val="center"/>
          </w:tcPr>
          <w:p w14:paraId="7E46C89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69A5B01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E46CF6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37</w:t>
            </w:r>
          </w:p>
        </w:tc>
        <w:tc>
          <w:tcPr>
            <w:tcW w:w="276" w:type="pct"/>
            <w:noWrap w:val="0"/>
            <w:vAlign w:val="center"/>
          </w:tcPr>
          <w:p w14:paraId="735C9B8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数据质量</w:t>
            </w:r>
          </w:p>
        </w:tc>
        <w:tc>
          <w:tcPr>
            <w:tcW w:w="263" w:type="pct"/>
            <w:noWrap w:val="0"/>
            <w:vAlign w:val="center"/>
          </w:tcPr>
          <w:p w14:paraId="3B39701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70C6815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①确保向医保经办机构传输的参保人就医、结算及其他相关信息均由信息系统自动生成，真实、准确并实时传输，不得人为篡改作假；</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②严格执行信息网络管理有关规定，做好数据备份。</w:t>
            </w:r>
          </w:p>
        </w:tc>
        <w:tc>
          <w:tcPr>
            <w:tcW w:w="299" w:type="pct"/>
            <w:noWrap w:val="0"/>
            <w:vAlign w:val="center"/>
          </w:tcPr>
          <w:p w14:paraId="2F0FFAE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23A0678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参保人员医疗费用信息上传达不到要求的，每例扣2分；数据未备份扣10分。</w:t>
            </w:r>
          </w:p>
        </w:tc>
      </w:tr>
      <w:tr w14:paraId="3F3DB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206F80B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363A5EF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348D93F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38</w:t>
            </w:r>
          </w:p>
        </w:tc>
        <w:tc>
          <w:tcPr>
            <w:tcW w:w="276" w:type="pct"/>
            <w:noWrap w:val="0"/>
            <w:vAlign w:val="center"/>
          </w:tcPr>
          <w:p w14:paraId="5BA3E98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应急预案</w:t>
            </w:r>
          </w:p>
        </w:tc>
        <w:tc>
          <w:tcPr>
            <w:tcW w:w="263" w:type="pct"/>
            <w:noWrap w:val="0"/>
            <w:vAlign w:val="center"/>
          </w:tcPr>
          <w:p w14:paraId="5D55718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8F54A3A">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制定应急预案，因信息系统出现故障并影响参保人就医结算时，须及时通知医保经办机构并启动应急预案，做好解释工作。</w:t>
            </w:r>
          </w:p>
        </w:tc>
        <w:tc>
          <w:tcPr>
            <w:tcW w:w="299" w:type="pct"/>
            <w:noWrap w:val="0"/>
            <w:vAlign w:val="center"/>
          </w:tcPr>
          <w:p w14:paraId="13BB91C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1192F6AA">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未制定应急预案的扣5分，未及时启动的扣5分。</w:t>
            </w:r>
          </w:p>
        </w:tc>
      </w:tr>
      <w:tr w14:paraId="3CB3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276" w:type="pct"/>
            <w:vMerge w:val="continue"/>
            <w:noWrap w:val="0"/>
            <w:vAlign w:val="center"/>
          </w:tcPr>
          <w:p w14:paraId="342FEFC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22605577">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4422BBE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39</w:t>
            </w:r>
          </w:p>
        </w:tc>
        <w:tc>
          <w:tcPr>
            <w:tcW w:w="276" w:type="pct"/>
            <w:noWrap w:val="0"/>
            <w:vAlign w:val="center"/>
          </w:tcPr>
          <w:p w14:paraId="75E09E7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满意度评价</w:t>
            </w:r>
          </w:p>
        </w:tc>
        <w:tc>
          <w:tcPr>
            <w:tcW w:w="263" w:type="pct"/>
            <w:noWrap w:val="0"/>
            <w:vAlign w:val="center"/>
          </w:tcPr>
          <w:p w14:paraId="585C462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788E55C3">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①满意度测评，采用随机公开的方式，发放满意度测评表，分别对住院参保患者和门诊参保患者满意度进行调查：门诊(住院)参保患者满意度=评价满意的被调查门诊(住院)参保患者人数/接受调查的门诊(住院)参保患者总数×100%</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②利用第三方评价，抽取部分药品、医用耗材供应商，对定点医疗机构结算和履约情况进行调查。</w:t>
            </w:r>
          </w:p>
        </w:tc>
        <w:tc>
          <w:tcPr>
            <w:tcW w:w="299" w:type="pct"/>
            <w:noWrap w:val="0"/>
            <w:vAlign w:val="center"/>
          </w:tcPr>
          <w:p w14:paraId="51CC147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问卷调查</w:t>
            </w:r>
          </w:p>
        </w:tc>
        <w:tc>
          <w:tcPr>
            <w:tcW w:w="1031" w:type="pct"/>
            <w:noWrap w:val="0"/>
            <w:vAlign w:val="center"/>
          </w:tcPr>
          <w:p w14:paraId="0A6E000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扣除分值=（1-满意度）×40（分）。</w:t>
            </w:r>
          </w:p>
        </w:tc>
      </w:tr>
      <w:tr w14:paraId="140D7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276" w:type="pct"/>
            <w:vMerge w:val="continue"/>
            <w:noWrap w:val="0"/>
            <w:vAlign w:val="center"/>
          </w:tcPr>
          <w:p w14:paraId="5094651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1CB6A3F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3EEFBED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40</w:t>
            </w:r>
          </w:p>
        </w:tc>
        <w:tc>
          <w:tcPr>
            <w:tcW w:w="276" w:type="pct"/>
            <w:noWrap w:val="0"/>
            <w:vAlign w:val="center"/>
          </w:tcPr>
          <w:p w14:paraId="7E9D4C3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媒体报道</w:t>
            </w:r>
          </w:p>
        </w:tc>
        <w:tc>
          <w:tcPr>
            <w:tcW w:w="263" w:type="pct"/>
            <w:noWrap w:val="0"/>
            <w:vAlign w:val="center"/>
          </w:tcPr>
          <w:p w14:paraId="29C08D9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7906A5F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本机构被主流媒体报道，经医疗保障部门认可的，按照报道数量赋分。</w:t>
            </w:r>
          </w:p>
        </w:tc>
        <w:tc>
          <w:tcPr>
            <w:tcW w:w="299" w:type="pct"/>
            <w:noWrap w:val="0"/>
            <w:vAlign w:val="center"/>
          </w:tcPr>
          <w:p w14:paraId="02636BE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10D17BB5">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根据期内被媒体报道关于医疗保障工作情况的，正面情况每例加10分，最多加20分；</w:t>
            </w:r>
          </w:p>
          <w:p w14:paraId="454B1384">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负面情况每例扣10分，最多扣20分；多家媒体报道同一事件不重复计分。</w:t>
            </w:r>
          </w:p>
        </w:tc>
      </w:tr>
      <w:tr w14:paraId="3FDC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76" w:type="pct"/>
            <w:vMerge w:val="continue"/>
            <w:noWrap w:val="0"/>
            <w:vAlign w:val="center"/>
          </w:tcPr>
          <w:p w14:paraId="3EDBBF9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restart"/>
            <w:noWrap w:val="0"/>
            <w:vAlign w:val="center"/>
          </w:tcPr>
          <w:p w14:paraId="408AF222">
            <w:pPr>
              <w:widowControl/>
              <w:jc w:val="center"/>
              <w:textAlignment w:val="center"/>
              <w:rPr>
                <w:rFonts w:hint="default" w:ascii="Times New Roman" w:hAnsi="Times New Roman" w:eastAsia="仿宋_GB2312" w:cs="Times New Roman"/>
                <w:color w:val="000000"/>
                <w:kern w:val="0"/>
                <w:sz w:val="22"/>
                <w:highlight w:val="none"/>
                <w:lang w:bidi="ar"/>
              </w:rPr>
            </w:pPr>
            <w:bookmarkStart w:id="6" w:name="OLE_LINK6"/>
            <w:r>
              <w:rPr>
                <w:rFonts w:hint="default" w:ascii="Times New Roman" w:hAnsi="Times New Roman" w:eastAsia="仿宋_GB2312" w:cs="Times New Roman"/>
                <w:color w:val="000000"/>
                <w:kern w:val="0"/>
                <w:sz w:val="22"/>
                <w:highlight w:val="none"/>
                <w:lang w:bidi="ar"/>
              </w:rPr>
              <w:t>协议处理</w:t>
            </w:r>
            <w:bookmarkEnd w:id="6"/>
          </w:p>
        </w:tc>
        <w:tc>
          <w:tcPr>
            <w:tcW w:w="218" w:type="pct"/>
            <w:noWrap w:val="0"/>
            <w:vAlign w:val="center"/>
          </w:tcPr>
          <w:p w14:paraId="52CB56C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41</w:t>
            </w:r>
          </w:p>
        </w:tc>
        <w:tc>
          <w:tcPr>
            <w:tcW w:w="276" w:type="pct"/>
            <w:noWrap w:val="0"/>
            <w:vAlign w:val="center"/>
          </w:tcPr>
          <w:p w14:paraId="1D77220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约谈</w:t>
            </w:r>
          </w:p>
        </w:tc>
        <w:tc>
          <w:tcPr>
            <w:tcW w:w="263" w:type="pct"/>
            <w:noWrap w:val="0"/>
            <w:vAlign w:val="center"/>
          </w:tcPr>
          <w:p w14:paraId="266910B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17CB3574">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被医疗保障经办机构约谈的。</w:t>
            </w:r>
          </w:p>
        </w:tc>
        <w:tc>
          <w:tcPr>
            <w:tcW w:w="299" w:type="pct"/>
            <w:noWrap w:val="0"/>
            <w:vAlign w:val="center"/>
          </w:tcPr>
          <w:p w14:paraId="6AF305C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62EA7D8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按次数扣分，每次扣50分。</w:t>
            </w:r>
          </w:p>
        </w:tc>
      </w:tr>
      <w:tr w14:paraId="3DC6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2914ADB5">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F4FE069">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322EEF7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42</w:t>
            </w:r>
          </w:p>
        </w:tc>
        <w:tc>
          <w:tcPr>
            <w:tcW w:w="276" w:type="pct"/>
            <w:noWrap w:val="0"/>
            <w:vAlign w:val="center"/>
          </w:tcPr>
          <w:p w14:paraId="2C7AC95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通报</w:t>
            </w:r>
          </w:p>
        </w:tc>
        <w:tc>
          <w:tcPr>
            <w:tcW w:w="263" w:type="pct"/>
            <w:noWrap w:val="0"/>
            <w:vAlign w:val="center"/>
          </w:tcPr>
          <w:p w14:paraId="77B2565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771193F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被医疗保障部门通报的。</w:t>
            </w:r>
          </w:p>
        </w:tc>
        <w:tc>
          <w:tcPr>
            <w:tcW w:w="299" w:type="pct"/>
            <w:noWrap w:val="0"/>
            <w:vAlign w:val="center"/>
          </w:tcPr>
          <w:p w14:paraId="0B0DB69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55D30B5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按次数扣分，每次扣100分。</w:t>
            </w:r>
          </w:p>
        </w:tc>
      </w:tr>
      <w:tr w14:paraId="4022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30D66BF5">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3A609C6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19B3A16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43</w:t>
            </w:r>
          </w:p>
        </w:tc>
        <w:tc>
          <w:tcPr>
            <w:tcW w:w="276" w:type="pct"/>
            <w:noWrap w:val="0"/>
            <w:vAlign w:val="center"/>
          </w:tcPr>
          <w:p w14:paraId="06086B9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追回费用</w:t>
            </w:r>
          </w:p>
        </w:tc>
        <w:tc>
          <w:tcPr>
            <w:tcW w:w="263" w:type="pct"/>
            <w:noWrap w:val="0"/>
            <w:vAlign w:val="center"/>
          </w:tcPr>
          <w:p w14:paraId="756D3C1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1EF3CD34">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被医疗保障经办机构追回费用。</w:t>
            </w:r>
          </w:p>
        </w:tc>
        <w:tc>
          <w:tcPr>
            <w:tcW w:w="299" w:type="pct"/>
            <w:noWrap w:val="0"/>
            <w:vAlign w:val="center"/>
          </w:tcPr>
          <w:p w14:paraId="28A9C6C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75038D0C">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按金额扣分，计算公式为：（追回费用金额/本机构医保基金支付总额）×500分。</w:t>
            </w:r>
          </w:p>
        </w:tc>
      </w:tr>
      <w:tr w14:paraId="06FD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726D247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49898F3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800A95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44</w:t>
            </w:r>
          </w:p>
        </w:tc>
        <w:tc>
          <w:tcPr>
            <w:tcW w:w="276" w:type="pct"/>
            <w:noWrap w:val="0"/>
            <w:vAlign w:val="center"/>
          </w:tcPr>
          <w:p w14:paraId="4738523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拒付费用</w:t>
            </w:r>
          </w:p>
        </w:tc>
        <w:tc>
          <w:tcPr>
            <w:tcW w:w="263" w:type="pct"/>
            <w:noWrap w:val="0"/>
            <w:vAlign w:val="center"/>
          </w:tcPr>
          <w:p w14:paraId="2940BB2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587D561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被医疗保障经办机构拒付费用。</w:t>
            </w:r>
          </w:p>
        </w:tc>
        <w:tc>
          <w:tcPr>
            <w:tcW w:w="299" w:type="pct"/>
            <w:noWrap w:val="0"/>
            <w:vAlign w:val="center"/>
          </w:tcPr>
          <w:p w14:paraId="54734DD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2DEB91AF">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按金额扣分，计算公式为：（拒付费用金额/本机构医保基金支付总额）×500分。</w:t>
            </w:r>
          </w:p>
        </w:tc>
      </w:tr>
      <w:tr w14:paraId="28A4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76" w:type="pct"/>
            <w:vMerge w:val="restart"/>
            <w:noWrap w:val="0"/>
            <w:vAlign w:val="center"/>
          </w:tcPr>
          <w:p w14:paraId="62EBB84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协议履行</w:t>
            </w:r>
          </w:p>
        </w:tc>
        <w:tc>
          <w:tcPr>
            <w:tcW w:w="272" w:type="pct"/>
            <w:vMerge w:val="restart"/>
            <w:noWrap w:val="0"/>
            <w:vAlign w:val="center"/>
          </w:tcPr>
          <w:p w14:paraId="1278713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协议处理</w:t>
            </w:r>
          </w:p>
        </w:tc>
        <w:tc>
          <w:tcPr>
            <w:tcW w:w="218" w:type="pct"/>
            <w:noWrap w:val="0"/>
            <w:vAlign w:val="center"/>
          </w:tcPr>
          <w:p w14:paraId="374E571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45</w:t>
            </w:r>
          </w:p>
        </w:tc>
        <w:tc>
          <w:tcPr>
            <w:tcW w:w="276" w:type="pct"/>
            <w:noWrap w:val="0"/>
            <w:vAlign w:val="center"/>
          </w:tcPr>
          <w:p w14:paraId="3DD2489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中止协议</w:t>
            </w:r>
          </w:p>
        </w:tc>
        <w:tc>
          <w:tcPr>
            <w:tcW w:w="263" w:type="pct"/>
            <w:noWrap w:val="0"/>
            <w:vAlign w:val="center"/>
          </w:tcPr>
          <w:p w14:paraId="7FE47C5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2A8B69E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被医疗保障部门中止协议的。</w:t>
            </w:r>
          </w:p>
        </w:tc>
        <w:tc>
          <w:tcPr>
            <w:tcW w:w="299" w:type="pct"/>
            <w:noWrap w:val="0"/>
            <w:vAlign w:val="center"/>
          </w:tcPr>
          <w:p w14:paraId="3F9CCAC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2257D3CF">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按累计月份扣分，不满3个月的扣10分，满3个月不满6个月的扣20分，6个月以上的扣50分。</w:t>
            </w:r>
          </w:p>
        </w:tc>
      </w:tr>
      <w:tr w14:paraId="7962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0B3C911F">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0EB4E70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693C411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46</w:t>
            </w:r>
          </w:p>
        </w:tc>
        <w:tc>
          <w:tcPr>
            <w:tcW w:w="276" w:type="pct"/>
            <w:noWrap w:val="0"/>
            <w:vAlign w:val="center"/>
          </w:tcPr>
          <w:p w14:paraId="3F982E1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医保医师处理</w:t>
            </w:r>
          </w:p>
        </w:tc>
        <w:tc>
          <w:tcPr>
            <w:tcW w:w="263" w:type="pct"/>
            <w:noWrap w:val="0"/>
            <w:vAlign w:val="center"/>
          </w:tcPr>
          <w:p w14:paraId="4ABA89A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6852C8D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被暂停或中止处方权的，取消医疗保障医师资格的。</w:t>
            </w:r>
          </w:p>
        </w:tc>
        <w:tc>
          <w:tcPr>
            <w:tcW w:w="299" w:type="pct"/>
            <w:noWrap w:val="0"/>
            <w:vAlign w:val="center"/>
          </w:tcPr>
          <w:p w14:paraId="6C3E2F9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0236511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按次数扣分，每次扣10分，最多扣50分。</w:t>
            </w:r>
          </w:p>
        </w:tc>
      </w:tr>
      <w:tr w14:paraId="7057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419A0D1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1F03AF27">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58FB270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47</w:t>
            </w:r>
          </w:p>
        </w:tc>
        <w:tc>
          <w:tcPr>
            <w:tcW w:w="276" w:type="pct"/>
            <w:noWrap w:val="0"/>
            <w:vAlign w:val="center"/>
          </w:tcPr>
          <w:p w14:paraId="0B47F8B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科室处理</w:t>
            </w:r>
          </w:p>
        </w:tc>
        <w:tc>
          <w:tcPr>
            <w:tcW w:w="263" w:type="pct"/>
            <w:noWrap w:val="0"/>
            <w:vAlign w:val="center"/>
          </w:tcPr>
          <w:p w14:paraId="1A49D55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2F09558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被暂停医疗保障结算的。</w:t>
            </w:r>
          </w:p>
        </w:tc>
        <w:tc>
          <w:tcPr>
            <w:tcW w:w="299" w:type="pct"/>
            <w:noWrap w:val="0"/>
            <w:vAlign w:val="center"/>
          </w:tcPr>
          <w:p w14:paraId="2BDCA039">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21183F3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按数量扣分，每次扣10分，最多扣50分。</w:t>
            </w:r>
          </w:p>
        </w:tc>
      </w:tr>
      <w:tr w14:paraId="1CC5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76" w:type="pct"/>
            <w:vMerge w:val="restart"/>
            <w:noWrap w:val="0"/>
            <w:vAlign w:val="center"/>
          </w:tcPr>
          <w:p w14:paraId="65DF4CA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基金监管</w:t>
            </w:r>
          </w:p>
        </w:tc>
        <w:tc>
          <w:tcPr>
            <w:tcW w:w="272" w:type="pct"/>
            <w:vMerge w:val="restart"/>
            <w:noWrap w:val="0"/>
            <w:vAlign w:val="center"/>
          </w:tcPr>
          <w:p w14:paraId="5E2E57B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一般处理</w:t>
            </w:r>
          </w:p>
        </w:tc>
        <w:tc>
          <w:tcPr>
            <w:tcW w:w="218" w:type="pct"/>
            <w:noWrap w:val="0"/>
            <w:vAlign w:val="center"/>
          </w:tcPr>
          <w:p w14:paraId="5969F63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48</w:t>
            </w:r>
          </w:p>
        </w:tc>
        <w:tc>
          <w:tcPr>
            <w:tcW w:w="276" w:type="pct"/>
            <w:noWrap w:val="0"/>
            <w:vAlign w:val="center"/>
          </w:tcPr>
          <w:p w14:paraId="55F1D28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约谈</w:t>
            </w:r>
          </w:p>
        </w:tc>
        <w:tc>
          <w:tcPr>
            <w:tcW w:w="263" w:type="pct"/>
            <w:noWrap w:val="0"/>
            <w:vAlign w:val="center"/>
          </w:tcPr>
          <w:p w14:paraId="18C1A56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587CCADC">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被医疗保障部门约谈的。</w:t>
            </w:r>
          </w:p>
        </w:tc>
        <w:tc>
          <w:tcPr>
            <w:tcW w:w="299" w:type="pct"/>
            <w:noWrap w:val="0"/>
            <w:vAlign w:val="center"/>
          </w:tcPr>
          <w:p w14:paraId="1B10A800">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465A84D7">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按次数扣分，每次扣50分。</w:t>
            </w:r>
          </w:p>
        </w:tc>
      </w:tr>
      <w:tr w14:paraId="1C92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76" w:type="pct"/>
            <w:vMerge w:val="continue"/>
            <w:noWrap w:val="0"/>
            <w:vAlign w:val="center"/>
          </w:tcPr>
          <w:p w14:paraId="7FBF42F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35D431EB">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27C0334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49</w:t>
            </w:r>
          </w:p>
        </w:tc>
        <w:tc>
          <w:tcPr>
            <w:tcW w:w="276" w:type="pct"/>
            <w:noWrap w:val="0"/>
            <w:vAlign w:val="center"/>
          </w:tcPr>
          <w:p w14:paraId="4488420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整改</w:t>
            </w:r>
          </w:p>
        </w:tc>
        <w:tc>
          <w:tcPr>
            <w:tcW w:w="263" w:type="pct"/>
            <w:noWrap w:val="0"/>
            <w:vAlign w:val="center"/>
          </w:tcPr>
          <w:p w14:paraId="4C9C3FA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444D824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被医疗保障部门责令整改的。</w:t>
            </w:r>
          </w:p>
        </w:tc>
        <w:tc>
          <w:tcPr>
            <w:tcW w:w="299" w:type="pct"/>
            <w:noWrap w:val="0"/>
            <w:vAlign w:val="center"/>
          </w:tcPr>
          <w:p w14:paraId="1CABEF0A">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3FA4917C">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按次数扣分，每次扣50分。</w:t>
            </w:r>
          </w:p>
        </w:tc>
      </w:tr>
      <w:tr w14:paraId="5888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276" w:type="pct"/>
            <w:vMerge w:val="continue"/>
            <w:noWrap w:val="0"/>
            <w:vAlign w:val="center"/>
          </w:tcPr>
          <w:p w14:paraId="1C422DDB">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center"/>
          </w:tcPr>
          <w:p w14:paraId="19FD0DB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行政处罚</w:t>
            </w:r>
          </w:p>
        </w:tc>
        <w:tc>
          <w:tcPr>
            <w:tcW w:w="218" w:type="pct"/>
            <w:noWrap w:val="0"/>
            <w:vAlign w:val="center"/>
          </w:tcPr>
          <w:p w14:paraId="512EC0D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50</w:t>
            </w:r>
          </w:p>
        </w:tc>
        <w:tc>
          <w:tcPr>
            <w:tcW w:w="276" w:type="pct"/>
            <w:noWrap w:val="0"/>
            <w:vAlign w:val="center"/>
          </w:tcPr>
          <w:p w14:paraId="78E222F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罚款</w:t>
            </w:r>
          </w:p>
        </w:tc>
        <w:tc>
          <w:tcPr>
            <w:tcW w:w="263" w:type="pct"/>
            <w:noWrap w:val="0"/>
            <w:vAlign w:val="center"/>
          </w:tcPr>
          <w:p w14:paraId="56D761A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72A806A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被医疗保障行政部门罚款。</w:t>
            </w:r>
          </w:p>
        </w:tc>
        <w:tc>
          <w:tcPr>
            <w:tcW w:w="299" w:type="pct"/>
            <w:noWrap w:val="0"/>
            <w:vAlign w:val="center"/>
          </w:tcPr>
          <w:p w14:paraId="6C302649">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5588A2E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按金额扣分，计算公式为：（罚款费用金额/本机构医保基金支付总额）×500分。</w:t>
            </w:r>
          </w:p>
        </w:tc>
      </w:tr>
      <w:tr w14:paraId="2A46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1DB4CBA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ign w:val="center"/>
          </w:tcPr>
          <w:p w14:paraId="55886B6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其他行为</w:t>
            </w:r>
          </w:p>
        </w:tc>
        <w:tc>
          <w:tcPr>
            <w:tcW w:w="218" w:type="pct"/>
            <w:noWrap w:val="0"/>
            <w:vAlign w:val="center"/>
          </w:tcPr>
          <w:p w14:paraId="1605387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51</w:t>
            </w:r>
          </w:p>
        </w:tc>
        <w:tc>
          <w:tcPr>
            <w:tcW w:w="276" w:type="pct"/>
            <w:noWrap/>
            <w:vAlign w:val="center"/>
          </w:tcPr>
          <w:p w14:paraId="5695129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其他行为</w:t>
            </w:r>
          </w:p>
        </w:tc>
        <w:tc>
          <w:tcPr>
            <w:tcW w:w="263" w:type="pct"/>
            <w:noWrap w:val="0"/>
            <w:vAlign w:val="center"/>
          </w:tcPr>
          <w:p w14:paraId="77CC187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7DC75E64">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其他骗取医疗保障基金支出的行为。</w:t>
            </w:r>
          </w:p>
        </w:tc>
        <w:tc>
          <w:tcPr>
            <w:tcW w:w="299" w:type="pct"/>
            <w:noWrap w:val="0"/>
            <w:vAlign w:val="center"/>
          </w:tcPr>
          <w:p w14:paraId="71E20DF8">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ign w:val="center"/>
          </w:tcPr>
          <w:p w14:paraId="385662CC">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视情况扣除</w:t>
            </w:r>
            <w:r>
              <w:rPr>
                <w:rFonts w:hint="default" w:ascii="Times New Roman" w:hAnsi="Times New Roman" w:eastAsia="仿宋_GB2312" w:cs="Times New Roman"/>
                <w:color w:val="000000"/>
                <w:kern w:val="0"/>
                <w:sz w:val="22"/>
                <w:highlight w:val="none"/>
                <w:lang w:eastAsia="zh-CN" w:bidi="ar"/>
              </w:rPr>
              <w:t>，</w:t>
            </w:r>
            <w:r>
              <w:rPr>
                <w:rFonts w:hint="default" w:ascii="Times New Roman" w:hAnsi="Times New Roman" w:eastAsia="仿宋_GB2312" w:cs="Times New Roman"/>
                <w:color w:val="000000"/>
                <w:kern w:val="0"/>
                <w:sz w:val="22"/>
                <w:highlight w:val="none"/>
                <w:lang w:val="en-US" w:eastAsia="zh-CN" w:bidi="ar"/>
              </w:rPr>
              <w:t>直至一票否决扣360分</w:t>
            </w:r>
            <w:r>
              <w:rPr>
                <w:rFonts w:hint="default" w:ascii="Times New Roman" w:hAnsi="Times New Roman" w:eastAsia="仿宋_GB2312" w:cs="Times New Roman"/>
                <w:color w:val="000000"/>
                <w:kern w:val="0"/>
                <w:sz w:val="22"/>
                <w:highlight w:val="none"/>
                <w:lang w:bidi="ar"/>
              </w:rPr>
              <w:t>。</w:t>
            </w:r>
          </w:p>
        </w:tc>
      </w:tr>
      <w:tr w14:paraId="655B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noWrap w:val="0"/>
            <w:vAlign w:val="center"/>
          </w:tcPr>
          <w:p w14:paraId="1EC7014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社会信用</w:t>
            </w:r>
          </w:p>
        </w:tc>
        <w:tc>
          <w:tcPr>
            <w:tcW w:w="272" w:type="pct"/>
            <w:noWrap/>
            <w:vAlign w:val="center"/>
          </w:tcPr>
          <w:p w14:paraId="2DE9402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行政处理</w:t>
            </w:r>
          </w:p>
        </w:tc>
        <w:tc>
          <w:tcPr>
            <w:tcW w:w="218" w:type="pct"/>
            <w:noWrap w:val="0"/>
            <w:vAlign w:val="center"/>
          </w:tcPr>
          <w:p w14:paraId="5B9AD8E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52</w:t>
            </w:r>
          </w:p>
        </w:tc>
        <w:tc>
          <w:tcPr>
            <w:tcW w:w="276" w:type="pct"/>
            <w:noWrap/>
            <w:vAlign w:val="center"/>
          </w:tcPr>
          <w:p w14:paraId="698F73C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行政处罚</w:t>
            </w:r>
          </w:p>
        </w:tc>
        <w:tc>
          <w:tcPr>
            <w:tcW w:w="263" w:type="pct"/>
            <w:noWrap w:val="0"/>
            <w:vAlign w:val="center"/>
          </w:tcPr>
          <w:p w14:paraId="641EAE3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3A41821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被政府有关行政部门给予行政处罚情况。</w:t>
            </w:r>
          </w:p>
        </w:tc>
        <w:tc>
          <w:tcPr>
            <w:tcW w:w="299" w:type="pct"/>
            <w:noWrap w:val="0"/>
            <w:vAlign w:val="center"/>
          </w:tcPr>
          <w:p w14:paraId="17D9DFA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ign w:val="center"/>
          </w:tcPr>
          <w:p w14:paraId="1628B416">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按次数扣分，简易程序处罚一次扣15分，一般程序处罚一次扣30分，最多扣180分。</w:t>
            </w:r>
          </w:p>
        </w:tc>
      </w:tr>
      <w:tr w14:paraId="5D7E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restart"/>
            <w:noWrap w:val="0"/>
            <w:vAlign w:val="center"/>
          </w:tcPr>
          <w:p w14:paraId="2460F921">
            <w:pPr>
              <w:widowControl/>
              <w:jc w:val="center"/>
              <w:textAlignment w:val="center"/>
              <w:rPr>
                <w:rFonts w:hint="default" w:ascii="Times New Roman" w:hAnsi="Times New Roman" w:eastAsia="仿宋_GB2312" w:cs="Times New Roman"/>
                <w:color w:val="000000"/>
                <w:kern w:val="0"/>
                <w:sz w:val="22"/>
                <w:highlight w:val="none"/>
                <w:lang w:bidi="ar"/>
              </w:rPr>
            </w:pPr>
            <w:bookmarkStart w:id="7" w:name="OLE_LINK8" w:colFirst="0" w:colLast="0"/>
            <w:r>
              <w:rPr>
                <w:rFonts w:hint="default" w:ascii="Times New Roman" w:hAnsi="Times New Roman" w:eastAsia="仿宋_GB2312" w:cs="Times New Roman"/>
                <w:color w:val="000000"/>
                <w:kern w:val="0"/>
                <w:sz w:val="22"/>
                <w:highlight w:val="none"/>
                <w:lang w:bidi="ar"/>
              </w:rPr>
              <w:t>表彰奖励</w:t>
            </w:r>
          </w:p>
        </w:tc>
        <w:tc>
          <w:tcPr>
            <w:tcW w:w="272" w:type="pct"/>
            <w:vMerge w:val="restart"/>
            <w:noWrap w:val="0"/>
            <w:vAlign w:val="center"/>
          </w:tcPr>
          <w:p w14:paraId="17D130A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受到表彰</w:t>
            </w:r>
          </w:p>
        </w:tc>
        <w:tc>
          <w:tcPr>
            <w:tcW w:w="218" w:type="pct"/>
            <w:noWrap w:val="0"/>
            <w:vAlign w:val="center"/>
          </w:tcPr>
          <w:p w14:paraId="3FDE888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53</w:t>
            </w:r>
          </w:p>
        </w:tc>
        <w:tc>
          <w:tcPr>
            <w:tcW w:w="276" w:type="pct"/>
            <w:noWrap w:val="0"/>
            <w:vAlign w:val="center"/>
          </w:tcPr>
          <w:p w14:paraId="4DD2543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政府表彰</w:t>
            </w:r>
          </w:p>
        </w:tc>
        <w:tc>
          <w:tcPr>
            <w:tcW w:w="263" w:type="pct"/>
            <w:noWrap w:val="0"/>
            <w:vAlign w:val="center"/>
          </w:tcPr>
          <w:p w14:paraId="74A120B5">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53538D81">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受到党委、人民政府表彰奖励的。</w:t>
            </w:r>
          </w:p>
        </w:tc>
        <w:tc>
          <w:tcPr>
            <w:tcW w:w="299" w:type="pct"/>
            <w:noWrap/>
            <w:vAlign w:val="center"/>
          </w:tcPr>
          <w:p w14:paraId="5656A1E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0"/>
            <w:vAlign w:val="center"/>
          </w:tcPr>
          <w:p w14:paraId="70EA4C43">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县级每次计加5分，市级每次计加10分，省级每次计加20分，国家级每次计加50分。</w:t>
            </w:r>
          </w:p>
        </w:tc>
      </w:tr>
      <w:bookmarkEnd w:id="7"/>
      <w:tr w14:paraId="3688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3DEBC0A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78C919F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1577CCC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54</w:t>
            </w:r>
          </w:p>
        </w:tc>
        <w:tc>
          <w:tcPr>
            <w:tcW w:w="276" w:type="pct"/>
            <w:noWrap w:val="0"/>
            <w:vAlign w:val="center"/>
          </w:tcPr>
          <w:p w14:paraId="00DDC8D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医保表彰</w:t>
            </w:r>
          </w:p>
        </w:tc>
        <w:tc>
          <w:tcPr>
            <w:tcW w:w="263" w:type="pct"/>
            <w:noWrap w:val="0"/>
            <w:vAlign w:val="center"/>
          </w:tcPr>
          <w:p w14:paraId="67EE641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53CB2887">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受到医疗保障行政部门通报表扬。</w:t>
            </w:r>
          </w:p>
        </w:tc>
        <w:tc>
          <w:tcPr>
            <w:tcW w:w="299" w:type="pct"/>
            <w:noWrap/>
            <w:vAlign w:val="center"/>
          </w:tcPr>
          <w:p w14:paraId="31A57C1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0"/>
            <w:vAlign w:val="center"/>
          </w:tcPr>
          <w:p w14:paraId="2C40BE68">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市级每次计加5分，省级每次计加10分，国家级每次计加20分。</w:t>
            </w:r>
          </w:p>
        </w:tc>
      </w:tr>
      <w:tr w14:paraId="01A3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restart"/>
            <w:noWrap w:val="0"/>
            <w:vAlign w:val="center"/>
          </w:tcPr>
          <w:p w14:paraId="43E2EF2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表彰奖励</w:t>
            </w:r>
          </w:p>
        </w:tc>
        <w:tc>
          <w:tcPr>
            <w:tcW w:w="272" w:type="pct"/>
            <w:vMerge w:val="restart"/>
            <w:noWrap w:val="0"/>
            <w:vAlign w:val="center"/>
          </w:tcPr>
          <w:p w14:paraId="791E776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工作配合</w:t>
            </w:r>
          </w:p>
        </w:tc>
        <w:tc>
          <w:tcPr>
            <w:tcW w:w="218" w:type="pct"/>
            <w:noWrap w:val="0"/>
            <w:vAlign w:val="center"/>
          </w:tcPr>
          <w:p w14:paraId="5F7D5E6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55</w:t>
            </w:r>
          </w:p>
        </w:tc>
        <w:tc>
          <w:tcPr>
            <w:tcW w:w="276" w:type="pct"/>
            <w:noWrap w:val="0"/>
            <w:vAlign w:val="center"/>
          </w:tcPr>
          <w:p w14:paraId="04E36FE0">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参与试点改革</w:t>
            </w:r>
          </w:p>
        </w:tc>
        <w:tc>
          <w:tcPr>
            <w:tcW w:w="263" w:type="pct"/>
            <w:noWrap w:val="0"/>
            <w:vAlign w:val="center"/>
          </w:tcPr>
          <w:p w14:paraId="6698A7CA">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7DA9DAA3">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积极参与市级及以上医保试点改革等工作的，受到医疗保障部门认可，并出具相关证明材料。</w:t>
            </w:r>
          </w:p>
        </w:tc>
        <w:tc>
          <w:tcPr>
            <w:tcW w:w="299" w:type="pct"/>
            <w:noWrap/>
            <w:vAlign w:val="center"/>
          </w:tcPr>
          <w:p w14:paraId="3933BD5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0"/>
            <w:vAlign w:val="center"/>
          </w:tcPr>
          <w:p w14:paraId="4CA245C0">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市级每次计加10分，省级每次计加20分，国家级每次计加50分。</w:t>
            </w:r>
          </w:p>
        </w:tc>
      </w:tr>
      <w:tr w14:paraId="133A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54B309C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24B6B7B6">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2D55DAB9">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56</w:t>
            </w:r>
          </w:p>
        </w:tc>
        <w:tc>
          <w:tcPr>
            <w:tcW w:w="276" w:type="pct"/>
            <w:noWrap w:val="0"/>
            <w:vAlign w:val="center"/>
          </w:tcPr>
          <w:p w14:paraId="70C4CA2C">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药品采购</w:t>
            </w:r>
          </w:p>
        </w:tc>
        <w:tc>
          <w:tcPr>
            <w:tcW w:w="263" w:type="pct"/>
            <w:noWrap w:val="0"/>
            <w:vAlign w:val="center"/>
          </w:tcPr>
          <w:p w14:paraId="1AFD1C9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ign w:val="center"/>
          </w:tcPr>
          <w:p w14:paraId="6A5CB01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属于医保基金结算的药品,非公立医疗机构按照不高于采购平台中标或挂网价向参保人销售。</w:t>
            </w:r>
          </w:p>
        </w:tc>
        <w:tc>
          <w:tcPr>
            <w:tcW w:w="299" w:type="pct"/>
            <w:noWrap/>
            <w:vAlign w:val="center"/>
          </w:tcPr>
          <w:p w14:paraId="2EFCE9B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0"/>
            <w:vAlign w:val="center"/>
          </w:tcPr>
          <w:p w14:paraId="1A08B56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每次计加10分。</w:t>
            </w:r>
          </w:p>
        </w:tc>
      </w:tr>
      <w:tr w14:paraId="431E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0279C6BA">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center"/>
          </w:tcPr>
          <w:p w14:paraId="7DC8C5DF">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2431742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57</w:t>
            </w:r>
          </w:p>
        </w:tc>
        <w:tc>
          <w:tcPr>
            <w:tcW w:w="276" w:type="pct"/>
            <w:noWrap w:val="0"/>
            <w:vAlign w:val="center"/>
          </w:tcPr>
          <w:p w14:paraId="25497BD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自查自纠</w:t>
            </w:r>
          </w:p>
        </w:tc>
        <w:tc>
          <w:tcPr>
            <w:tcW w:w="263" w:type="pct"/>
            <w:noWrap w:val="0"/>
            <w:vAlign w:val="center"/>
          </w:tcPr>
          <w:p w14:paraId="58463A0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ign w:val="center"/>
          </w:tcPr>
          <w:p w14:paraId="6A935DE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按照主动回退金额予以加分。</w:t>
            </w:r>
          </w:p>
        </w:tc>
        <w:tc>
          <w:tcPr>
            <w:tcW w:w="299" w:type="pct"/>
            <w:noWrap/>
            <w:vAlign w:val="center"/>
          </w:tcPr>
          <w:p w14:paraId="7C58E17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0"/>
            <w:vAlign w:val="center"/>
          </w:tcPr>
          <w:p w14:paraId="099F8E1E">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按金额加分，计算公式为：（主动回退金额/</w:t>
            </w:r>
            <w:r>
              <w:rPr>
                <w:rFonts w:hint="default" w:ascii="Times New Roman" w:hAnsi="Times New Roman" w:eastAsia="仿宋_GB2312" w:cs="Times New Roman"/>
                <w:color w:val="000000"/>
                <w:kern w:val="0"/>
                <w:sz w:val="22"/>
                <w:highlight w:val="none"/>
                <w:lang w:val="en-US" w:eastAsia="zh-CN" w:bidi="ar"/>
              </w:rPr>
              <w:t>全市</w:t>
            </w:r>
            <w:r>
              <w:rPr>
                <w:rFonts w:hint="default" w:ascii="Times New Roman" w:hAnsi="Times New Roman" w:eastAsia="仿宋_GB2312" w:cs="Times New Roman"/>
                <w:color w:val="000000"/>
                <w:kern w:val="0"/>
                <w:sz w:val="22"/>
                <w:highlight w:val="none"/>
                <w:lang w:bidi="ar"/>
              </w:rPr>
              <w:t>所有定点医疗机构自查自纠主动退回金额）×50分。</w:t>
            </w:r>
          </w:p>
        </w:tc>
      </w:tr>
      <w:tr w14:paraId="5E28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76" w:type="pct"/>
            <w:vMerge w:val="continue"/>
            <w:noWrap w:val="0"/>
            <w:vAlign w:val="center"/>
          </w:tcPr>
          <w:p w14:paraId="21CF919D">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center"/>
          </w:tcPr>
          <w:p w14:paraId="6A9B5A5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公益活动</w:t>
            </w:r>
          </w:p>
        </w:tc>
        <w:tc>
          <w:tcPr>
            <w:tcW w:w="218" w:type="pct"/>
            <w:noWrap w:val="0"/>
            <w:vAlign w:val="center"/>
          </w:tcPr>
          <w:p w14:paraId="7904BDDD">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58</w:t>
            </w:r>
          </w:p>
        </w:tc>
        <w:tc>
          <w:tcPr>
            <w:tcW w:w="276" w:type="pct"/>
            <w:noWrap w:val="0"/>
            <w:vAlign w:val="center"/>
          </w:tcPr>
          <w:p w14:paraId="4246D4E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公益活动</w:t>
            </w:r>
          </w:p>
        </w:tc>
        <w:tc>
          <w:tcPr>
            <w:tcW w:w="263" w:type="pct"/>
            <w:noWrap w:val="0"/>
            <w:vAlign w:val="center"/>
          </w:tcPr>
          <w:p w14:paraId="2077C5E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定量</w:t>
            </w:r>
          </w:p>
        </w:tc>
        <w:tc>
          <w:tcPr>
            <w:tcW w:w="2360" w:type="pct"/>
            <w:noWrap w:val="0"/>
            <w:vAlign w:val="center"/>
          </w:tcPr>
          <w:p w14:paraId="7E3B273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主动参加医疗保障部门组织的公益活动，受到医疗保障部门认可。</w:t>
            </w:r>
          </w:p>
        </w:tc>
        <w:tc>
          <w:tcPr>
            <w:tcW w:w="299" w:type="pct"/>
            <w:noWrap/>
            <w:vAlign w:val="center"/>
          </w:tcPr>
          <w:p w14:paraId="4A67D6C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0"/>
            <w:vAlign w:val="center"/>
          </w:tcPr>
          <w:p w14:paraId="089072EB">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每次计加5分。</w:t>
            </w:r>
          </w:p>
        </w:tc>
      </w:tr>
      <w:tr w14:paraId="12EF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center"/>
          </w:tcPr>
          <w:p w14:paraId="14B7295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center"/>
          </w:tcPr>
          <w:p w14:paraId="47AAF831">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其他奖励情况</w:t>
            </w:r>
          </w:p>
        </w:tc>
        <w:tc>
          <w:tcPr>
            <w:tcW w:w="218" w:type="pct"/>
            <w:noWrap w:val="0"/>
            <w:vAlign w:val="center"/>
          </w:tcPr>
          <w:p w14:paraId="4E93FE07">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59</w:t>
            </w:r>
          </w:p>
        </w:tc>
        <w:tc>
          <w:tcPr>
            <w:tcW w:w="276" w:type="pct"/>
            <w:noWrap w:val="0"/>
            <w:vAlign w:val="center"/>
          </w:tcPr>
          <w:p w14:paraId="7AA9188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其他奖励情况</w:t>
            </w:r>
          </w:p>
        </w:tc>
        <w:tc>
          <w:tcPr>
            <w:tcW w:w="263" w:type="pct"/>
            <w:noWrap w:val="0"/>
            <w:vAlign w:val="center"/>
          </w:tcPr>
          <w:p w14:paraId="2C987724">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7D6BB1F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医疗保障部门认定的其他奖励性措施。</w:t>
            </w:r>
          </w:p>
        </w:tc>
        <w:tc>
          <w:tcPr>
            <w:tcW w:w="299" w:type="pct"/>
            <w:noWrap/>
            <w:vAlign w:val="center"/>
          </w:tcPr>
          <w:p w14:paraId="6268FC4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主动上报</w:t>
            </w:r>
          </w:p>
        </w:tc>
        <w:tc>
          <w:tcPr>
            <w:tcW w:w="1031" w:type="pct"/>
            <w:noWrap/>
            <w:vAlign w:val="center"/>
          </w:tcPr>
          <w:p w14:paraId="1E0C8CE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视情况计加。</w:t>
            </w:r>
          </w:p>
        </w:tc>
      </w:tr>
      <w:tr w14:paraId="46D5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restart"/>
            <w:noWrap w:val="0"/>
            <w:vAlign w:val="center"/>
          </w:tcPr>
          <w:p w14:paraId="3BC4F3C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w:t>
            </w:r>
          </w:p>
        </w:tc>
        <w:tc>
          <w:tcPr>
            <w:tcW w:w="272" w:type="pct"/>
            <w:noWrap w:val="0"/>
            <w:vAlign w:val="center"/>
          </w:tcPr>
          <w:p w14:paraId="7A329C7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失信被执行人</w:t>
            </w:r>
          </w:p>
        </w:tc>
        <w:tc>
          <w:tcPr>
            <w:tcW w:w="218" w:type="pct"/>
            <w:noWrap w:val="0"/>
            <w:vAlign w:val="center"/>
          </w:tcPr>
          <w:p w14:paraId="34164D82">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60</w:t>
            </w:r>
          </w:p>
        </w:tc>
        <w:tc>
          <w:tcPr>
            <w:tcW w:w="276" w:type="pct"/>
            <w:noWrap w:val="0"/>
            <w:vAlign w:val="center"/>
          </w:tcPr>
          <w:p w14:paraId="10233B2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失信被执行人</w:t>
            </w:r>
          </w:p>
        </w:tc>
        <w:tc>
          <w:tcPr>
            <w:tcW w:w="263" w:type="pct"/>
            <w:noWrap w:val="0"/>
            <w:vAlign w:val="center"/>
          </w:tcPr>
          <w:p w14:paraId="46B840F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3FB4603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医疗机构或其法人被纳入公共信用系统失信名单的情况。</w:t>
            </w:r>
          </w:p>
        </w:tc>
        <w:tc>
          <w:tcPr>
            <w:tcW w:w="299" w:type="pct"/>
            <w:noWrap/>
            <w:vAlign w:val="center"/>
          </w:tcPr>
          <w:p w14:paraId="0A7CCF2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ign w:val="center"/>
          </w:tcPr>
          <w:p w14:paraId="4BCCACED">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r w14:paraId="607D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76" w:type="pct"/>
            <w:vMerge w:val="continue"/>
            <w:noWrap w:val="0"/>
            <w:vAlign w:val="top"/>
          </w:tcPr>
          <w:p w14:paraId="0C63C0A2">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top"/>
          </w:tcPr>
          <w:p w14:paraId="03876D3B">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司法处理</w:t>
            </w:r>
          </w:p>
        </w:tc>
        <w:tc>
          <w:tcPr>
            <w:tcW w:w="218" w:type="pct"/>
            <w:noWrap w:val="0"/>
            <w:vAlign w:val="center"/>
          </w:tcPr>
          <w:p w14:paraId="4C6EDBC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61</w:t>
            </w:r>
          </w:p>
        </w:tc>
        <w:tc>
          <w:tcPr>
            <w:tcW w:w="276" w:type="pct"/>
            <w:noWrap w:val="0"/>
            <w:vAlign w:val="center"/>
          </w:tcPr>
          <w:p w14:paraId="2E3D1815">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欺诈骗保</w:t>
            </w:r>
          </w:p>
        </w:tc>
        <w:tc>
          <w:tcPr>
            <w:tcW w:w="263" w:type="pct"/>
            <w:noWrap w:val="0"/>
            <w:vAlign w:val="center"/>
          </w:tcPr>
          <w:p w14:paraId="097CD332">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67A6B2CB">
            <w:pPr>
              <w:keepNext w:val="0"/>
              <w:keepLines w:val="0"/>
              <w:pageBreakBefore w:val="0"/>
              <w:widowControl/>
              <w:kinsoku/>
              <w:wordWrap/>
              <w:overflowPunct/>
              <w:topLinePunct w:val="0"/>
              <w:autoSpaceDE/>
              <w:autoSpaceDN/>
              <w:bidi w:val="0"/>
              <w:adjustRightInd/>
              <w:snapToGrid/>
              <w:spacing w:line="290" w:lineRule="exact"/>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定点医疗机构及其工作人员因欺诈、伪造证明材料或其他手段骗取医疗保障基金或者医疗保障待遇被司法机关追究刑事责任的。</w:t>
            </w:r>
          </w:p>
        </w:tc>
        <w:tc>
          <w:tcPr>
            <w:tcW w:w="299" w:type="pct"/>
            <w:noWrap w:val="0"/>
            <w:vAlign w:val="center"/>
          </w:tcPr>
          <w:p w14:paraId="577588BC">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3116F756">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r w14:paraId="6C3B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top"/>
          </w:tcPr>
          <w:p w14:paraId="1B5D3CB1">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restart"/>
            <w:noWrap w:val="0"/>
            <w:vAlign w:val="center"/>
          </w:tcPr>
          <w:p w14:paraId="178D8A5F">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协议处理</w:t>
            </w:r>
          </w:p>
        </w:tc>
        <w:tc>
          <w:tcPr>
            <w:tcW w:w="218" w:type="pct"/>
            <w:noWrap w:val="0"/>
            <w:vAlign w:val="center"/>
          </w:tcPr>
          <w:p w14:paraId="7501B26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62</w:t>
            </w:r>
          </w:p>
        </w:tc>
        <w:tc>
          <w:tcPr>
            <w:tcW w:w="276" w:type="pct"/>
            <w:noWrap w:val="0"/>
            <w:vAlign w:val="center"/>
          </w:tcPr>
          <w:p w14:paraId="779B3F9E">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解除协议</w:t>
            </w:r>
          </w:p>
        </w:tc>
        <w:tc>
          <w:tcPr>
            <w:tcW w:w="263" w:type="pct"/>
            <w:noWrap w:val="0"/>
            <w:vAlign w:val="center"/>
          </w:tcPr>
          <w:p w14:paraId="767CFD8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275A01D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被医疗保障</w:t>
            </w:r>
            <w:r>
              <w:rPr>
                <w:rFonts w:hint="default" w:ascii="Times New Roman" w:hAnsi="Times New Roman" w:eastAsia="仿宋_GB2312" w:cs="Times New Roman"/>
                <w:color w:val="000000"/>
                <w:kern w:val="0"/>
                <w:sz w:val="22"/>
                <w:highlight w:val="none"/>
                <w:lang w:val="en-US" w:eastAsia="zh-CN" w:bidi="ar"/>
              </w:rPr>
              <w:t>经办机构</w:t>
            </w:r>
            <w:r>
              <w:rPr>
                <w:rFonts w:hint="default" w:ascii="Times New Roman" w:hAnsi="Times New Roman" w:eastAsia="仿宋_GB2312" w:cs="Times New Roman"/>
                <w:color w:val="000000"/>
                <w:kern w:val="0"/>
                <w:sz w:val="22"/>
                <w:highlight w:val="none"/>
                <w:lang w:bidi="ar"/>
              </w:rPr>
              <w:t>解除协议的。</w:t>
            </w:r>
          </w:p>
        </w:tc>
        <w:tc>
          <w:tcPr>
            <w:tcW w:w="299" w:type="pct"/>
            <w:noWrap w:val="0"/>
            <w:vAlign w:val="center"/>
          </w:tcPr>
          <w:p w14:paraId="23F0018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p>
        </w:tc>
        <w:tc>
          <w:tcPr>
            <w:tcW w:w="1031" w:type="pct"/>
            <w:noWrap w:val="0"/>
            <w:vAlign w:val="center"/>
          </w:tcPr>
          <w:p w14:paraId="355EB5F9">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r w14:paraId="4183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top"/>
          </w:tcPr>
          <w:p w14:paraId="07D7A7DC">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vMerge w:val="continue"/>
            <w:noWrap w:val="0"/>
            <w:vAlign w:val="top"/>
          </w:tcPr>
          <w:p w14:paraId="7F41E2DE">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18" w:type="pct"/>
            <w:noWrap w:val="0"/>
            <w:vAlign w:val="center"/>
          </w:tcPr>
          <w:p w14:paraId="789E99E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63</w:t>
            </w:r>
          </w:p>
        </w:tc>
        <w:tc>
          <w:tcPr>
            <w:tcW w:w="276" w:type="pct"/>
            <w:noWrap w:val="0"/>
            <w:vAlign w:val="center"/>
          </w:tcPr>
          <w:p w14:paraId="20227FB6">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变更备案</w:t>
            </w:r>
          </w:p>
        </w:tc>
        <w:tc>
          <w:tcPr>
            <w:tcW w:w="263" w:type="pct"/>
            <w:noWrap w:val="0"/>
            <w:vAlign w:val="center"/>
          </w:tcPr>
          <w:p w14:paraId="7EE004D3">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0E6E3ABF">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医疗机构名称、执业地址等发生变化时，及时向医疗保障部门提供相关材料备案，被发现重大信息发生变更,经医保经办机构责令整改，但未在规定时间内办理重大信息变更的。</w:t>
            </w:r>
          </w:p>
        </w:tc>
        <w:tc>
          <w:tcPr>
            <w:tcW w:w="299" w:type="pct"/>
            <w:noWrap w:val="0"/>
            <w:vAlign w:val="center"/>
          </w:tcPr>
          <w:p w14:paraId="7E812F89">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3F61A172">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r w14:paraId="6574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6" w:type="pct"/>
            <w:vMerge w:val="continue"/>
            <w:noWrap w:val="0"/>
            <w:vAlign w:val="top"/>
          </w:tcPr>
          <w:p w14:paraId="4ECA3483">
            <w:pPr>
              <w:widowControl/>
              <w:jc w:val="center"/>
              <w:textAlignment w:val="center"/>
              <w:rPr>
                <w:rFonts w:hint="default" w:ascii="Times New Roman" w:hAnsi="Times New Roman" w:eastAsia="仿宋_GB2312" w:cs="Times New Roman"/>
                <w:color w:val="000000"/>
                <w:kern w:val="0"/>
                <w:sz w:val="22"/>
                <w:highlight w:val="none"/>
                <w:lang w:bidi="ar"/>
              </w:rPr>
            </w:pPr>
          </w:p>
        </w:tc>
        <w:tc>
          <w:tcPr>
            <w:tcW w:w="272" w:type="pct"/>
            <w:noWrap w:val="0"/>
            <w:vAlign w:val="center"/>
          </w:tcPr>
          <w:p w14:paraId="3A17641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行为规范</w:t>
            </w:r>
          </w:p>
        </w:tc>
        <w:tc>
          <w:tcPr>
            <w:tcW w:w="218" w:type="pct"/>
            <w:noWrap w:val="0"/>
            <w:vAlign w:val="center"/>
          </w:tcPr>
          <w:p w14:paraId="62AF539B">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64</w:t>
            </w:r>
          </w:p>
        </w:tc>
        <w:tc>
          <w:tcPr>
            <w:tcW w:w="276" w:type="pct"/>
            <w:noWrap w:val="0"/>
            <w:vAlign w:val="center"/>
          </w:tcPr>
          <w:p w14:paraId="415CC610">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工作配合</w:t>
            </w:r>
          </w:p>
        </w:tc>
        <w:tc>
          <w:tcPr>
            <w:tcW w:w="263" w:type="pct"/>
            <w:noWrap w:val="0"/>
            <w:vAlign w:val="center"/>
          </w:tcPr>
          <w:p w14:paraId="6FAB2CE8">
            <w:pPr>
              <w:widowControl/>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定性</w:t>
            </w:r>
          </w:p>
        </w:tc>
        <w:tc>
          <w:tcPr>
            <w:tcW w:w="2360" w:type="pct"/>
            <w:noWrap w:val="0"/>
            <w:vAlign w:val="center"/>
          </w:tcPr>
          <w:p w14:paraId="35FD1400">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不配合医疗保障部门开展智能监控审核稽核、履约考核、监督检查等，情节恶劣的。</w:t>
            </w:r>
          </w:p>
        </w:tc>
        <w:tc>
          <w:tcPr>
            <w:tcW w:w="299" w:type="pct"/>
            <w:noWrap w:val="0"/>
            <w:vAlign w:val="center"/>
          </w:tcPr>
          <w:p w14:paraId="5AFC0C0C">
            <w:pPr>
              <w:keepNext w:val="0"/>
              <w:keepLines w:val="0"/>
              <w:pageBreakBefore w:val="0"/>
              <w:widowControl/>
              <w:kinsoku/>
              <w:wordWrap/>
              <w:overflowPunct/>
              <w:topLinePunct w:val="0"/>
              <w:autoSpaceDE/>
              <w:autoSpaceDN/>
              <w:bidi w:val="0"/>
              <w:adjustRightInd/>
              <w:snapToGrid/>
              <w:spacing w:line="290" w:lineRule="exact"/>
              <w:jc w:val="center"/>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日常抽查</w:t>
            </w:r>
            <w:r>
              <w:rPr>
                <w:rFonts w:hint="default" w:ascii="Times New Roman" w:hAnsi="Times New Roman" w:eastAsia="仿宋_GB2312" w:cs="Times New Roman"/>
                <w:color w:val="000000"/>
                <w:kern w:val="0"/>
                <w:sz w:val="22"/>
                <w:highlight w:val="none"/>
                <w:lang w:bidi="ar"/>
              </w:rPr>
              <w:br w:type="textWrapping"/>
            </w:r>
            <w:r>
              <w:rPr>
                <w:rFonts w:hint="default" w:ascii="Times New Roman" w:hAnsi="Times New Roman" w:eastAsia="仿宋_GB2312" w:cs="Times New Roman"/>
                <w:color w:val="000000"/>
                <w:kern w:val="0"/>
                <w:sz w:val="22"/>
                <w:highlight w:val="none"/>
                <w:lang w:bidi="ar"/>
              </w:rPr>
              <w:t>年度考核</w:t>
            </w:r>
          </w:p>
        </w:tc>
        <w:tc>
          <w:tcPr>
            <w:tcW w:w="1031" w:type="pct"/>
            <w:noWrap w:val="0"/>
            <w:vAlign w:val="center"/>
          </w:tcPr>
          <w:p w14:paraId="77CDA648">
            <w:pPr>
              <w:widowControl/>
              <w:textAlignment w:val="center"/>
              <w:rPr>
                <w:rFonts w:hint="default" w:ascii="Times New Roman" w:hAnsi="Times New Roman" w:eastAsia="仿宋_GB2312" w:cs="Times New Roman"/>
                <w:color w:val="000000"/>
                <w:kern w:val="0"/>
                <w:sz w:val="22"/>
                <w:highlight w:val="none"/>
                <w:lang w:bidi="ar"/>
              </w:rPr>
            </w:pPr>
            <w:r>
              <w:rPr>
                <w:rFonts w:hint="default" w:ascii="Times New Roman" w:hAnsi="Times New Roman" w:eastAsia="仿宋_GB2312" w:cs="Times New Roman"/>
                <w:color w:val="000000"/>
                <w:kern w:val="0"/>
                <w:sz w:val="22"/>
                <w:highlight w:val="none"/>
                <w:lang w:bidi="ar"/>
              </w:rPr>
              <w:t>一票否决，扣360分。</w:t>
            </w:r>
          </w:p>
        </w:tc>
      </w:tr>
    </w:tbl>
    <w:p w14:paraId="6A58DBB6">
      <w:r>
        <w:rPr>
          <w:rFonts w:hint="default" w:ascii="Times New Roman" w:hAnsi="Times New Roman" w:eastAsia="仿宋_GB2312" w:cs="Times New Roman"/>
          <w:sz w:val="32"/>
          <w:szCs w:val="32"/>
          <w:highlight w:val="none"/>
          <w:lang w:bidi="ar"/>
        </w:rPr>
        <w:br w:type="page"/>
      </w:r>
    </w:p>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EACCDD-0A7A-4DA3-9756-CBC8A5C9712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A3BAA5B-D11B-4AEF-BB05-A888BAD75769}"/>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3" w:fontKey="{5D3AF848-A6ED-4F4A-8241-BDE69EA2A115}"/>
  </w:font>
  <w:font w:name="仿宋_GB2312">
    <w:panose1 w:val="02010609030101010101"/>
    <w:charset w:val="86"/>
    <w:family w:val="modern"/>
    <w:pitch w:val="default"/>
    <w:sig w:usb0="00000001" w:usb1="080E0000" w:usb2="00000000" w:usb3="00000000" w:csb0="00040000" w:csb1="00000000"/>
    <w:embedRegular r:id="rId4" w:fontKey="{CE49213F-DB69-474E-B3AF-69BED8D8608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7D5060"/>
    <w:rsid w:val="287D5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pacing w:before="120" w:after="120" w:line="360" w:lineRule="auto"/>
      <w:ind w:firstLine="200" w:firstLineChars="200"/>
      <w:jc w:val="left"/>
    </w:pPr>
    <w:rPr>
      <w:rFonts w:ascii="Calibri" w:hAnsi="Times New Roman" w:eastAsia="Calibri" w:cs="Times New Roman"/>
      <w:b/>
      <w:bCs/>
      <w:caps/>
      <w:sz w:val="20"/>
      <w:szCs w:val="20"/>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2025-06-16T03:14:00Z</dcterms:created>
  <dc:creator>马拉松®</dc:creator>
  <cp:lastModifiedBy>马拉松®</cp:lastModifiedBy>
  <dcterms:modified xsi:type="dcterms:W3CDTF">2025-06-16T03:15:19Z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FC8B28066E394CFBA7FD23A6AE23D6AB_11</vt:lpwstr>
  </property>
  <property fmtid="{D5CDD505-2E9C-101B-9397-08002B2CF9AE}" pid="4" name="KSOTemplateDocerSaveRecord">
    <vt:lpwstr>eyJoZGlkIjoiMTAxODEyMmQ1MzY5MWFhMTcxZDNhODVmZmM0NzkzZWEiLCJ1c2VySWQiOiIyMDE5MDE1NTIifQ==</vt:lpwstr>
  </property>
</Properties>
</file>