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8D7EB">
      <w:pPr>
        <w:widowControl/>
        <w:spacing w:line="600" w:lineRule="exact"/>
        <w:rPr>
          <w:rFonts w:hint="default" w:ascii="Times New Roman" w:hAnsi="Times New Roman" w:eastAsia="黑体" w:cs="Times New Roman"/>
          <w:sz w:val="32"/>
          <w:szCs w:val="32"/>
          <w:highlight w:val="none"/>
          <w:lang w:bidi="ar"/>
        </w:rPr>
      </w:pPr>
      <w:r>
        <w:rPr>
          <w:rFonts w:hint="default" w:ascii="Times New Roman" w:hAnsi="Times New Roman" w:eastAsia="黑体" w:cs="Times New Roman"/>
          <w:sz w:val="32"/>
          <w:szCs w:val="32"/>
          <w:highlight w:val="none"/>
          <w:lang w:bidi="ar"/>
        </w:rPr>
        <w:t>附件3</w:t>
      </w:r>
      <w:bookmarkStart w:id="4" w:name="_GoBack"/>
      <w:bookmarkEnd w:id="4"/>
    </w:p>
    <w:p w14:paraId="6BEC32C3">
      <w:pPr>
        <w:widowControl/>
        <w:spacing w:line="600" w:lineRule="exact"/>
        <w:jc w:val="center"/>
        <w:rPr>
          <w:rFonts w:hint="default" w:ascii="Times New Roman" w:hAnsi="Times New Roman" w:eastAsia="方正小标宋简体" w:cs="Times New Roman"/>
          <w:sz w:val="44"/>
          <w:szCs w:val="44"/>
          <w:highlight w:val="none"/>
          <w:lang w:bidi="ar"/>
        </w:rPr>
      </w:pPr>
      <w:r>
        <w:rPr>
          <w:rFonts w:hint="default" w:ascii="Times New Roman" w:hAnsi="Times New Roman" w:eastAsia="方正小标宋简体" w:cs="Times New Roman"/>
          <w:sz w:val="44"/>
          <w:szCs w:val="44"/>
          <w:highlight w:val="none"/>
          <w:lang w:bidi="ar"/>
        </w:rPr>
        <w:t>定点零售药店医保信用评价指标</w:t>
      </w:r>
    </w:p>
    <w:tbl>
      <w:tblPr>
        <w:tblStyle w:val="4"/>
        <w:tblW w:w="49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782"/>
        <w:gridCol w:w="639"/>
        <w:gridCol w:w="807"/>
        <w:gridCol w:w="768"/>
        <w:gridCol w:w="6942"/>
        <w:gridCol w:w="690"/>
        <w:gridCol w:w="3053"/>
      </w:tblGrid>
      <w:tr w14:paraId="47AF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jc w:val="center"/>
        </w:trPr>
        <w:tc>
          <w:tcPr>
            <w:tcW w:w="282" w:type="pct"/>
            <w:noWrap w:val="0"/>
            <w:vAlign w:val="center"/>
          </w:tcPr>
          <w:p w14:paraId="5BE98DD1">
            <w:pPr>
              <w:widowControl/>
              <w:jc w:val="center"/>
              <w:textAlignment w:val="center"/>
              <w:rPr>
                <w:rFonts w:hint="default" w:ascii="Times New Roman" w:hAnsi="Times New Roman" w:eastAsia="黑体" w:cs="Times New Roman"/>
                <w:color w:val="000000"/>
                <w:sz w:val="22"/>
                <w:highlight w:val="none"/>
              </w:rPr>
            </w:pPr>
            <w:r>
              <w:rPr>
                <w:rFonts w:hint="default" w:ascii="Times New Roman" w:hAnsi="Times New Roman" w:eastAsia="黑体" w:cs="Times New Roman"/>
                <w:color w:val="000000"/>
                <w:kern w:val="0"/>
                <w:sz w:val="22"/>
                <w:highlight w:val="none"/>
                <w:lang w:bidi="ar"/>
              </w:rPr>
              <w:t>一级指标</w:t>
            </w:r>
          </w:p>
        </w:tc>
        <w:tc>
          <w:tcPr>
            <w:tcW w:w="269" w:type="pct"/>
            <w:noWrap w:val="0"/>
            <w:vAlign w:val="center"/>
          </w:tcPr>
          <w:p w14:paraId="046EC86C">
            <w:pPr>
              <w:widowControl/>
              <w:jc w:val="center"/>
              <w:textAlignment w:val="center"/>
              <w:rPr>
                <w:rFonts w:hint="default" w:ascii="Times New Roman" w:hAnsi="Times New Roman" w:eastAsia="黑体" w:cs="Times New Roman"/>
                <w:color w:val="000000"/>
                <w:sz w:val="22"/>
                <w:highlight w:val="none"/>
              </w:rPr>
            </w:pPr>
            <w:r>
              <w:rPr>
                <w:rFonts w:hint="default" w:ascii="Times New Roman" w:hAnsi="Times New Roman" w:eastAsia="黑体" w:cs="Times New Roman"/>
                <w:color w:val="000000"/>
                <w:kern w:val="0"/>
                <w:sz w:val="22"/>
                <w:highlight w:val="none"/>
                <w:lang w:bidi="ar"/>
              </w:rPr>
              <w:t>二级指标</w:t>
            </w:r>
          </w:p>
        </w:tc>
        <w:tc>
          <w:tcPr>
            <w:tcW w:w="220" w:type="pct"/>
            <w:noWrap w:val="0"/>
            <w:vAlign w:val="center"/>
          </w:tcPr>
          <w:p w14:paraId="05AC44ED">
            <w:pPr>
              <w:widowControl/>
              <w:jc w:val="center"/>
              <w:textAlignment w:val="center"/>
              <w:rPr>
                <w:rFonts w:hint="default" w:ascii="Times New Roman" w:hAnsi="Times New Roman" w:eastAsia="黑体" w:cs="Times New Roman"/>
                <w:color w:val="000000"/>
                <w:sz w:val="22"/>
                <w:highlight w:val="none"/>
              </w:rPr>
            </w:pPr>
            <w:r>
              <w:rPr>
                <w:rFonts w:hint="default" w:ascii="Times New Roman" w:hAnsi="Times New Roman" w:eastAsia="黑体" w:cs="Times New Roman"/>
                <w:color w:val="000000"/>
                <w:kern w:val="0"/>
                <w:sz w:val="22"/>
                <w:highlight w:val="none"/>
                <w:lang w:bidi="ar"/>
              </w:rPr>
              <w:t>序号</w:t>
            </w:r>
          </w:p>
        </w:tc>
        <w:tc>
          <w:tcPr>
            <w:tcW w:w="278" w:type="pct"/>
            <w:noWrap w:val="0"/>
            <w:vAlign w:val="center"/>
          </w:tcPr>
          <w:p w14:paraId="28E12A52">
            <w:pPr>
              <w:widowControl/>
              <w:jc w:val="center"/>
              <w:textAlignment w:val="center"/>
              <w:rPr>
                <w:rFonts w:hint="default" w:ascii="Times New Roman" w:hAnsi="Times New Roman" w:eastAsia="黑体" w:cs="Times New Roman"/>
                <w:color w:val="000000"/>
                <w:sz w:val="22"/>
                <w:highlight w:val="none"/>
              </w:rPr>
            </w:pPr>
            <w:r>
              <w:rPr>
                <w:rFonts w:hint="default" w:ascii="Times New Roman" w:hAnsi="Times New Roman" w:eastAsia="黑体" w:cs="Times New Roman"/>
                <w:color w:val="000000"/>
                <w:kern w:val="0"/>
                <w:sz w:val="22"/>
                <w:highlight w:val="none"/>
                <w:lang w:bidi="ar"/>
              </w:rPr>
              <w:t>三级指标</w:t>
            </w:r>
          </w:p>
        </w:tc>
        <w:tc>
          <w:tcPr>
            <w:tcW w:w="264" w:type="pct"/>
            <w:noWrap w:val="0"/>
            <w:vAlign w:val="center"/>
          </w:tcPr>
          <w:p w14:paraId="6708780C">
            <w:pPr>
              <w:widowControl/>
              <w:jc w:val="center"/>
              <w:textAlignment w:val="center"/>
              <w:rPr>
                <w:rFonts w:hint="default" w:ascii="Times New Roman" w:hAnsi="Times New Roman" w:eastAsia="黑体" w:cs="Times New Roman"/>
                <w:color w:val="000000"/>
                <w:sz w:val="22"/>
                <w:highlight w:val="none"/>
              </w:rPr>
            </w:pPr>
            <w:r>
              <w:rPr>
                <w:rFonts w:hint="default" w:ascii="Times New Roman" w:hAnsi="Times New Roman" w:eastAsia="黑体" w:cs="Times New Roman"/>
                <w:color w:val="000000"/>
                <w:kern w:val="0"/>
                <w:sz w:val="22"/>
                <w:highlight w:val="none"/>
                <w:lang w:bidi="ar"/>
              </w:rPr>
              <w:t>指标性质</w:t>
            </w:r>
          </w:p>
        </w:tc>
        <w:tc>
          <w:tcPr>
            <w:tcW w:w="2393" w:type="pct"/>
            <w:noWrap w:val="0"/>
            <w:vAlign w:val="center"/>
          </w:tcPr>
          <w:p w14:paraId="7FC8E7B8">
            <w:pPr>
              <w:widowControl/>
              <w:jc w:val="center"/>
              <w:textAlignment w:val="center"/>
              <w:rPr>
                <w:rFonts w:hint="default" w:ascii="Times New Roman" w:hAnsi="Times New Roman" w:eastAsia="黑体" w:cs="Times New Roman"/>
                <w:color w:val="000000"/>
                <w:sz w:val="22"/>
                <w:highlight w:val="none"/>
              </w:rPr>
            </w:pPr>
            <w:r>
              <w:rPr>
                <w:rFonts w:hint="default" w:ascii="Times New Roman" w:hAnsi="Times New Roman" w:eastAsia="黑体" w:cs="Times New Roman"/>
                <w:color w:val="000000"/>
                <w:kern w:val="0"/>
                <w:sz w:val="22"/>
                <w:highlight w:val="none"/>
                <w:lang w:bidi="ar"/>
              </w:rPr>
              <w:t>评价内容及要求</w:t>
            </w:r>
          </w:p>
        </w:tc>
        <w:tc>
          <w:tcPr>
            <w:tcW w:w="237" w:type="pct"/>
            <w:noWrap w:val="0"/>
            <w:vAlign w:val="center"/>
          </w:tcPr>
          <w:p w14:paraId="33B01985">
            <w:pPr>
              <w:widowControl/>
              <w:jc w:val="center"/>
              <w:textAlignment w:val="center"/>
              <w:rPr>
                <w:rFonts w:hint="default" w:ascii="Times New Roman" w:hAnsi="Times New Roman" w:eastAsia="黑体" w:cs="Times New Roman"/>
                <w:color w:val="000000"/>
                <w:sz w:val="22"/>
                <w:highlight w:val="none"/>
              </w:rPr>
            </w:pPr>
            <w:r>
              <w:rPr>
                <w:rFonts w:hint="default" w:ascii="Times New Roman" w:hAnsi="Times New Roman" w:eastAsia="黑体" w:cs="Times New Roman"/>
                <w:color w:val="000000"/>
                <w:kern w:val="0"/>
                <w:sz w:val="22"/>
                <w:highlight w:val="none"/>
                <w:lang w:bidi="ar"/>
              </w:rPr>
              <w:t>评价方法</w:t>
            </w:r>
          </w:p>
        </w:tc>
        <w:tc>
          <w:tcPr>
            <w:tcW w:w="1052" w:type="pct"/>
            <w:noWrap w:val="0"/>
            <w:vAlign w:val="center"/>
          </w:tcPr>
          <w:p w14:paraId="6E81F44F">
            <w:pPr>
              <w:widowControl/>
              <w:jc w:val="center"/>
              <w:textAlignment w:val="center"/>
              <w:rPr>
                <w:rFonts w:hint="default" w:ascii="Times New Roman" w:hAnsi="Times New Roman" w:eastAsia="黑体" w:cs="Times New Roman"/>
                <w:color w:val="000000"/>
                <w:sz w:val="22"/>
                <w:highlight w:val="none"/>
              </w:rPr>
            </w:pPr>
            <w:r>
              <w:rPr>
                <w:rFonts w:hint="default" w:ascii="Times New Roman" w:hAnsi="Times New Roman" w:eastAsia="黑体" w:cs="Times New Roman"/>
                <w:color w:val="000000"/>
                <w:kern w:val="0"/>
                <w:sz w:val="22"/>
                <w:highlight w:val="none"/>
                <w:lang w:bidi="ar"/>
              </w:rPr>
              <w:t>评分标准</w:t>
            </w:r>
          </w:p>
        </w:tc>
      </w:tr>
      <w:tr w14:paraId="68DC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82" w:type="pct"/>
            <w:vMerge w:val="restart"/>
            <w:noWrap/>
            <w:vAlign w:val="center"/>
          </w:tcPr>
          <w:p w14:paraId="6220038B">
            <w:pPr>
              <w:widowControl/>
              <w:jc w:val="center"/>
              <w:textAlignment w:val="center"/>
              <w:rPr>
                <w:rFonts w:hint="default" w:ascii="Times New Roman" w:hAnsi="Times New Roman" w:eastAsia="仿宋_GB2312" w:cs="Times New Roman"/>
                <w:color w:val="000000"/>
                <w:sz w:val="22"/>
                <w:highlight w:val="none"/>
              </w:rPr>
            </w:pPr>
            <w:bookmarkStart w:id="0" w:name="OLE_LINK9" w:colFirst="1" w:colLast="1"/>
            <w:bookmarkStart w:id="1" w:name="OLE_LINK10" w:colFirst="0" w:colLast="0"/>
            <w:r>
              <w:rPr>
                <w:rFonts w:hint="default" w:ascii="Times New Roman" w:hAnsi="Times New Roman" w:eastAsia="仿宋_GB2312" w:cs="Times New Roman"/>
                <w:color w:val="000000"/>
                <w:kern w:val="0"/>
                <w:sz w:val="22"/>
                <w:highlight w:val="none"/>
                <w:lang w:bidi="ar"/>
              </w:rPr>
              <w:t>协议履行</w:t>
            </w:r>
          </w:p>
        </w:tc>
        <w:tc>
          <w:tcPr>
            <w:tcW w:w="269" w:type="pct"/>
            <w:vMerge w:val="restart"/>
            <w:noWrap w:val="0"/>
            <w:vAlign w:val="center"/>
          </w:tcPr>
          <w:p w14:paraId="3D0B17F6">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基础管理</w:t>
            </w:r>
          </w:p>
        </w:tc>
        <w:tc>
          <w:tcPr>
            <w:tcW w:w="220" w:type="pct"/>
            <w:noWrap w:val="0"/>
            <w:vAlign w:val="center"/>
          </w:tcPr>
          <w:p w14:paraId="56E63B3C">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1</w:t>
            </w:r>
          </w:p>
        </w:tc>
        <w:tc>
          <w:tcPr>
            <w:tcW w:w="278" w:type="pct"/>
            <w:noWrap w:val="0"/>
            <w:vAlign w:val="center"/>
          </w:tcPr>
          <w:p w14:paraId="5CED25B0">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机构设置</w:t>
            </w:r>
          </w:p>
        </w:tc>
        <w:tc>
          <w:tcPr>
            <w:tcW w:w="264" w:type="pct"/>
            <w:noWrap w:val="0"/>
            <w:vAlign w:val="center"/>
          </w:tcPr>
          <w:p w14:paraId="2F02E737">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41C603C2">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建立健全医保管理服务部门，配备专（兼）职管理人员。</w:t>
            </w:r>
          </w:p>
        </w:tc>
        <w:tc>
          <w:tcPr>
            <w:tcW w:w="237" w:type="pct"/>
            <w:noWrap w:val="0"/>
            <w:vAlign w:val="center"/>
          </w:tcPr>
          <w:p w14:paraId="6FB3E211">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6F752F43">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达不到要求扣10分。</w:t>
            </w:r>
          </w:p>
        </w:tc>
      </w:tr>
      <w:bookmarkEnd w:id="0"/>
      <w:bookmarkEnd w:id="1"/>
      <w:tr w14:paraId="53CC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ign w:val="center"/>
          </w:tcPr>
          <w:p w14:paraId="019BAF77">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06E6FF67">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4675A277">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2</w:t>
            </w:r>
          </w:p>
        </w:tc>
        <w:tc>
          <w:tcPr>
            <w:tcW w:w="278" w:type="pct"/>
            <w:noWrap w:val="0"/>
            <w:vAlign w:val="center"/>
          </w:tcPr>
          <w:p w14:paraId="7183D998">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规章制度</w:t>
            </w:r>
          </w:p>
        </w:tc>
        <w:tc>
          <w:tcPr>
            <w:tcW w:w="264" w:type="pct"/>
            <w:noWrap w:val="0"/>
            <w:vAlign w:val="center"/>
          </w:tcPr>
          <w:p w14:paraId="78EAC86E">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27BC1977">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具有符合医保协议管理要求的医保药品管理制度、财务管理制度、医保人员管理制度、统计信息管理制度和医保费用结算制度。</w:t>
            </w:r>
          </w:p>
        </w:tc>
        <w:tc>
          <w:tcPr>
            <w:tcW w:w="237" w:type="pct"/>
            <w:noWrap w:val="0"/>
            <w:vAlign w:val="center"/>
          </w:tcPr>
          <w:p w14:paraId="4D562CF9">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075D8547">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每缺一项制度扣5分，最多扣20分。</w:t>
            </w:r>
          </w:p>
        </w:tc>
      </w:tr>
      <w:tr w14:paraId="5262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282" w:type="pct"/>
            <w:vMerge w:val="continue"/>
            <w:noWrap/>
            <w:vAlign w:val="center"/>
          </w:tcPr>
          <w:p w14:paraId="13335C4B">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53D54220">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52111C1E">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3</w:t>
            </w:r>
          </w:p>
        </w:tc>
        <w:tc>
          <w:tcPr>
            <w:tcW w:w="278" w:type="pct"/>
            <w:noWrap w:val="0"/>
            <w:vAlign w:val="center"/>
          </w:tcPr>
          <w:p w14:paraId="40918359">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宣传培训</w:t>
            </w:r>
          </w:p>
        </w:tc>
        <w:tc>
          <w:tcPr>
            <w:tcW w:w="264" w:type="pct"/>
            <w:noWrap w:val="0"/>
            <w:vAlign w:val="center"/>
          </w:tcPr>
          <w:p w14:paraId="66BD044B">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78D0EC06">
            <w:pPr>
              <w:widowControl/>
              <w:textAlignment w:val="center"/>
              <w:rPr>
                <w:rFonts w:hint="default" w:ascii="Times New Roman" w:hAnsi="Times New Roman" w:eastAsia="仿宋_GB2312" w:cs="Times New Roman"/>
                <w:color w:val="000000"/>
                <w:sz w:val="22"/>
                <w:highlight w:val="none"/>
              </w:rPr>
            </w:pPr>
            <w:r>
              <w:rPr>
                <w:rStyle w:val="6"/>
                <w:rFonts w:hint="default" w:ascii="Times New Roman" w:hAnsi="Times New Roman" w:eastAsia="仿宋_GB2312" w:cs="Times New Roman"/>
                <w:highlight w:val="none"/>
                <w:lang w:bidi="ar"/>
              </w:rPr>
              <w:t>①采取多种方式开展医疗保险政策宣传，为参保人员提供咨询服务；</w:t>
            </w:r>
            <w:r>
              <w:rPr>
                <w:rStyle w:val="6"/>
                <w:rFonts w:hint="default" w:ascii="Times New Roman" w:hAnsi="Times New Roman" w:eastAsia="仿宋_GB2312" w:cs="Times New Roman"/>
                <w:highlight w:val="none"/>
                <w:lang w:bidi="ar"/>
              </w:rPr>
              <w:br w:type="textWrapping"/>
            </w:r>
            <w:r>
              <w:rPr>
                <w:rStyle w:val="6"/>
                <w:rFonts w:hint="default" w:ascii="Times New Roman" w:hAnsi="Times New Roman" w:eastAsia="仿宋_GB2312" w:cs="Times New Roman"/>
                <w:highlight w:val="none"/>
                <w:lang w:bidi="ar"/>
              </w:rPr>
              <w:t>②应当组织医保管理人员参加由医疗保障行政部门或经办机构、稽核机构组织的宣传和培训；</w:t>
            </w:r>
            <w:r>
              <w:rPr>
                <w:rStyle w:val="6"/>
                <w:rFonts w:hint="default" w:ascii="Times New Roman" w:hAnsi="Times New Roman" w:eastAsia="仿宋_GB2312" w:cs="Times New Roman"/>
                <w:highlight w:val="none"/>
                <w:lang w:bidi="ar"/>
              </w:rPr>
              <w:br w:type="textWrapping"/>
            </w:r>
            <w:r>
              <w:rPr>
                <w:rStyle w:val="6"/>
                <w:rFonts w:hint="default" w:ascii="Times New Roman" w:hAnsi="Times New Roman" w:eastAsia="仿宋_GB2312" w:cs="Times New Roman"/>
                <w:highlight w:val="none"/>
                <w:lang w:bidi="ar"/>
              </w:rPr>
              <w:t>③应当组织开展医疗保障基金相关制度、政策的培训。</w:t>
            </w:r>
          </w:p>
        </w:tc>
        <w:tc>
          <w:tcPr>
            <w:tcW w:w="237" w:type="pct"/>
            <w:noWrap w:val="0"/>
            <w:vAlign w:val="center"/>
          </w:tcPr>
          <w:p w14:paraId="66555264">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22B24C83">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每项达不到要求扣5分。</w:t>
            </w:r>
          </w:p>
        </w:tc>
      </w:tr>
      <w:tr w14:paraId="0EC1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82" w:type="pct"/>
            <w:vMerge w:val="continue"/>
            <w:noWrap/>
            <w:vAlign w:val="center"/>
          </w:tcPr>
          <w:p w14:paraId="11C383C3">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2A84A49F">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7FDA382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4</w:t>
            </w:r>
          </w:p>
        </w:tc>
        <w:tc>
          <w:tcPr>
            <w:tcW w:w="278" w:type="pct"/>
            <w:noWrap w:val="0"/>
            <w:vAlign w:val="center"/>
          </w:tcPr>
          <w:p w14:paraId="1D462EB9">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信息系统</w:t>
            </w:r>
          </w:p>
        </w:tc>
        <w:tc>
          <w:tcPr>
            <w:tcW w:w="264" w:type="pct"/>
            <w:noWrap w:val="0"/>
            <w:vAlign w:val="center"/>
          </w:tcPr>
          <w:p w14:paraId="13758337">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251F0B7C">
            <w:pPr>
              <w:keepNext w:val="0"/>
              <w:keepLines w:val="0"/>
              <w:pageBreakBefore w:val="0"/>
              <w:widowControl/>
              <w:kinsoku/>
              <w:wordWrap/>
              <w:overflowPunct/>
              <w:topLinePunct w:val="0"/>
              <w:autoSpaceDE/>
              <w:autoSpaceDN/>
              <w:bidi w:val="0"/>
              <w:adjustRightInd/>
              <w:snapToGrid/>
              <w:spacing w:line="290" w:lineRule="exact"/>
              <w:textAlignment w:val="center"/>
              <w:rPr>
                <w:rStyle w:val="6"/>
                <w:rFonts w:hint="default" w:ascii="Times New Roman" w:hAnsi="Times New Roman" w:eastAsia="仿宋_GB2312" w:cs="Times New Roman"/>
                <w:highlight w:val="none"/>
                <w:lang w:bidi="ar"/>
              </w:rPr>
            </w:pPr>
            <w:r>
              <w:rPr>
                <w:rStyle w:val="6"/>
                <w:rFonts w:hint="default" w:ascii="Times New Roman" w:hAnsi="Times New Roman" w:eastAsia="仿宋_GB2312" w:cs="Times New Roman"/>
                <w:highlight w:val="none"/>
                <w:lang w:bidi="ar"/>
              </w:rPr>
              <w:t>①指定专人负责医保信息系统管理，明确工作职责，合理设置管理权限；</w:t>
            </w:r>
            <w:r>
              <w:rPr>
                <w:rStyle w:val="6"/>
                <w:rFonts w:hint="default" w:ascii="Times New Roman" w:hAnsi="Times New Roman" w:eastAsia="仿宋_GB2312" w:cs="Times New Roman"/>
                <w:highlight w:val="none"/>
                <w:lang w:bidi="ar"/>
              </w:rPr>
              <w:br w:type="textWrapping"/>
            </w:r>
            <w:r>
              <w:rPr>
                <w:rStyle w:val="6"/>
                <w:rFonts w:hint="default" w:ascii="Times New Roman" w:hAnsi="Times New Roman" w:eastAsia="仿宋_GB2312" w:cs="Times New Roman"/>
                <w:highlight w:val="none"/>
                <w:lang w:bidi="ar"/>
              </w:rPr>
              <w:t>②具备符合医保协议管理要求的信息系统技术和接口标准，实现与医保信息系统有效对接，为参保人员提供直接联网结算，建立医保药品等基础数据库，按规定使用国家统一医保编码；</w:t>
            </w:r>
            <w:r>
              <w:rPr>
                <w:rStyle w:val="6"/>
                <w:rFonts w:hint="default" w:ascii="Times New Roman" w:hAnsi="Times New Roman" w:eastAsia="仿宋_GB2312" w:cs="Times New Roman"/>
                <w:highlight w:val="none"/>
                <w:lang w:bidi="ar"/>
              </w:rPr>
              <w:br w:type="textWrapping"/>
            </w:r>
            <w:r>
              <w:rPr>
                <w:rStyle w:val="6"/>
                <w:rFonts w:hint="default" w:ascii="Times New Roman" w:hAnsi="Times New Roman" w:eastAsia="仿宋_GB2312" w:cs="Times New Roman"/>
                <w:highlight w:val="none"/>
                <w:lang w:bidi="ar"/>
              </w:rPr>
              <w:t>③应做好与医保有关的信息系统安全保障工作，遵守数据安全有关制度，保护参保人员隐私。定点零售药店重新安装信息系统时，应当保持信息系统技术接口标准与医保信息系统有效对接，并按规定及时全面准确向医保信息系统传送医保结算和审核所需的有关数据；</w:t>
            </w:r>
            <w:r>
              <w:rPr>
                <w:rStyle w:val="6"/>
                <w:rFonts w:hint="default" w:ascii="Times New Roman" w:hAnsi="Times New Roman" w:eastAsia="仿宋_GB2312" w:cs="Times New Roman"/>
                <w:highlight w:val="none"/>
                <w:lang w:bidi="ar"/>
              </w:rPr>
              <w:br w:type="textWrapping"/>
            </w:r>
            <w:r>
              <w:rPr>
                <w:rStyle w:val="6"/>
                <w:rFonts w:hint="default" w:ascii="Times New Roman" w:hAnsi="Times New Roman" w:eastAsia="仿宋_GB2312" w:cs="Times New Roman"/>
                <w:highlight w:val="none"/>
                <w:lang w:bidi="ar"/>
              </w:rPr>
              <w:t>④按照规定通过医疗保障信息系统传送医疗保障基金使用有关数据。</w:t>
            </w:r>
          </w:p>
          <w:p w14:paraId="591188C0">
            <w:pPr>
              <w:keepNext w:val="0"/>
              <w:keepLines w:val="0"/>
              <w:pageBreakBefore w:val="0"/>
              <w:widowControl/>
              <w:kinsoku/>
              <w:wordWrap/>
              <w:overflowPunct/>
              <w:topLinePunct w:val="0"/>
              <w:autoSpaceDE/>
              <w:autoSpaceDN/>
              <w:bidi w:val="0"/>
              <w:adjustRightInd/>
              <w:snapToGrid/>
              <w:spacing w:line="290" w:lineRule="exact"/>
              <w:textAlignment w:val="center"/>
              <w:rPr>
                <w:rStyle w:val="6"/>
                <w:rFonts w:hint="default" w:ascii="Times New Roman" w:hAnsi="Times New Roman" w:eastAsia="仿宋_GB2312" w:cs="Times New Roman"/>
                <w:highlight w:val="none"/>
                <w:lang w:bidi="ar"/>
              </w:rPr>
            </w:pPr>
            <w:r>
              <w:rPr>
                <w:rStyle w:val="6"/>
                <w:rFonts w:hint="default" w:ascii="Times New Roman" w:hAnsi="Times New Roman" w:eastAsia="仿宋_GB2312" w:cs="Times New Roman"/>
                <w:highlight w:val="none"/>
                <w:lang w:bidi="ar"/>
              </w:rPr>
              <w:t>⑤按照规定全面采集应用药品耗材追溯码，做到应采尽采、应扫尽扫。</w:t>
            </w:r>
          </w:p>
        </w:tc>
        <w:tc>
          <w:tcPr>
            <w:tcW w:w="237" w:type="pct"/>
            <w:noWrap w:val="0"/>
            <w:vAlign w:val="center"/>
          </w:tcPr>
          <w:p w14:paraId="262ED2DE">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021C9D84">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每项达不到要求扣10分。</w:t>
            </w:r>
          </w:p>
        </w:tc>
      </w:tr>
      <w:tr w14:paraId="0069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282" w:type="pct"/>
            <w:vMerge w:val="continue"/>
            <w:noWrap/>
            <w:vAlign w:val="center"/>
          </w:tcPr>
          <w:p w14:paraId="2C84515F">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3176C3EF">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56CCAB8A">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5</w:t>
            </w:r>
          </w:p>
        </w:tc>
        <w:tc>
          <w:tcPr>
            <w:tcW w:w="278" w:type="pct"/>
            <w:noWrap w:val="0"/>
            <w:vAlign w:val="center"/>
          </w:tcPr>
          <w:p w14:paraId="25B1E081">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收费规定</w:t>
            </w:r>
          </w:p>
        </w:tc>
        <w:tc>
          <w:tcPr>
            <w:tcW w:w="264" w:type="pct"/>
            <w:noWrap w:val="0"/>
            <w:vAlign w:val="center"/>
          </w:tcPr>
          <w:p w14:paraId="6BBA2D3E">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3AD53E75">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①提供药品服务时应核对参保人员有效身份凭证，做到人证相符。特殊情况下为他人代购药品的应出示本人和被代购人身份证；</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②按照公平、合理、诚实信用和质价相符的原则确定销售价格，遵守药品价格政策；</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③为参保人员提供医保药品费用直接结算单据和相关资料，参保人员或购药人应在购药清单上签字确认；</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④凭外配处方购药的，应核验处方使用人与参保人员身份是否一致。</w:t>
            </w:r>
          </w:p>
        </w:tc>
        <w:tc>
          <w:tcPr>
            <w:tcW w:w="237" w:type="pct"/>
            <w:noWrap w:val="0"/>
            <w:vAlign w:val="center"/>
          </w:tcPr>
          <w:p w14:paraId="1C3FE70C">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112A52A5">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每项达不到要求扣10分</w:t>
            </w:r>
          </w:p>
        </w:tc>
      </w:tr>
      <w:tr w14:paraId="4217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restart"/>
            <w:noWrap/>
            <w:vAlign w:val="center"/>
          </w:tcPr>
          <w:p w14:paraId="7A1E7E9E">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协议履行</w:t>
            </w:r>
          </w:p>
        </w:tc>
        <w:tc>
          <w:tcPr>
            <w:tcW w:w="269" w:type="pct"/>
            <w:vMerge w:val="restart"/>
            <w:noWrap w:val="0"/>
            <w:vAlign w:val="center"/>
          </w:tcPr>
          <w:p w14:paraId="68232A75">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基础管理</w:t>
            </w:r>
          </w:p>
        </w:tc>
        <w:tc>
          <w:tcPr>
            <w:tcW w:w="220" w:type="pct"/>
            <w:noWrap w:val="0"/>
            <w:vAlign w:val="center"/>
          </w:tcPr>
          <w:p w14:paraId="238538C3">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6</w:t>
            </w:r>
          </w:p>
        </w:tc>
        <w:tc>
          <w:tcPr>
            <w:tcW w:w="278" w:type="pct"/>
            <w:noWrap w:val="0"/>
            <w:vAlign w:val="center"/>
          </w:tcPr>
          <w:p w14:paraId="59382D8C">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报送制度</w:t>
            </w:r>
          </w:p>
        </w:tc>
        <w:tc>
          <w:tcPr>
            <w:tcW w:w="264" w:type="pct"/>
            <w:noWrap w:val="0"/>
            <w:vAlign w:val="center"/>
          </w:tcPr>
          <w:p w14:paraId="42BCE657">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007B71CA">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①按照规定向医疗保障行政部门报告医疗保障基金使用监督管理所需信息；</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②未按照规定向社会公开医药费用、费用结构等信息。</w:t>
            </w:r>
          </w:p>
        </w:tc>
        <w:tc>
          <w:tcPr>
            <w:tcW w:w="237" w:type="pct"/>
            <w:noWrap w:val="0"/>
            <w:vAlign w:val="center"/>
          </w:tcPr>
          <w:p w14:paraId="4E79750A">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1E24CA63">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每项达不到要求扣10分。</w:t>
            </w:r>
          </w:p>
        </w:tc>
      </w:tr>
      <w:tr w14:paraId="36D6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ign w:val="center"/>
          </w:tcPr>
          <w:p w14:paraId="07D62466">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29A6AE48">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11AAD891">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7</w:t>
            </w:r>
          </w:p>
        </w:tc>
        <w:tc>
          <w:tcPr>
            <w:tcW w:w="278" w:type="pct"/>
            <w:noWrap w:val="0"/>
            <w:vAlign w:val="center"/>
          </w:tcPr>
          <w:p w14:paraId="6BA413A7">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凭证管理</w:t>
            </w:r>
          </w:p>
        </w:tc>
        <w:tc>
          <w:tcPr>
            <w:tcW w:w="264" w:type="pct"/>
            <w:noWrap w:val="0"/>
            <w:vAlign w:val="center"/>
          </w:tcPr>
          <w:p w14:paraId="37662CFA">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32043F1D">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按照规定保管财务账目、会计凭证、处方、费用明细、药品和医用耗材出入库记录等资料。</w:t>
            </w:r>
          </w:p>
        </w:tc>
        <w:tc>
          <w:tcPr>
            <w:tcW w:w="237" w:type="pct"/>
            <w:noWrap w:val="0"/>
            <w:vAlign w:val="center"/>
          </w:tcPr>
          <w:p w14:paraId="06DA53A7">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3E52F152">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未按规定保管的，每次扣10分，最多扣30分。</w:t>
            </w:r>
          </w:p>
        </w:tc>
      </w:tr>
      <w:tr w14:paraId="672C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82" w:type="pct"/>
            <w:vMerge w:val="continue"/>
            <w:noWrap/>
            <w:vAlign w:val="center"/>
          </w:tcPr>
          <w:p w14:paraId="70E8C5C9">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3A5447E6">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0F94BAB1">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8</w:t>
            </w:r>
          </w:p>
        </w:tc>
        <w:tc>
          <w:tcPr>
            <w:tcW w:w="278" w:type="pct"/>
            <w:noWrap w:val="0"/>
            <w:vAlign w:val="center"/>
          </w:tcPr>
          <w:p w14:paraId="77BDFB57">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处方管理</w:t>
            </w:r>
          </w:p>
        </w:tc>
        <w:tc>
          <w:tcPr>
            <w:tcW w:w="264" w:type="pct"/>
            <w:noWrap w:val="0"/>
            <w:vAlign w:val="center"/>
          </w:tcPr>
          <w:p w14:paraId="68E2115F">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114AEB5E">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①应当凭处方销售医保目录内处方药，药师应当对处方进行审核、签字后调剂配发药品；</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②应凭定点医疗机构开具的外配处方销售药品、外配处方必须由定点医疗机构医师开具，有医师签章；</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③应将参保人员医保目录内药品外配处方、购药清单等保存2年，以备医疗保障部门核查。</w:t>
            </w:r>
          </w:p>
        </w:tc>
        <w:tc>
          <w:tcPr>
            <w:tcW w:w="237" w:type="pct"/>
            <w:noWrap w:val="0"/>
            <w:vAlign w:val="center"/>
          </w:tcPr>
          <w:p w14:paraId="215DB356">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1BC84C2D">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每项达不到要求扣10分。</w:t>
            </w:r>
          </w:p>
        </w:tc>
      </w:tr>
      <w:tr w14:paraId="0815F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ign w:val="center"/>
          </w:tcPr>
          <w:p w14:paraId="4E1089F4">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499ACCA0">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2E594176">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9</w:t>
            </w:r>
          </w:p>
        </w:tc>
        <w:tc>
          <w:tcPr>
            <w:tcW w:w="278" w:type="pct"/>
            <w:noWrap w:val="0"/>
            <w:vAlign w:val="center"/>
          </w:tcPr>
          <w:p w14:paraId="111A07B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变更备案</w:t>
            </w:r>
          </w:p>
        </w:tc>
        <w:tc>
          <w:tcPr>
            <w:tcW w:w="264" w:type="pct"/>
            <w:noWrap w:val="0"/>
            <w:vAlign w:val="center"/>
          </w:tcPr>
          <w:p w14:paraId="565657B5">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2A8720B3">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定点零售药店名称、执业地址等发生变化时，及时向医疗保障部门提供相关材料备案，申请变更。</w:t>
            </w:r>
          </w:p>
        </w:tc>
        <w:tc>
          <w:tcPr>
            <w:tcW w:w="237" w:type="pct"/>
            <w:noWrap w:val="0"/>
            <w:vAlign w:val="center"/>
          </w:tcPr>
          <w:p w14:paraId="4B298298">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1D5D2290">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发生变更未按规定办理相关手续的，发现一次扣10分。</w:t>
            </w:r>
          </w:p>
        </w:tc>
      </w:tr>
      <w:tr w14:paraId="1389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ign w:val="center"/>
          </w:tcPr>
          <w:p w14:paraId="3D4CD7DA">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39E46567">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3085C1A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10</w:t>
            </w:r>
          </w:p>
        </w:tc>
        <w:tc>
          <w:tcPr>
            <w:tcW w:w="278" w:type="pct"/>
            <w:noWrap w:val="0"/>
            <w:vAlign w:val="center"/>
          </w:tcPr>
          <w:p w14:paraId="0F5B9B0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自查自纠</w:t>
            </w:r>
          </w:p>
        </w:tc>
        <w:tc>
          <w:tcPr>
            <w:tcW w:w="264" w:type="pct"/>
            <w:noWrap w:val="0"/>
            <w:vAlign w:val="center"/>
          </w:tcPr>
          <w:p w14:paraId="3F8EE76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6E686B43">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定期检查本单位医疗保障基金使用情况，及时纠正医疗保障基金使用不规范的行为。</w:t>
            </w:r>
          </w:p>
        </w:tc>
        <w:tc>
          <w:tcPr>
            <w:tcW w:w="237" w:type="pct"/>
            <w:noWrap w:val="0"/>
            <w:vAlign w:val="center"/>
          </w:tcPr>
          <w:p w14:paraId="2D2AA14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48F1C710">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达不到要求扣</w:t>
            </w:r>
            <w:r>
              <w:rPr>
                <w:rFonts w:hint="default" w:ascii="Times New Roman" w:hAnsi="Times New Roman" w:eastAsia="仿宋_GB2312" w:cs="Times New Roman"/>
                <w:color w:val="000000"/>
                <w:kern w:val="0"/>
                <w:sz w:val="22"/>
                <w:highlight w:val="none"/>
                <w:lang w:val="en-US" w:eastAsia="zh-CN" w:bidi="ar"/>
              </w:rPr>
              <w:t>2</w:t>
            </w:r>
            <w:r>
              <w:rPr>
                <w:rFonts w:hint="default" w:ascii="Times New Roman" w:hAnsi="Times New Roman" w:eastAsia="仿宋_GB2312" w:cs="Times New Roman"/>
                <w:color w:val="000000"/>
                <w:kern w:val="0"/>
                <w:sz w:val="22"/>
                <w:highlight w:val="none"/>
                <w:lang w:bidi="ar"/>
              </w:rPr>
              <w:t>0分。</w:t>
            </w:r>
          </w:p>
        </w:tc>
      </w:tr>
      <w:tr w14:paraId="3C89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ign w:val="center"/>
          </w:tcPr>
          <w:p w14:paraId="7A7DC8E3">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61707032">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38B2A526">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11</w:t>
            </w:r>
          </w:p>
        </w:tc>
        <w:tc>
          <w:tcPr>
            <w:tcW w:w="278" w:type="pct"/>
            <w:noWrap w:val="0"/>
            <w:vAlign w:val="center"/>
          </w:tcPr>
          <w:p w14:paraId="3EF1C0AB">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工作配合</w:t>
            </w:r>
          </w:p>
        </w:tc>
        <w:tc>
          <w:tcPr>
            <w:tcW w:w="264" w:type="pct"/>
            <w:noWrap w:val="0"/>
            <w:vAlign w:val="center"/>
          </w:tcPr>
          <w:p w14:paraId="33C2C3BB">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5D17222B">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配合医疗保障部门开展智能监控审核稽核、履约考核、监督检查等。</w:t>
            </w:r>
          </w:p>
        </w:tc>
        <w:tc>
          <w:tcPr>
            <w:tcW w:w="237" w:type="pct"/>
            <w:noWrap w:val="0"/>
            <w:vAlign w:val="center"/>
          </w:tcPr>
          <w:p w14:paraId="259A5855">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4D6152DE">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拒绝、阻挠或不配合医疗保障部门开展智能审核、履约考核、监督检查等或者提供虚假情况，扣20分。</w:t>
            </w:r>
          </w:p>
        </w:tc>
      </w:tr>
      <w:tr w14:paraId="6A28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282" w:type="pct"/>
            <w:vMerge w:val="continue"/>
            <w:noWrap/>
            <w:vAlign w:val="center"/>
          </w:tcPr>
          <w:p w14:paraId="758221C0">
            <w:pPr>
              <w:jc w:val="center"/>
              <w:rPr>
                <w:rFonts w:hint="default" w:ascii="Times New Roman" w:hAnsi="Times New Roman" w:eastAsia="仿宋_GB2312" w:cs="Times New Roman"/>
                <w:color w:val="000000"/>
                <w:sz w:val="22"/>
                <w:highlight w:val="none"/>
              </w:rPr>
            </w:pPr>
            <w:bookmarkStart w:id="2" w:name="OLE_LINK11" w:colFirst="1" w:colLast="1"/>
          </w:p>
        </w:tc>
        <w:tc>
          <w:tcPr>
            <w:tcW w:w="269" w:type="pct"/>
            <w:noWrap w:val="0"/>
            <w:vAlign w:val="center"/>
          </w:tcPr>
          <w:p w14:paraId="4090F98A">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服务质量</w:t>
            </w:r>
          </w:p>
        </w:tc>
        <w:tc>
          <w:tcPr>
            <w:tcW w:w="220" w:type="pct"/>
            <w:noWrap w:val="0"/>
            <w:vAlign w:val="center"/>
          </w:tcPr>
          <w:p w14:paraId="17134E2B">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12</w:t>
            </w:r>
          </w:p>
        </w:tc>
        <w:tc>
          <w:tcPr>
            <w:tcW w:w="278" w:type="pct"/>
            <w:noWrap w:val="0"/>
            <w:vAlign w:val="center"/>
          </w:tcPr>
          <w:p w14:paraId="5CCD4811">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数据质量</w:t>
            </w:r>
          </w:p>
        </w:tc>
        <w:tc>
          <w:tcPr>
            <w:tcW w:w="264" w:type="pct"/>
            <w:noWrap w:val="0"/>
            <w:vAlign w:val="center"/>
          </w:tcPr>
          <w:p w14:paraId="6C659EA6">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6204D37D">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①确保向医疗保障经办机构传输的参保人员就医、结算及其他相关信息均由信息系统自动生成，真实、准确并实时传输；</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②严格执行信息网络管理有关规定，做好数据备份；</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③传输数据不得人为篡改作假。</w:t>
            </w:r>
          </w:p>
        </w:tc>
        <w:tc>
          <w:tcPr>
            <w:tcW w:w="237" w:type="pct"/>
            <w:noWrap w:val="0"/>
            <w:vAlign w:val="center"/>
          </w:tcPr>
          <w:p w14:paraId="17F15F9D">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002B1D69">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①②达不到要求每项扣5分；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③达不到要求扣20分</w:t>
            </w:r>
          </w:p>
        </w:tc>
      </w:tr>
      <w:bookmarkEnd w:id="2"/>
      <w:tr w14:paraId="26D7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restart"/>
            <w:noWrap/>
            <w:vAlign w:val="center"/>
          </w:tcPr>
          <w:p w14:paraId="6009BEC7">
            <w:pPr>
              <w:jc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协议履行</w:t>
            </w:r>
          </w:p>
        </w:tc>
        <w:tc>
          <w:tcPr>
            <w:tcW w:w="269" w:type="pct"/>
            <w:vMerge w:val="restart"/>
            <w:noWrap w:val="0"/>
            <w:vAlign w:val="center"/>
          </w:tcPr>
          <w:p w14:paraId="57634FDD">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服务质量</w:t>
            </w:r>
          </w:p>
        </w:tc>
        <w:tc>
          <w:tcPr>
            <w:tcW w:w="220" w:type="pct"/>
            <w:noWrap w:val="0"/>
            <w:vAlign w:val="center"/>
          </w:tcPr>
          <w:p w14:paraId="5D7A3741">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13</w:t>
            </w:r>
          </w:p>
        </w:tc>
        <w:tc>
          <w:tcPr>
            <w:tcW w:w="278" w:type="pct"/>
            <w:noWrap w:val="0"/>
            <w:vAlign w:val="center"/>
          </w:tcPr>
          <w:p w14:paraId="7168D3F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应急预案</w:t>
            </w:r>
          </w:p>
        </w:tc>
        <w:tc>
          <w:tcPr>
            <w:tcW w:w="264" w:type="pct"/>
            <w:noWrap w:val="0"/>
            <w:vAlign w:val="center"/>
          </w:tcPr>
          <w:p w14:paraId="120162F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47705820">
            <w:pPr>
              <w:keepNext w:val="0"/>
              <w:keepLines w:val="0"/>
              <w:pageBreakBefore w:val="0"/>
              <w:widowControl/>
              <w:kinsoku/>
              <w:wordWrap/>
              <w:overflowPunct/>
              <w:topLinePunct w:val="0"/>
              <w:autoSpaceDE/>
              <w:autoSpaceDN/>
              <w:bidi w:val="0"/>
              <w:adjustRightInd/>
              <w:snapToGrid/>
              <w:spacing w:line="280" w:lineRule="exact"/>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制定应急预案，因信息系统出现故障并影响参保人员就医结算时，须及时通知医疗保障经办机构并启动应急预案，做好解释工作。</w:t>
            </w:r>
          </w:p>
        </w:tc>
        <w:tc>
          <w:tcPr>
            <w:tcW w:w="237" w:type="pct"/>
            <w:noWrap w:val="0"/>
            <w:vAlign w:val="center"/>
          </w:tcPr>
          <w:p w14:paraId="6BA7D31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05A4C6C9">
            <w:pPr>
              <w:keepNext w:val="0"/>
              <w:keepLines w:val="0"/>
              <w:pageBreakBefore w:val="0"/>
              <w:widowControl/>
              <w:kinsoku/>
              <w:wordWrap/>
              <w:overflowPunct/>
              <w:topLinePunct w:val="0"/>
              <w:autoSpaceDE/>
              <w:autoSpaceDN/>
              <w:bidi w:val="0"/>
              <w:adjustRightInd/>
              <w:snapToGrid/>
              <w:spacing w:line="280" w:lineRule="exact"/>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达不到要求扣10分。</w:t>
            </w:r>
          </w:p>
        </w:tc>
      </w:tr>
      <w:tr w14:paraId="4C8F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ign w:val="center"/>
          </w:tcPr>
          <w:p w14:paraId="460A6FCD">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097B4621">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4BB18F9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14</w:t>
            </w:r>
          </w:p>
        </w:tc>
        <w:tc>
          <w:tcPr>
            <w:tcW w:w="278" w:type="pct"/>
            <w:noWrap w:val="0"/>
            <w:vAlign w:val="center"/>
          </w:tcPr>
          <w:p w14:paraId="1E74CA01">
            <w:pPr>
              <w:widowControl/>
              <w:jc w:val="center"/>
              <w:textAlignment w:val="center"/>
              <w:rPr>
                <w:rFonts w:hint="default" w:ascii="Times New Roman" w:hAnsi="Times New Roman" w:eastAsia="仿宋_GB2312" w:cs="Times New Roman"/>
                <w:sz w:val="22"/>
                <w:highlight w:val="none"/>
              </w:rPr>
            </w:pPr>
            <w:r>
              <w:rPr>
                <w:rFonts w:hint="default" w:ascii="Times New Roman" w:hAnsi="Times New Roman" w:eastAsia="仿宋_GB2312" w:cs="Times New Roman"/>
                <w:kern w:val="0"/>
                <w:sz w:val="22"/>
                <w:highlight w:val="none"/>
                <w:lang w:bidi="ar"/>
              </w:rPr>
              <w:t>满意度评价</w:t>
            </w:r>
          </w:p>
        </w:tc>
        <w:tc>
          <w:tcPr>
            <w:tcW w:w="264" w:type="pct"/>
            <w:noWrap w:val="0"/>
            <w:vAlign w:val="center"/>
          </w:tcPr>
          <w:p w14:paraId="3167126A">
            <w:pPr>
              <w:widowControl/>
              <w:jc w:val="center"/>
              <w:textAlignment w:val="center"/>
              <w:rPr>
                <w:rFonts w:hint="default" w:ascii="Times New Roman" w:hAnsi="Times New Roman" w:eastAsia="仿宋_GB2312" w:cs="Times New Roman"/>
                <w:sz w:val="22"/>
                <w:highlight w:val="none"/>
              </w:rPr>
            </w:pPr>
            <w:r>
              <w:rPr>
                <w:rFonts w:hint="default" w:ascii="Times New Roman" w:hAnsi="Times New Roman" w:eastAsia="仿宋_GB2312" w:cs="Times New Roman"/>
                <w:kern w:val="0"/>
                <w:sz w:val="22"/>
                <w:highlight w:val="none"/>
                <w:lang w:bidi="ar"/>
              </w:rPr>
              <w:t>定性</w:t>
            </w:r>
          </w:p>
        </w:tc>
        <w:tc>
          <w:tcPr>
            <w:tcW w:w="2393" w:type="pct"/>
            <w:noWrap w:val="0"/>
            <w:vAlign w:val="center"/>
          </w:tcPr>
          <w:p w14:paraId="310459B2">
            <w:pPr>
              <w:widowControl/>
              <w:textAlignment w:val="center"/>
              <w:rPr>
                <w:rFonts w:hint="default" w:ascii="Times New Roman" w:hAnsi="Times New Roman" w:eastAsia="仿宋_GB2312" w:cs="Times New Roman"/>
                <w:sz w:val="22"/>
                <w:highlight w:val="none"/>
              </w:rPr>
            </w:pPr>
            <w:r>
              <w:rPr>
                <w:rFonts w:hint="default" w:ascii="Times New Roman" w:hAnsi="Times New Roman" w:eastAsia="仿宋_GB2312" w:cs="Times New Roman"/>
                <w:kern w:val="0"/>
                <w:sz w:val="22"/>
                <w:highlight w:val="none"/>
                <w:lang w:bidi="ar"/>
              </w:rPr>
              <w:t>参保患者满意度=评价满意的被调查参保患者人数/接受调查的参保患者总数×100% 。</w:t>
            </w:r>
          </w:p>
        </w:tc>
        <w:tc>
          <w:tcPr>
            <w:tcW w:w="237" w:type="pct"/>
            <w:noWrap w:val="0"/>
            <w:vAlign w:val="center"/>
          </w:tcPr>
          <w:p w14:paraId="73BC77CD">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sz w:val="22"/>
                <w:highlight w:val="none"/>
              </w:rPr>
            </w:pPr>
            <w:r>
              <w:rPr>
                <w:rFonts w:hint="default" w:ascii="Times New Roman" w:hAnsi="Times New Roman" w:eastAsia="仿宋_GB2312" w:cs="Times New Roman"/>
                <w:kern w:val="0"/>
                <w:sz w:val="22"/>
                <w:highlight w:val="none"/>
                <w:lang w:bidi="ar"/>
              </w:rPr>
              <w:t>日常抽查</w:t>
            </w:r>
            <w:r>
              <w:rPr>
                <w:rFonts w:hint="default" w:ascii="Times New Roman" w:hAnsi="Times New Roman" w:eastAsia="仿宋_GB2312" w:cs="Times New Roman"/>
                <w:kern w:val="0"/>
                <w:sz w:val="22"/>
                <w:highlight w:val="none"/>
                <w:lang w:bidi="ar"/>
              </w:rPr>
              <w:br w:type="textWrapping"/>
            </w:r>
            <w:r>
              <w:rPr>
                <w:rFonts w:hint="default" w:ascii="Times New Roman" w:hAnsi="Times New Roman" w:eastAsia="仿宋_GB2312" w:cs="Times New Roman"/>
                <w:kern w:val="0"/>
                <w:sz w:val="22"/>
                <w:highlight w:val="none"/>
                <w:lang w:bidi="ar"/>
              </w:rPr>
              <w:t>问卷调查</w:t>
            </w:r>
          </w:p>
        </w:tc>
        <w:tc>
          <w:tcPr>
            <w:tcW w:w="1052" w:type="pct"/>
            <w:noWrap w:val="0"/>
            <w:vAlign w:val="center"/>
          </w:tcPr>
          <w:p w14:paraId="536A3F11">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sz w:val="22"/>
                <w:highlight w:val="none"/>
              </w:rPr>
            </w:pPr>
            <w:r>
              <w:rPr>
                <w:rFonts w:hint="default" w:ascii="Times New Roman" w:hAnsi="Times New Roman" w:eastAsia="仿宋_GB2312" w:cs="Times New Roman"/>
                <w:kern w:val="0"/>
                <w:sz w:val="22"/>
                <w:highlight w:val="none"/>
                <w:lang w:bidi="ar"/>
              </w:rPr>
              <w:t>扣除分值=（1-满意度）×40（分）。</w:t>
            </w:r>
          </w:p>
        </w:tc>
      </w:tr>
      <w:tr w14:paraId="2E37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82" w:type="pct"/>
            <w:vMerge w:val="continue"/>
            <w:noWrap/>
            <w:vAlign w:val="center"/>
          </w:tcPr>
          <w:p w14:paraId="4157CFB2">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2A7FC8EB">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1949F39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15</w:t>
            </w:r>
          </w:p>
        </w:tc>
        <w:tc>
          <w:tcPr>
            <w:tcW w:w="278" w:type="pct"/>
            <w:noWrap w:val="0"/>
            <w:vAlign w:val="center"/>
          </w:tcPr>
          <w:p w14:paraId="1162E2E6">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媒体报道</w:t>
            </w:r>
          </w:p>
        </w:tc>
        <w:tc>
          <w:tcPr>
            <w:tcW w:w="264" w:type="pct"/>
            <w:noWrap w:val="0"/>
            <w:vAlign w:val="center"/>
          </w:tcPr>
          <w:p w14:paraId="2E550014">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2917AF33">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按本机构被主流媒体报道，经医疗保障部门认可的，按照报道数量赋分。</w:t>
            </w:r>
          </w:p>
        </w:tc>
        <w:tc>
          <w:tcPr>
            <w:tcW w:w="237" w:type="pct"/>
            <w:noWrap w:val="0"/>
            <w:vAlign w:val="center"/>
          </w:tcPr>
          <w:p w14:paraId="5B3AB829">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p>
        </w:tc>
        <w:tc>
          <w:tcPr>
            <w:tcW w:w="1052" w:type="pct"/>
            <w:noWrap w:val="0"/>
            <w:vAlign w:val="center"/>
          </w:tcPr>
          <w:p w14:paraId="3C8DED87">
            <w:pPr>
              <w:keepNext w:val="0"/>
              <w:keepLines w:val="0"/>
              <w:pageBreakBefore w:val="0"/>
              <w:widowControl/>
              <w:kinsoku/>
              <w:wordWrap/>
              <w:overflowPunct/>
              <w:topLinePunct w:val="0"/>
              <w:autoSpaceDE/>
              <w:autoSpaceDN/>
              <w:bidi w:val="0"/>
              <w:adjustRightInd/>
              <w:snapToGrid/>
              <w:spacing w:line="280" w:lineRule="exact"/>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根据期内被媒体报道关于医疗保障工作情况的，正面情况每例加10分，最多加20分；负面情况每例扣10分，最多扣20分；多家媒体报道同一事件不重复计分。</w:t>
            </w:r>
          </w:p>
        </w:tc>
      </w:tr>
      <w:tr w14:paraId="721D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82" w:type="pct"/>
            <w:vMerge w:val="continue"/>
            <w:noWrap/>
            <w:vAlign w:val="center"/>
          </w:tcPr>
          <w:p w14:paraId="735FA0F4">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06FBC7CB">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6064BA46">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16</w:t>
            </w:r>
          </w:p>
        </w:tc>
        <w:tc>
          <w:tcPr>
            <w:tcW w:w="278" w:type="pct"/>
            <w:noWrap w:val="0"/>
            <w:vAlign w:val="center"/>
          </w:tcPr>
          <w:p w14:paraId="5DC3493F">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其他行为</w:t>
            </w:r>
          </w:p>
        </w:tc>
        <w:tc>
          <w:tcPr>
            <w:tcW w:w="264" w:type="pct"/>
            <w:noWrap w:val="0"/>
            <w:vAlign w:val="center"/>
          </w:tcPr>
          <w:p w14:paraId="0A09CF94">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0656B8DC">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严格执行医保服务协议的各项条款。</w:t>
            </w:r>
          </w:p>
        </w:tc>
        <w:tc>
          <w:tcPr>
            <w:tcW w:w="237" w:type="pct"/>
            <w:noWrap w:val="0"/>
            <w:vAlign w:val="center"/>
          </w:tcPr>
          <w:p w14:paraId="6570F268">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年度考核</w:t>
            </w:r>
          </w:p>
        </w:tc>
        <w:tc>
          <w:tcPr>
            <w:tcW w:w="1052" w:type="pct"/>
            <w:noWrap/>
            <w:vAlign w:val="center"/>
          </w:tcPr>
          <w:p w14:paraId="01FED648">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视情况扣除。</w:t>
            </w:r>
          </w:p>
        </w:tc>
      </w:tr>
      <w:tr w14:paraId="32FE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82" w:type="pct"/>
            <w:vMerge w:val="continue"/>
            <w:noWrap/>
            <w:vAlign w:val="center"/>
          </w:tcPr>
          <w:p w14:paraId="3019469F">
            <w:pPr>
              <w:jc w:val="center"/>
              <w:rPr>
                <w:rFonts w:hint="default" w:ascii="Times New Roman" w:hAnsi="Times New Roman" w:eastAsia="仿宋_GB2312" w:cs="Times New Roman"/>
                <w:color w:val="000000"/>
                <w:sz w:val="22"/>
                <w:highlight w:val="none"/>
              </w:rPr>
            </w:pPr>
          </w:p>
        </w:tc>
        <w:tc>
          <w:tcPr>
            <w:tcW w:w="269" w:type="pct"/>
            <w:vMerge w:val="restart"/>
            <w:noWrap w:val="0"/>
            <w:vAlign w:val="center"/>
          </w:tcPr>
          <w:p w14:paraId="68EB3A94">
            <w:pPr>
              <w:tabs>
                <w:tab w:val="left" w:pos="389"/>
              </w:tabs>
              <w:jc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协议处理</w:t>
            </w:r>
          </w:p>
        </w:tc>
        <w:tc>
          <w:tcPr>
            <w:tcW w:w="220" w:type="pct"/>
            <w:noWrap w:val="0"/>
            <w:vAlign w:val="center"/>
          </w:tcPr>
          <w:p w14:paraId="6B5D67B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17</w:t>
            </w:r>
          </w:p>
        </w:tc>
        <w:tc>
          <w:tcPr>
            <w:tcW w:w="278" w:type="pct"/>
            <w:noWrap w:val="0"/>
            <w:vAlign w:val="center"/>
          </w:tcPr>
          <w:p w14:paraId="34A9369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约谈</w:t>
            </w:r>
          </w:p>
        </w:tc>
        <w:tc>
          <w:tcPr>
            <w:tcW w:w="264" w:type="pct"/>
            <w:noWrap w:val="0"/>
            <w:vAlign w:val="center"/>
          </w:tcPr>
          <w:p w14:paraId="29C2D7E8">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2B659D27">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被医疗保障经办机构约谈的。</w:t>
            </w:r>
          </w:p>
        </w:tc>
        <w:tc>
          <w:tcPr>
            <w:tcW w:w="237" w:type="pct"/>
            <w:noWrap w:val="0"/>
            <w:vAlign w:val="center"/>
          </w:tcPr>
          <w:p w14:paraId="72543E13">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52" w:type="pct"/>
            <w:noWrap/>
            <w:vAlign w:val="center"/>
          </w:tcPr>
          <w:p w14:paraId="73666DF8">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按次数扣分，每次扣50分。</w:t>
            </w:r>
          </w:p>
        </w:tc>
      </w:tr>
      <w:tr w14:paraId="73C0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82" w:type="pct"/>
            <w:vMerge w:val="continue"/>
            <w:noWrap/>
            <w:vAlign w:val="center"/>
          </w:tcPr>
          <w:p w14:paraId="44F52BE1">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4D61C741">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3285594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18</w:t>
            </w:r>
          </w:p>
        </w:tc>
        <w:tc>
          <w:tcPr>
            <w:tcW w:w="278" w:type="pct"/>
            <w:noWrap w:val="0"/>
            <w:vAlign w:val="center"/>
          </w:tcPr>
          <w:p w14:paraId="6AF2C87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通报</w:t>
            </w:r>
          </w:p>
        </w:tc>
        <w:tc>
          <w:tcPr>
            <w:tcW w:w="264" w:type="pct"/>
            <w:noWrap w:val="0"/>
            <w:vAlign w:val="center"/>
          </w:tcPr>
          <w:p w14:paraId="372C640C">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2B7C4306">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被医疗保障部门通报的。</w:t>
            </w:r>
          </w:p>
        </w:tc>
        <w:tc>
          <w:tcPr>
            <w:tcW w:w="237" w:type="pct"/>
            <w:noWrap w:val="0"/>
            <w:vAlign w:val="center"/>
          </w:tcPr>
          <w:p w14:paraId="43B73B14">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52" w:type="pct"/>
            <w:noWrap/>
            <w:vAlign w:val="center"/>
          </w:tcPr>
          <w:p w14:paraId="5964E2FF">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按次数扣分，每次扣100分。</w:t>
            </w:r>
          </w:p>
        </w:tc>
      </w:tr>
      <w:tr w14:paraId="1840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82" w:type="pct"/>
            <w:vMerge w:val="continue"/>
            <w:noWrap/>
            <w:vAlign w:val="center"/>
          </w:tcPr>
          <w:p w14:paraId="1893B6A5">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3BB256FA">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5F55845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19</w:t>
            </w:r>
          </w:p>
        </w:tc>
        <w:tc>
          <w:tcPr>
            <w:tcW w:w="278" w:type="pct"/>
            <w:noWrap w:val="0"/>
            <w:vAlign w:val="center"/>
          </w:tcPr>
          <w:p w14:paraId="5CA948E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追回费用</w:t>
            </w:r>
          </w:p>
        </w:tc>
        <w:tc>
          <w:tcPr>
            <w:tcW w:w="264" w:type="pct"/>
            <w:noWrap w:val="0"/>
            <w:vAlign w:val="center"/>
          </w:tcPr>
          <w:p w14:paraId="6785B2FD">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08540A96">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被医疗保障经办机构追回费用。</w:t>
            </w:r>
          </w:p>
        </w:tc>
        <w:tc>
          <w:tcPr>
            <w:tcW w:w="237" w:type="pct"/>
            <w:noWrap w:val="0"/>
            <w:vAlign w:val="center"/>
          </w:tcPr>
          <w:p w14:paraId="15699E5D">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52" w:type="pct"/>
            <w:noWrap/>
            <w:vAlign w:val="center"/>
          </w:tcPr>
          <w:p w14:paraId="7644E800">
            <w:pPr>
              <w:keepNext w:val="0"/>
              <w:keepLines w:val="0"/>
              <w:pageBreakBefore w:val="0"/>
              <w:widowControl/>
              <w:kinsoku/>
              <w:wordWrap/>
              <w:overflowPunct/>
              <w:topLinePunct w:val="0"/>
              <w:autoSpaceDE/>
              <w:autoSpaceDN/>
              <w:bidi w:val="0"/>
              <w:adjustRightInd/>
              <w:snapToGrid/>
              <w:spacing w:line="28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按金额扣分，计算公式为：（追回费用金额/本药店医保基金支付总额）×500分。</w:t>
            </w:r>
          </w:p>
        </w:tc>
      </w:tr>
      <w:tr w14:paraId="36B2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82" w:type="pct"/>
            <w:vMerge w:val="continue"/>
            <w:noWrap/>
            <w:vAlign w:val="center"/>
          </w:tcPr>
          <w:p w14:paraId="356D39FD">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5D769BF3">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0C356E7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20</w:t>
            </w:r>
          </w:p>
        </w:tc>
        <w:tc>
          <w:tcPr>
            <w:tcW w:w="278" w:type="pct"/>
            <w:noWrap w:val="0"/>
            <w:vAlign w:val="center"/>
          </w:tcPr>
          <w:p w14:paraId="3ACA51A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拒付费用</w:t>
            </w:r>
          </w:p>
        </w:tc>
        <w:tc>
          <w:tcPr>
            <w:tcW w:w="264" w:type="pct"/>
            <w:noWrap w:val="0"/>
            <w:vAlign w:val="center"/>
          </w:tcPr>
          <w:p w14:paraId="1FBB446A">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6A806C38">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被医疗保障经办机构拒付费用。</w:t>
            </w:r>
          </w:p>
        </w:tc>
        <w:tc>
          <w:tcPr>
            <w:tcW w:w="237" w:type="pct"/>
            <w:noWrap w:val="0"/>
            <w:vAlign w:val="center"/>
          </w:tcPr>
          <w:p w14:paraId="4FBACDA1">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52" w:type="pct"/>
            <w:noWrap/>
            <w:vAlign w:val="center"/>
          </w:tcPr>
          <w:p w14:paraId="1E3355EB">
            <w:pPr>
              <w:keepNext w:val="0"/>
              <w:keepLines w:val="0"/>
              <w:pageBreakBefore w:val="0"/>
              <w:widowControl/>
              <w:kinsoku/>
              <w:wordWrap/>
              <w:overflowPunct/>
              <w:topLinePunct w:val="0"/>
              <w:autoSpaceDE/>
              <w:autoSpaceDN/>
              <w:bidi w:val="0"/>
              <w:adjustRightInd/>
              <w:snapToGrid/>
              <w:spacing w:line="28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按金额扣分，计算公式为：（拒付费用金额/本药店基金支付总额）×500分。</w:t>
            </w:r>
          </w:p>
        </w:tc>
      </w:tr>
      <w:tr w14:paraId="3DD0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82" w:type="pct"/>
            <w:vMerge w:val="continue"/>
            <w:noWrap/>
            <w:vAlign w:val="center"/>
          </w:tcPr>
          <w:p w14:paraId="765C6AC0">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2AE2FF74">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338C124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21</w:t>
            </w:r>
          </w:p>
        </w:tc>
        <w:tc>
          <w:tcPr>
            <w:tcW w:w="278" w:type="pct"/>
            <w:noWrap w:val="0"/>
            <w:vAlign w:val="center"/>
          </w:tcPr>
          <w:p w14:paraId="1476773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暂停结算</w:t>
            </w:r>
          </w:p>
        </w:tc>
        <w:tc>
          <w:tcPr>
            <w:tcW w:w="264" w:type="pct"/>
            <w:noWrap w:val="0"/>
            <w:vAlign w:val="center"/>
          </w:tcPr>
          <w:p w14:paraId="49F79FEB">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12F1CDC1">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被医保经办机构暂停结算的。</w:t>
            </w:r>
          </w:p>
        </w:tc>
        <w:tc>
          <w:tcPr>
            <w:tcW w:w="237" w:type="pct"/>
            <w:noWrap w:val="0"/>
            <w:vAlign w:val="center"/>
          </w:tcPr>
          <w:p w14:paraId="0B0F5A82">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52" w:type="pct"/>
            <w:noWrap/>
            <w:vAlign w:val="center"/>
          </w:tcPr>
          <w:p w14:paraId="5681AA3F">
            <w:pPr>
              <w:keepNext w:val="0"/>
              <w:keepLines w:val="0"/>
              <w:pageBreakBefore w:val="0"/>
              <w:widowControl/>
              <w:kinsoku/>
              <w:wordWrap/>
              <w:overflowPunct/>
              <w:topLinePunct w:val="0"/>
              <w:autoSpaceDE/>
              <w:autoSpaceDN/>
              <w:bidi w:val="0"/>
              <w:adjustRightInd/>
              <w:snapToGrid/>
              <w:spacing w:line="28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按数量扣分，每次扣10分，最多扣50分。</w:t>
            </w:r>
          </w:p>
        </w:tc>
      </w:tr>
      <w:tr w14:paraId="634DD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82" w:type="pct"/>
            <w:vMerge w:val="continue"/>
            <w:noWrap/>
            <w:vAlign w:val="center"/>
          </w:tcPr>
          <w:p w14:paraId="6ED6AFFC">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4B3F7CB6">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4F4F7874">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22</w:t>
            </w:r>
          </w:p>
        </w:tc>
        <w:tc>
          <w:tcPr>
            <w:tcW w:w="278" w:type="pct"/>
            <w:noWrap w:val="0"/>
            <w:vAlign w:val="center"/>
          </w:tcPr>
          <w:p w14:paraId="3A659EA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中止协议</w:t>
            </w:r>
          </w:p>
        </w:tc>
        <w:tc>
          <w:tcPr>
            <w:tcW w:w="264" w:type="pct"/>
            <w:noWrap w:val="0"/>
            <w:vAlign w:val="center"/>
          </w:tcPr>
          <w:p w14:paraId="22C51A5C">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170AD032">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被医疗保障部门中止协议的。</w:t>
            </w:r>
          </w:p>
        </w:tc>
        <w:tc>
          <w:tcPr>
            <w:tcW w:w="237" w:type="pct"/>
            <w:noWrap w:val="0"/>
            <w:vAlign w:val="center"/>
          </w:tcPr>
          <w:p w14:paraId="4800405A">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52" w:type="pct"/>
            <w:noWrap/>
            <w:vAlign w:val="center"/>
          </w:tcPr>
          <w:p w14:paraId="60EE69A2">
            <w:pPr>
              <w:keepNext w:val="0"/>
              <w:keepLines w:val="0"/>
              <w:pageBreakBefore w:val="0"/>
              <w:widowControl/>
              <w:kinsoku/>
              <w:wordWrap/>
              <w:overflowPunct/>
              <w:topLinePunct w:val="0"/>
              <w:autoSpaceDE/>
              <w:autoSpaceDN/>
              <w:bidi w:val="0"/>
              <w:adjustRightInd/>
              <w:snapToGrid/>
              <w:spacing w:line="27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按累计月份扣分，不满3个月的扣10分，满3个月不满6个月的扣20分，6个月以上的扣50分。</w:t>
            </w:r>
          </w:p>
        </w:tc>
      </w:tr>
      <w:tr w14:paraId="60D2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82" w:type="pct"/>
            <w:vMerge w:val="restart"/>
            <w:noWrap w:val="0"/>
            <w:vAlign w:val="center"/>
          </w:tcPr>
          <w:p w14:paraId="37B07B90">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基金监管</w:t>
            </w:r>
          </w:p>
        </w:tc>
        <w:tc>
          <w:tcPr>
            <w:tcW w:w="269" w:type="pct"/>
            <w:vMerge w:val="restart"/>
            <w:noWrap w:val="0"/>
            <w:vAlign w:val="center"/>
          </w:tcPr>
          <w:p w14:paraId="4E4ECBC5">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一般处理</w:t>
            </w:r>
          </w:p>
        </w:tc>
        <w:tc>
          <w:tcPr>
            <w:tcW w:w="220" w:type="pct"/>
            <w:noWrap w:val="0"/>
            <w:vAlign w:val="center"/>
          </w:tcPr>
          <w:p w14:paraId="01AFCE93">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23</w:t>
            </w:r>
          </w:p>
        </w:tc>
        <w:tc>
          <w:tcPr>
            <w:tcW w:w="278" w:type="pct"/>
            <w:noWrap w:val="0"/>
            <w:vAlign w:val="center"/>
          </w:tcPr>
          <w:p w14:paraId="4386FC35">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约谈</w:t>
            </w:r>
          </w:p>
        </w:tc>
        <w:tc>
          <w:tcPr>
            <w:tcW w:w="264" w:type="pct"/>
            <w:noWrap w:val="0"/>
            <w:vAlign w:val="center"/>
          </w:tcPr>
          <w:p w14:paraId="6C39D29B">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6EEB71C3">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被医疗保障部门约谈的。</w:t>
            </w:r>
          </w:p>
        </w:tc>
        <w:tc>
          <w:tcPr>
            <w:tcW w:w="237" w:type="pct"/>
            <w:noWrap w:val="0"/>
            <w:vAlign w:val="center"/>
          </w:tcPr>
          <w:p w14:paraId="70A8423F">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p>
        </w:tc>
        <w:tc>
          <w:tcPr>
            <w:tcW w:w="1052" w:type="pct"/>
            <w:noWrap w:val="0"/>
            <w:vAlign w:val="center"/>
          </w:tcPr>
          <w:p w14:paraId="450780A0">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按次数扣分，每次扣50分。</w:t>
            </w:r>
          </w:p>
        </w:tc>
      </w:tr>
      <w:tr w14:paraId="5BC8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282" w:type="pct"/>
            <w:vMerge w:val="continue"/>
            <w:noWrap w:val="0"/>
            <w:vAlign w:val="center"/>
          </w:tcPr>
          <w:p w14:paraId="73008A26">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17D4539D">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4E8B4C6A">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24</w:t>
            </w:r>
          </w:p>
        </w:tc>
        <w:tc>
          <w:tcPr>
            <w:tcW w:w="278" w:type="pct"/>
            <w:noWrap w:val="0"/>
            <w:vAlign w:val="center"/>
          </w:tcPr>
          <w:p w14:paraId="1CB2E7EF">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整改</w:t>
            </w:r>
          </w:p>
        </w:tc>
        <w:tc>
          <w:tcPr>
            <w:tcW w:w="264" w:type="pct"/>
            <w:noWrap w:val="0"/>
            <w:vAlign w:val="center"/>
          </w:tcPr>
          <w:p w14:paraId="3EAE5AC3">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2D4802E0">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被医疗保障部门责令整改的。</w:t>
            </w:r>
          </w:p>
        </w:tc>
        <w:tc>
          <w:tcPr>
            <w:tcW w:w="237" w:type="pct"/>
            <w:noWrap w:val="0"/>
            <w:vAlign w:val="center"/>
          </w:tcPr>
          <w:p w14:paraId="77518747">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p>
        </w:tc>
        <w:tc>
          <w:tcPr>
            <w:tcW w:w="1052" w:type="pct"/>
            <w:noWrap w:val="0"/>
            <w:vAlign w:val="center"/>
          </w:tcPr>
          <w:p w14:paraId="4F585D8B">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按次数扣分，每次扣50分。</w:t>
            </w:r>
          </w:p>
        </w:tc>
      </w:tr>
      <w:tr w14:paraId="26D7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282" w:type="pct"/>
            <w:vMerge w:val="continue"/>
            <w:noWrap w:val="0"/>
            <w:vAlign w:val="center"/>
          </w:tcPr>
          <w:p w14:paraId="6B285557">
            <w:pPr>
              <w:jc w:val="center"/>
              <w:rPr>
                <w:rFonts w:hint="default" w:ascii="Times New Roman" w:hAnsi="Times New Roman" w:eastAsia="仿宋_GB2312" w:cs="Times New Roman"/>
                <w:color w:val="000000"/>
                <w:sz w:val="22"/>
                <w:highlight w:val="none"/>
              </w:rPr>
            </w:pPr>
          </w:p>
        </w:tc>
        <w:tc>
          <w:tcPr>
            <w:tcW w:w="269" w:type="pct"/>
            <w:noWrap w:val="0"/>
            <w:vAlign w:val="center"/>
          </w:tcPr>
          <w:p w14:paraId="11E34241">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行政处罚</w:t>
            </w:r>
          </w:p>
        </w:tc>
        <w:tc>
          <w:tcPr>
            <w:tcW w:w="220" w:type="pct"/>
            <w:noWrap w:val="0"/>
            <w:vAlign w:val="center"/>
          </w:tcPr>
          <w:p w14:paraId="5EC0AB64">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25</w:t>
            </w:r>
          </w:p>
        </w:tc>
        <w:tc>
          <w:tcPr>
            <w:tcW w:w="278" w:type="pct"/>
            <w:noWrap w:val="0"/>
            <w:vAlign w:val="center"/>
          </w:tcPr>
          <w:p w14:paraId="52D06458">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罚款</w:t>
            </w:r>
          </w:p>
        </w:tc>
        <w:tc>
          <w:tcPr>
            <w:tcW w:w="264" w:type="pct"/>
            <w:noWrap w:val="0"/>
            <w:vAlign w:val="center"/>
          </w:tcPr>
          <w:p w14:paraId="16DA597C">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302DB87D">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被医疗保障行政部门罚款。</w:t>
            </w:r>
          </w:p>
        </w:tc>
        <w:tc>
          <w:tcPr>
            <w:tcW w:w="237" w:type="pct"/>
            <w:noWrap w:val="0"/>
            <w:vAlign w:val="center"/>
          </w:tcPr>
          <w:p w14:paraId="29E1B0BD">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p>
        </w:tc>
        <w:tc>
          <w:tcPr>
            <w:tcW w:w="1052" w:type="pct"/>
            <w:noWrap w:val="0"/>
            <w:vAlign w:val="center"/>
          </w:tcPr>
          <w:p w14:paraId="2476725C">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按金额扣分，计算公式为：（罚款费用金额/本药店医保基金支付总额）×500分。</w:t>
            </w:r>
          </w:p>
        </w:tc>
      </w:tr>
      <w:tr w14:paraId="5EB9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0"/>
            <w:vAlign w:val="center"/>
          </w:tcPr>
          <w:p w14:paraId="1DAF2E38">
            <w:pPr>
              <w:jc w:val="center"/>
              <w:rPr>
                <w:rFonts w:hint="default" w:ascii="Times New Roman" w:hAnsi="Times New Roman" w:eastAsia="仿宋_GB2312" w:cs="Times New Roman"/>
                <w:color w:val="000000"/>
                <w:sz w:val="22"/>
                <w:highlight w:val="none"/>
              </w:rPr>
            </w:pPr>
          </w:p>
        </w:tc>
        <w:tc>
          <w:tcPr>
            <w:tcW w:w="269" w:type="pct"/>
            <w:noWrap/>
            <w:vAlign w:val="center"/>
          </w:tcPr>
          <w:p w14:paraId="03846E47">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其他行为</w:t>
            </w:r>
          </w:p>
        </w:tc>
        <w:tc>
          <w:tcPr>
            <w:tcW w:w="220" w:type="pct"/>
            <w:noWrap w:val="0"/>
            <w:vAlign w:val="center"/>
          </w:tcPr>
          <w:p w14:paraId="5670D3BE">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26</w:t>
            </w:r>
          </w:p>
        </w:tc>
        <w:tc>
          <w:tcPr>
            <w:tcW w:w="278" w:type="pct"/>
            <w:noWrap/>
            <w:vAlign w:val="center"/>
          </w:tcPr>
          <w:p w14:paraId="4748EAB0">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其他行为</w:t>
            </w:r>
          </w:p>
        </w:tc>
        <w:tc>
          <w:tcPr>
            <w:tcW w:w="264" w:type="pct"/>
            <w:noWrap w:val="0"/>
            <w:vAlign w:val="center"/>
          </w:tcPr>
          <w:p w14:paraId="49969EE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1FDFB8B4">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其他骗取医疗保障基金支出的行为。</w:t>
            </w:r>
          </w:p>
        </w:tc>
        <w:tc>
          <w:tcPr>
            <w:tcW w:w="237" w:type="pct"/>
            <w:noWrap w:val="0"/>
            <w:vAlign w:val="center"/>
          </w:tcPr>
          <w:p w14:paraId="25CDC56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52" w:type="pct"/>
            <w:noWrap/>
            <w:vAlign w:val="center"/>
          </w:tcPr>
          <w:p w14:paraId="03ED6B4C">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视情况扣除</w:t>
            </w:r>
            <w:r>
              <w:rPr>
                <w:rFonts w:hint="default" w:ascii="Times New Roman" w:hAnsi="Times New Roman" w:eastAsia="仿宋_GB2312" w:cs="Times New Roman"/>
                <w:color w:val="000000"/>
                <w:kern w:val="0"/>
                <w:sz w:val="22"/>
                <w:highlight w:val="none"/>
                <w:lang w:eastAsia="zh-CN" w:bidi="ar"/>
              </w:rPr>
              <w:t>，</w:t>
            </w:r>
            <w:r>
              <w:rPr>
                <w:rFonts w:hint="default" w:ascii="Times New Roman" w:hAnsi="Times New Roman" w:eastAsia="仿宋_GB2312" w:cs="Times New Roman"/>
                <w:color w:val="000000"/>
                <w:kern w:val="0"/>
                <w:sz w:val="22"/>
                <w:highlight w:val="none"/>
                <w:lang w:val="en-US" w:eastAsia="zh-CN" w:bidi="ar"/>
              </w:rPr>
              <w:t>直至一票否决扣360分</w:t>
            </w:r>
            <w:r>
              <w:rPr>
                <w:rFonts w:hint="default" w:ascii="Times New Roman" w:hAnsi="Times New Roman" w:eastAsia="仿宋_GB2312" w:cs="Times New Roman"/>
                <w:color w:val="000000"/>
                <w:kern w:val="0"/>
                <w:sz w:val="22"/>
                <w:highlight w:val="none"/>
                <w:lang w:bidi="ar"/>
              </w:rPr>
              <w:t>。</w:t>
            </w:r>
          </w:p>
        </w:tc>
      </w:tr>
      <w:tr w14:paraId="41BB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noWrap w:val="0"/>
            <w:vAlign w:val="center"/>
          </w:tcPr>
          <w:p w14:paraId="2D7924BB">
            <w:pPr>
              <w:jc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社会信用</w:t>
            </w:r>
          </w:p>
        </w:tc>
        <w:tc>
          <w:tcPr>
            <w:tcW w:w="269" w:type="pct"/>
            <w:noWrap/>
            <w:vAlign w:val="center"/>
          </w:tcPr>
          <w:p w14:paraId="4F05DF9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行政处理</w:t>
            </w:r>
          </w:p>
        </w:tc>
        <w:tc>
          <w:tcPr>
            <w:tcW w:w="220" w:type="pct"/>
            <w:noWrap w:val="0"/>
            <w:vAlign w:val="center"/>
          </w:tcPr>
          <w:p w14:paraId="38919F04">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27</w:t>
            </w:r>
          </w:p>
        </w:tc>
        <w:tc>
          <w:tcPr>
            <w:tcW w:w="278" w:type="pct"/>
            <w:noWrap/>
            <w:vAlign w:val="center"/>
          </w:tcPr>
          <w:p w14:paraId="0E09E68F">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行政处罚</w:t>
            </w:r>
          </w:p>
        </w:tc>
        <w:tc>
          <w:tcPr>
            <w:tcW w:w="264" w:type="pct"/>
            <w:noWrap w:val="0"/>
            <w:vAlign w:val="center"/>
          </w:tcPr>
          <w:p w14:paraId="06AA4891">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663F461D">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被政府有关行政部门给予行政处罚情况。</w:t>
            </w:r>
          </w:p>
        </w:tc>
        <w:tc>
          <w:tcPr>
            <w:tcW w:w="237" w:type="pct"/>
            <w:noWrap w:val="0"/>
            <w:vAlign w:val="center"/>
          </w:tcPr>
          <w:p w14:paraId="1FCEC0EC">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p>
        </w:tc>
        <w:tc>
          <w:tcPr>
            <w:tcW w:w="1052" w:type="pct"/>
            <w:noWrap/>
            <w:vAlign w:val="center"/>
          </w:tcPr>
          <w:p w14:paraId="17923FB0">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按次数扣分，简易程序处罚一次扣15分，一般程序处罚一次扣30分，最多扣180分。</w:t>
            </w:r>
          </w:p>
        </w:tc>
      </w:tr>
      <w:tr w14:paraId="44D1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restart"/>
            <w:noWrap w:val="0"/>
            <w:vAlign w:val="center"/>
          </w:tcPr>
          <w:p w14:paraId="2ABC170A">
            <w:pPr>
              <w:widowControl/>
              <w:jc w:val="center"/>
              <w:textAlignment w:val="center"/>
              <w:rPr>
                <w:rFonts w:hint="default" w:ascii="Times New Roman" w:hAnsi="Times New Roman" w:eastAsia="仿宋_GB2312" w:cs="Times New Roman"/>
                <w:color w:val="000000"/>
                <w:sz w:val="22"/>
                <w:highlight w:val="none"/>
              </w:rPr>
            </w:pPr>
            <w:bookmarkStart w:id="3" w:name="OLE_LINK12" w:colFirst="0" w:colLast="0"/>
            <w:r>
              <w:rPr>
                <w:rFonts w:hint="default" w:ascii="Times New Roman" w:hAnsi="Times New Roman" w:eastAsia="仿宋_GB2312" w:cs="Times New Roman"/>
                <w:color w:val="000000"/>
                <w:sz w:val="22"/>
                <w:highlight w:val="none"/>
              </w:rPr>
              <w:t>表彰奖励</w:t>
            </w:r>
          </w:p>
        </w:tc>
        <w:tc>
          <w:tcPr>
            <w:tcW w:w="269" w:type="pct"/>
            <w:vMerge w:val="restart"/>
            <w:noWrap w:val="0"/>
            <w:vAlign w:val="center"/>
          </w:tcPr>
          <w:p w14:paraId="634608DD">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受到表彰</w:t>
            </w:r>
          </w:p>
        </w:tc>
        <w:tc>
          <w:tcPr>
            <w:tcW w:w="220" w:type="pct"/>
            <w:noWrap w:val="0"/>
            <w:vAlign w:val="center"/>
          </w:tcPr>
          <w:p w14:paraId="59C2D918">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28</w:t>
            </w:r>
          </w:p>
        </w:tc>
        <w:tc>
          <w:tcPr>
            <w:tcW w:w="278" w:type="pct"/>
            <w:noWrap w:val="0"/>
            <w:vAlign w:val="center"/>
          </w:tcPr>
          <w:p w14:paraId="4BAB963A">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政府表彰</w:t>
            </w:r>
          </w:p>
        </w:tc>
        <w:tc>
          <w:tcPr>
            <w:tcW w:w="264" w:type="pct"/>
            <w:noWrap w:val="0"/>
            <w:vAlign w:val="center"/>
          </w:tcPr>
          <w:p w14:paraId="05587DB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577DEEB7">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受到党委、人民政府表彰奖励的。</w:t>
            </w:r>
          </w:p>
        </w:tc>
        <w:tc>
          <w:tcPr>
            <w:tcW w:w="237" w:type="pct"/>
            <w:noWrap/>
            <w:vAlign w:val="center"/>
          </w:tcPr>
          <w:p w14:paraId="005A374F">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主动上报</w:t>
            </w:r>
          </w:p>
        </w:tc>
        <w:tc>
          <w:tcPr>
            <w:tcW w:w="1052" w:type="pct"/>
            <w:noWrap w:val="0"/>
            <w:vAlign w:val="center"/>
          </w:tcPr>
          <w:p w14:paraId="233039D8">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县级每次计加5分，市级每次计加10分，省级每次计加20分，国家级每次计加50分。</w:t>
            </w:r>
          </w:p>
        </w:tc>
      </w:tr>
      <w:bookmarkEnd w:id="3"/>
      <w:tr w14:paraId="58FA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0"/>
            <w:vAlign w:val="center"/>
          </w:tcPr>
          <w:p w14:paraId="3E521FB6">
            <w:pPr>
              <w:jc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3252A0D3">
            <w:pPr>
              <w:jc w:val="center"/>
              <w:rPr>
                <w:rFonts w:hint="default" w:ascii="Times New Roman" w:hAnsi="Times New Roman" w:eastAsia="仿宋_GB2312" w:cs="Times New Roman"/>
                <w:color w:val="000000"/>
                <w:sz w:val="22"/>
                <w:highlight w:val="none"/>
              </w:rPr>
            </w:pPr>
          </w:p>
        </w:tc>
        <w:tc>
          <w:tcPr>
            <w:tcW w:w="220" w:type="pct"/>
            <w:noWrap w:val="0"/>
            <w:vAlign w:val="center"/>
          </w:tcPr>
          <w:p w14:paraId="662A1E3F">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29</w:t>
            </w:r>
          </w:p>
        </w:tc>
        <w:tc>
          <w:tcPr>
            <w:tcW w:w="278" w:type="pct"/>
            <w:noWrap w:val="0"/>
            <w:vAlign w:val="center"/>
          </w:tcPr>
          <w:p w14:paraId="32FE2B18">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医保表彰</w:t>
            </w:r>
          </w:p>
        </w:tc>
        <w:tc>
          <w:tcPr>
            <w:tcW w:w="264" w:type="pct"/>
            <w:noWrap w:val="0"/>
            <w:vAlign w:val="center"/>
          </w:tcPr>
          <w:p w14:paraId="1F15A41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356E87BC">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受到医疗保障行政部门通报表扬。</w:t>
            </w:r>
          </w:p>
        </w:tc>
        <w:tc>
          <w:tcPr>
            <w:tcW w:w="237" w:type="pct"/>
            <w:noWrap/>
            <w:vAlign w:val="center"/>
          </w:tcPr>
          <w:p w14:paraId="4A8106F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主动上报</w:t>
            </w:r>
          </w:p>
        </w:tc>
        <w:tc>
          <w:tcPr>
            <w:tcW w:w="1052" w:type="pct"/>
            <w:noWrap w:val="0"/>
            <w:vAlign w:val="center"/>
          </w:tcPr>
          <w:p w14:paraId="3CB4B8AB">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市级每次计加5分，省级每次计加10分，国家级每次计加20分。</w:t>
            </w:r>
          </w:p>
        </w:tc>
      </w:tr>
      <w:tr w14:paraId="0174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0"/>
            <w:vAlign w:val="center"/>
          </w:tcPr>
          <w:p w14:paraId="3F2D6050">
            <w:pPr>
              <w:jc w:val="center"/>
              <w:rPr>
                <w:rFonts w:hint="default" w:ascii="Times New Roman" w:hAnsi="Times New Roman" w:eastAsia="仿宋_GB2312" w:cs="Times New Roman"/>
                <w:color w:val="000000"/>
                <w:sz w:val="22"/>
                <w:highlight w:val="none"/>
              </w:rPr>
            </w:pPr>
          </w:p>
        </w:tc>
        <w:tc>
          <w:tcPr>
            <w:tcW w:w="269" w:type="pct"/>
            <w:vMerge w:val="restart"/>
            <w:noWrap w:val="0"/>
            <w:vAlign w:val="center"/>
          </w:tcPr>
          <w:p w14:paraId="42B4A65B">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工作配合</w:t>
            </w:r>
          </w:p>
        </w:tc>
        <w:tc>
          <w:tcPr>
            <w:tcW w:w="220" w:type="pct"/>
            <w:noWrap w:val="0"/>
            <w:vAlign w:val="center"/>
          </w:tcPr>
          <w:p w14:paraId="3BDDBCEC">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30</w:t>
            </w:r>
          </w:p>
        </w:tc>
        <w:tc>
          <w:tcPr>
            <w:tcW w:w="278" w:type="pct"/>
            <w:noWrap w:val="0"/>
            <w:vAlign w:val="center"/>
          </w:tcPr>
          <w:p w14:paraId="6035E718">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参与试点改革</w:t>
            </w:r>
          </w:p>
        </w:tc>
        <w:tc>
          <w:tcPr>
            <w:tcW w:w="264" w:type="pct"/>
            <w:noWrap w:val="0"/>
            <w:vAlign w:val="center"/>
          </w:tcPr>
          <w:p w14:paraId="05CDC797">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222C5D75">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积极参与市级医保试点改革等工作的，受到医疗保障部门认可，并出具相关证明材料。</w:t>
            </w:r>
          </w:p>
        </w:tc>
        <w:tc>
          <w:tcPr>
            <w:tcW w:w="237" w:type="pct"/>
            <w:noWrap/>
            <w:vAlign w:val="center"/>
          </w:tcPr>
          <w:p w14:paraId="5C2461D8">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主动上报</w:t>
            </w:r>
          </w:p>
        </w:tc>
        <w:tc>
          <w:tcPr>
            <w:tcW w:w="1052" w:type="pct"/>
            <w:noWrap w:val="0"/>
            <w:vAlign w:val="center"/>
          </w:tcPr>
          <w:p w14:paraId="48F9FB4F">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市级每次计加10分，省级每次计加20分，国家级每次计加50分。</w:t>
            </w:r>
          </w:p>
        </w:tc>
      </w:tr>
      <w:tr w14:paraId="2EF0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0"/>
            <w:vAlign w:val="center"/>
          </w:tcPr>
          <w:p w14:paraId="4BDC8118">
            <w:pPr>
              <w:widowControl/>
              <w:jc w:val="center"/>
              <w:textAlignment w:val="center"/>
              <w:rPr>
                <w:rFonts w:hint="default" w:ascii="Times New Roman" w:hAnsi="Times New Roman" w:eastAsia="仿宋_GB2312" w:cs="Times New Roman"/>
                <w:color w:val="000000"/>
                <w:sz w:val="22"/>
                <w:highlight w:val="none"/>
              </w:rPr>
            </w:pPr>
          </w:p>
        </w:tc>
        <w:tc>
          <w:tcPr>
            <w:tcW w:w="269" w:type="pct"/>
            <w:vMerge w:val="continue"/>
            <w:noWrap w:val="0"/>
            <w:vAlign w:val="center"/>
          </w:tcPr>
          <w:p w14:paraId="54FFEF36">
            <w:pPr>
              <w:widowControl/>
              <w:jc w:val="center"/>
              <w:textAlignment w:val="center"/>
              <w:rPr>
                <w:rFonts w:hint="default" w:ascii="Times New Roman" w:hAnsi="Times New Roman" w:eastAsia="仿宋_GB2312" w:cs="Times New Roman"/>
                <w:color w:val="000000"/>
                <w:sz w:val="22"/>
                <w:highlight w:val="none"/>
              </w:rPr>
            </w:pPr>
          </w:p>
        </w:tc>
        <w:tc>
          <w:tcPr>
            <w:tcW w:w="220" w:type="pct"/>
            <w:noWrap w:val="0"/>
            <w:vAlign w:val="center"/>
          </w:tcPr>
          <w:p w14:paraId="40F4660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31</w:t>
            </w:r>
          </w:p>
        </w:tc>
        <w:tc>
          <w:tcPr>
            <w:tcW w:w="278" w:type="pct"/>
            <w:noWrap w:val="0"/>
            <w:vAlign w:val="center"/>
          </w:tcPr>
          <w:p w14:paraId="1FC3969E">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自查自纠</w:t>
            </w:r>
          </w:p>
        </w:tc>
        <w:tc>
          <w:tcPr>
            <w:tcW w:w="264" w:type="pct"/>
            <w:noWrap w:val="0"/>
            <w:vAlign w:val="center"/>
          </w:tcPr>
          <w:p w14:paraId="2938E63B">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定量</w:t>
            </w:r>
          </w:p>
        </w:tc>
        <w:tc>
          <w:tcPr>
            <w:tcW w:w="2393" w:type="pct"/>
            <w:noWrap/>
            <w:vAlign w:val="center"/>
          </w:tcPr>
          <w:p w14:paraId="41082A1F">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按照主动回退金额予以奖励。</w:t>
            </w:r>
          </w:p>
        </w:tc>
        <w:tc>
          <w:tcPr>
            <w:tcW w:w="237" w:type="pct"/>
            <w:noWrap/>
            <w:vAlign w:val="center"/>
          </w:tcPr>
          <w:p w14:paraId="76FB96DC">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主动上报</w:t>
            </w:r>
          </w:p>
        </w:tc>
        <w:tc>
          <w:tcPr>
            <w:tcW w:w="1052" w:type="pct"/>
            <w:noWrap w:val="0"/>
            <w:vAlign w:val="center"/>
          </w:tcPr>
          <w:p w14:paraId="27A3EEFA">
            <w:pPr>
              <w:keepNext w:val="0"/>
              <w:keepLines w:val="0"/>
              <w:pageBreakBefore w:val="0"/>
              <w:widowControl/>
              <w:kinsoku/>
              <w:wordWrap/>
              <w:overflowPunct/>
              <w:topLinePunct w:val="0"/>
              <w:autoSpaceDE/>
              <w:autoSpaceDN/>
              <w:bidi w:val="0"/>
              <w:adjustRightInd/>
              <w:snapToGrid/>
              <w:spacing w:line="280" w:lineRule="exact"/>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按金额加分，计算公式为：（主动回退金额/本统筹区所有定点零售药店自查自纠主动退回金额）×50分。</w:t>
            </w:r>
          </w:p>
        </w:tc>
      </w:tr>
      <w:tr w14:paraId="462A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vMerge w:val="restart"/>
            <w:noWrap w:val="0"/>
            <w:vAlign w:val="center"/>
          </w:tcPr>
          <w:p w14:paraId="179D4A98">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表彰奖励</w:t>
            </w:r>
          </w:p>
        </w:tc>
        <w:tc>
          <w:tcPr>
            <w:tcW w:w="269" w:type="pct"/>
            <w:noWrap w:val="0"/>
            <w:vAlign w:val="center"/>
          </w:tcPr>
          <w:p w14:paraId="541037E5">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公益活动</w:t>
            </w:r>
          </w:p>
        </w:tc>
        <w:tc>
          <w:tcPr>
            <w:tcW w:w="220" w:type="pct"/>
            <w:noWrap w:val="0"/>
            <w:vAlign w:val="center"/>
          </w:tcPr>
          <w:p w14:paraId="4E9B60A9">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32</w:t>
            </w:r>
          </w:p>
        </w:tc>
        <w:tc>
          <w:tcPr>
            <w:tcW w:w="278" w:type="pct"/>
            <w:noWrap w:val="0"/>
            <w:vAlign w:val="center"/>
          </w:tcPr>
          <w:p w14:paraId="42544B6D">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公益活动</w:t>
            </w:r>
          </w:p>
        </w:tc>
        <w:tc>
          <w:tcPr>
            <w:tcW w:w="264" w:type="pct"/>
            <w:noWrap w:val="0"/>
            <w:vAlign w:val="center"/>
          </w:tcPr>
          <w:p w14:paraId="342EC96F">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定量</w:t>
            </w:r>
          </w:p>
        </w:tc>
        <w:tc>
          <w:tcPr>
            <w:tcW w:w="2393" w:type="pct"/>
            <w:noWrap w:val="0"/>
            <w:vAlign w:val="center"/>
          </w:tcPr>
          <w:p w14:paraId="20DB0107">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主动参加医疗保障部门组织的公益活动，受到医疗保障部门认可。</w:t>
            </w:r>
          </w:p>
        </w:tc>
        <w:tc>
          <w:tcPr>
            <w:tcW w:w="237" w:type="pct"/>
            <w:noWrap/>
            <w:vAlign w:val="center"/>
          </w:tcPr>
          <w:p w14:paraId="326E1000">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主动上报</w:t>
            </w:r>
          </w:p>
        </w:tc>
        <w:tc>
          <w:tcPr>
            <w:tcW w:w="1052" w:type="pct"/>
            <w:noWrap w:val="0"/>
            <w:vAlign w:val="center"/>
          </w:tcPr>
          <w:p w14:paraId="266B6EBD">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每次计加5分。</w:t>
            </w:r>
          </w:p>
        </w:tc>
      </w:tr>
      <w:tr w14:paraId="55A9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0"/>
            <w:vAlign w:val="center"/>
          </w:tcPr>
          <w:p w14:paraId="2A3E144A">
            <w:pPr>
              <w:jc w:val="center"/>
              <w:rPr>
                <w:rFonts w:hint="default" w:ascii="Times New Roman" w:hAnsi="Times New Roman" w:eastAsia="仿宋_GB2312" w:cs="Times New Roman"/>
                <w:color w:val="000000"/>
                <w:sz w:val="22"/>
                <w:highlight w:val="none"/>
              </w:rPr>
            </w:pPr>
          </w:p>
        </w:tc>
        <w:tc>
          <w:tcPr>
            <w:tcW w:w="269" w:type="pct"/>
            <w:noWrap w:val="0"/>
            <w:vAlign w:val="center"/>
          </w:tcPr>
          <w:p w14:paraId="411485DC">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其他奖励情况</w:t>
            </w:r>
          </w:p>
        </w:tc>
        <w:tc>
          <w:tcPr>
            <w:tcW w:w="220" w:type="pct"/>
            <w:noWrap w:val="0"/>
            <w:vAlign w:val="center"/>
          </w:tcPr>
          <w:p w14:paraId="052158E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33</w:t>
            </w:r>
          </w:p>
        </w:tc>
        <w:tc>
          <w:tcPr>
            <w:tcW w:w="278" w:type="pct"/>
            <w:noWrap w:val="0"/>
            <w:vAlign w:val="center"/>
          </w:tcPr>
          <w:p w14:paraId="7B6EF0C1">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其他奖励情况</w:t>
            </w:r>
          </w:p>
        </w:tc>
        <w:tc>
          <w:tcPr>
            <w:tcW w:w="264" w:type="pct"/>
            <w:noWrap w:val="0"/>
            <w:vAlign w:val="center"/>
          </w:tcPr>
          <w:p w14:paraId="590BBAA6">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294F4B52">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医疗保障部门认定的其他奖励性措施。</w:t>
            </w:r>
          </w:p>
        </w:tc>
        <w:tc>
          <w:tcPr>
            <w:tcW w:w="237" w:type="pct"/>
            <w:noWrap/>
            <w:vAlign w:val="center"/>
          </w:tcPr>
          <w:p w14:paraId="093424A7">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主动上报</w:t>
            </w:r>
          </w:p>
        </w:tc>
        <w:tc>
          <w:tcPr>
            <w:tcW w:w="1052" w:type="pct"/>
            <w:noWrap/>
            <w:vAlign w:val="center"/>
          </w:tcPr>
          <w:p w14:paraId="6D726065">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视情况计加。</w:t>
            </w:r>
          </w:p>
        </w:tc>
      </w:tr>
      <w:tr w14:paraId="7602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restart"/>
            <w:noWrap w:val="0"/>
            <w:vAlign w:val="center"/>
          </w:tcPr>
          <w:p w14:paraId="5E29A885">
            <w:pPr>
              <w:jc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一票否决</w:t>
            </w:r>
          </w:p>
        </w:tc>
        <w:tc>
          <w:tcPr>
            <w:tcW w:w="269" w:type="pct"/>
            <w:noWrap w:val="0"/>
            <w:vAlign w:val="center"/>
          </w:tcPr>
          <w:p w14:paraId="2D9FF7A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失信被执行人</w:t>
            </w:r>
          </w:p>
        </w:tc>
        <w:tc>
          <w:tcPr>
            <w:tcW w:w="220" w:type="pct"/>
            <w:noWrap w:val="0"/>
            <w:vAlign w:val="center"/>
          </w:tcPr>
          <w:p w14:paraId="64DDCE04">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34</w:t>
            </w:r>
          </w:p>
        </w:tc>
        <w:tc>
          <w:tcPr>
            <w:tcW w:w="278" w:type="pct"/>
            <w:noWrap w:val="0"/>
            <w:vAlign w:val="center"/>
          </w:tcPr>
          <w:p w14:paraId="3BF0CEDA">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失信被执行人</w:t>
            </w:r>
          </w:p>
        </w:tc>
        <w:tc>
          <w:tcPr>
            <w:tcW w:w="264" w:type="pct"/>
            <w:noWrap w:val="0"/>
            <w:vAlign w:val="center"/>
          </w:tcPr>
          <w:p w14:paraId="17B3629B">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6F7A460F">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定点零售药店或其法人被纳入公共信用系统失信“黑名单”的情况。</w:t>
            </w:r>
          </w:p>
        </w:tc>
        <w:tc>
          <w:tcPr>
            <w:tcW w:w="237" w:type="pct"/>
            <w:noWrap/>
            <w:vAlign w:val="center"/>
          </w:tcPr>
          <w:p w14:paraId="277CD205">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p>
        </w:tc>
        <w:tc>
          <w:tcPr>
            <w:tcW w:w="1052" w:type="pct"/>
            <w:noWrap/>
            <w:vAlign w:val="center"/>
          </w:tcPr>
          <w:p w14:paraId="7F132794">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一票否决，扣360分。</w:t>
            </w:r>
          </w:p>
        </w:tc>
      </w:tr>
      <w:tr w14:paraId="7E8F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0"/>
            <w:vAlign w:val="top"/>
          </w:tcPr>
          <w:p w14:paraId="56564359">
            <w:pPr>
              <w:jc w:val="center"/>
              <w:rPr>
                <w:rFonts w:hint="default" w:ascii="Times New Roman" w:hAnsi="Times New Roman" w:eastAsia="仿宋_GB2312" w:cs="Times New Roman"/>
                <w:color w:val="000000"/>
                <w:sz w:val="22"/>
                <w:highlight w:val="none"/>
              </w:rPr>
            </w:pPr>
          </w:p>
        </w:tc>
        <w:tc>
          <w:tcPr>
            <w:tcW w:w="269" w:type="pct"/>
            <w:noWrap w:val="0"/>
            <w:vAlign w:val="center"/>
          </w:tcPr>
          <w:p w14:paraId="343CDCB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司法处理</w:t>
            </w:r>
          </w:p>
        </w:tc>
        <w:tc>
          <w:tcPr>
            <w:tcW w:w="220" w:type="pct"/>
            <w:noWrap w:val="0"/>
            <w:vAlign w:val="center"/>
          </w:tcPr>
          <w:p w14:paraId="0E42D170">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35</w:t>
            </w:r>
          </w:p>
        </w:tc>
        <w:tc>
          <w:tcPr>
            <w:tcW w:w="278" w:type="pct"/>
            <w:noWrap w:val="0"/>
            <w:vAlign w:val="center"/>
          </w:tcPr>
          <w:p w14:paraId="351CFF63">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欺诈骗保</w:t>
            </w:r>
          </w:p>
        </w:tc>
        <w:tc>
          <w:tcPr>
            <w:tcW w:w="264" w:type="pct"/>
            <w:noWrap w:val="0"/>
            <w:vAlign w:val="center"/>
          </w:tcPr>
          <w:p w14:paraId="460A13AE">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329E252E">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定点零售药店及其工作人员因欺诈、伪造证明材料或其他手段骗取医疗保障基金或者医疗保障待遇被司法机关追究刑事责任的。</w:t>
            </w:r>
          </w:p>
        </w:tc>
        <w:tc>
          <w:tcPr>
            <w:tcW w:w="237" w:type="pct"/>
            <w:noWrap w:val="0"/>
            <w:vAlign w:val="center"/>
          </w:tcPr>
          <w:p w14:paraId="0E3608A8">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p>
        </w:tc>
        <w:tc>
          <w:tcPr>
            <w:tcW w:w="1052" w:type="pct"/>
            <w:noWrap w:val="0"/>
            <w:vAlign w:val="center"/>
          </w:tcPr>
          <w:p w14:paraId="54B67A36">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一票否决，扣360分。</w:t>
            </w:r>
          </w:p>
        </w:tc>
      </w:tr>
      <w:tr w14:paraId="4B80F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0"/>
            <w:vAlign w:val="top"/>
          </w:tcPr>
          <w:p w14:paraId="1B11B141">
            <w:pPr>
              <w:jc w:val="center"/>
              <w:rPr>
                <w:rFonts w:hint="default" w:ascii="Times New Roman" w:hAnsi="Times New Roman" w:eastAsia="仿宋_GB2312" w:cs="Times New Roman"/>
                <w:color w:val="000000"/>
                <w:sz w:val="22"/>
                <w:highlight w:val="none"/>
              </w:rPr>
            </w:pPr>
          </w:p>
        </w:tc>
        <w:tc>
          <w:tcPr>
            <w:tcW w:w="269" w:type="pct"/>
            <w:vMerge w:val="restart"/>
            <w:noWrap w:val="0"/>
            <w:vAlign w:val="top"/>
          </w:tcPr>
          <w:p w14:paraId="5A4AA2F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协议处理</w:t>
            </w:r>
          </w:p>
        </w:tc>
        <w:tc>
          <w:tcPr>
            <w:tcW w:w="220" w:type="pct"/>
            <w:noWrap w:val="0"/>
            <w:vAlign w:val="center"/>
          </w:tcPr>
          <w:p w14:paraId="4F3A92A0">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36</w:t>
            </w:r>
          </w:p>
        </w:tc>
        <w:tc>
          <w:tcPr>
            <w:tcW w:w="278" w:type="pct"/>
            <w:noWrap w:val="0"/>
            <w:vAlign w:val="center"/>
          </w:tcPr>
          <w:p w14:paraId="2C0CADEE">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解除协议</w:t>
            </w:r>
          </w:p>
        </w:tc>
        <w:tc>
          <w:tcPr>
            <w:tcW w:w="264" w:type="pct"/>
            <w:noWrap w:val="0"/>
            <w:vAlign w:val="center"/>
          </w:tcPr>
          <w:p w14:paraId="669D2BED">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2CADAC1A">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被医疗保障部门解除协议的。</w:t>
            </w:r>
          </w:p>
        </w:tc>
        <w:tc>
          <w:tcPr>
            <w:tcW w:w="237" w:type="pct"/>
            <w:noWrap w:val="0"/>
            <w:vAlign w:val="center"/>
          </w:tcPr>
          <w:p w14:paraId="12D12CB0">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日常抽查</w:t>
            </w:r>
          </w:p>
        </w:tc>
        <w:tc>
          <w:tcPr>
            <w:tcW w:w="1052" w:type="pct"/>
            <w:noWrap w:val="0"/>
            <w:vAlign w:val="center"/>
          </w:tcPr>
          <w:p w14:paraId="1C631CF0">
            <w:pPr>
              <w:widowControl/>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一票否决，扣360分。</w:t>
            </w:r>
          </w:p>
        </w:tc>
      </w:tr>
      <w:tr w14:paraId="1605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0"/>
            <w:vAlign w:val="top"/>
          </w:tcPr>
          <w:p w14:paraId="7F0346CE">
            <w:pPr>
              <w:jc w:val="center"/>
              <w:rPr>
                <w:rFonts w:hint="default" w:ascii="Times New Roman" w:hAnsi="Times New Roman" w:eastAsia="仿宋_GB2312" w:cs="Times New Roman"/>
                <w:color w:val="000000"/>
                <w:sz w:val="22"/>
                <w:highlight w:val="none"/>
              </w:rPr>
            </w:pPr>
          </w:p>
        </w:tc>
        <w:tc>
          <w:tcPr>
            <w:tcW w:w="269" w:type="pct"/>
            <w:vMerge w:val="continue"/>
            <w:noWrap w:val="0"/>
            <w:vAlign w:val="top"/>
          </w:tcPr>
          <w:p w14:paraId="764F9088">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20" w:type="pct"/>
            <w:noWrap w:val="0"/>
            <w:vAlign w:val="center"/>
          </w:tcPr>
          <w:p w14:paraId="2666C40B">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37</w:t>
            </w:r>
          </w:p>
        </w:tc>
        <w:tc>
          <w:tcPr>
            <w:tcW w:w="278" w:type="pct"/>
            <w:noWrap w:val="0"/>
            <w:vAlign w:val="center"/>
          </w:tcPr>
          <w:p w14:paraId="5FDDE67B">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变更备案</w:t>
            </w:r>
          </w:p>
        </w:tc>
        <w:tc>
          <w:tcPr>
            <w:tcW w:w="264" w:type="pct"/>
            <w:noWrap w:val="0"/>
            <w:vAlign w:val="center"/>
          </w:tcPr>
          <w:p w14:paraId="63DEC523">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7DB0CB5B">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机构名称、执业地址等发生变化时，及时向医疗保障部门提供相关材料备案，被发现重大信息发生变更,但未在规定时间内办理重大信息变更的。</w:t>
            </w:r>
          </w:p>
        </w:tc>
        <w:tc>
          <w:tcPr>
            <w:tcW w:w="237" w:type="pct"/>
            <w:noWrap w:val="0"/>
            <w:vAlign w:val="center"/>
          </w:tcPr>
          <w:p w14:paraId="358D525B">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5D4F24EC">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一票否决，扣360分。</w:t>
            </w:r>
          </w:p>
        </w:tc>
      </w:tr>
      <w:tr w14:paraId="2FCC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82" w:type="pct"/>
            <w:vMerge w:val="continue"/>
            <w:noWrap w:val="0"/>
            <w:vAlign w:val="top"/>
          </w:tcPr>
          <w:p w14:paraId="1DA397C2">
            <w:pPr>
              <w:jc w:val="center"/>
              <w:rPr>
                <w:rFonts w:hint="default" w:ascii="Times New Roman" w:hAnsi="Times New Roman" w:eastAsia="仿宋_GB2312" w:cs="Times New Roman"/>
                <w:color w:val="000000"/>
                <w:sz w:val="22"/>
                <w:highlight w:val="none"/>
              </w:rPr>
            </w:pPr>
          </w:p>
        </w:tc>
        <w:tc>
          <w:tcPr>
            <w:tcW w:w="269" w:type="pct"/>
            <w:noWrap w:val="0"/>
            <w:vAlign w:val="top"/>
          </w:tcPr>
          <w:p w14:paraId="2F344B7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行为规范</w:t>
            </w:r>
          </w:p>
        </w:tc>
        <w:tc>
          <w:tcPr>
            <w:tcW w:w="220" w:type="pct"/>
            <w:noWrap w:val="0"/>
            <w:vAlign w:val="center"/>
          </w:tcPr>
          <w:p w14:paraId="5A12D0DB">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sz w:val="22"/>
                <w:highlight w:val="none"/>
              </w:rPr>
              <w:t>38</w:t>
            </w:r>
          </w:p>
        </w:tc>
        <w:tc>
          <w:tcPr>
            <w:tcW w:w="278" w:type="pct"/>
            <w:noWrap w:val="0"/>
            <w:vAlign w:val="center"/>
          </w:tcPr>
          <w:p w14:paraId="3848C844">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工作配合</w:t>
            </w:r>
          </w:p>
        </w:tc>
        <w:tc>
          <w:tcPr>
            <w:tcW w:w="264" w:type="pct"/>
            <w:noWrap w:val="0"/>
            <w:vAlign w:val="center"/>
          </w:tcPr>
          <w:p w14:paraId="1FACF232">
            <w:pPr>
              <w:widowControl/>
              <w:jc w:val="center"/>
              <w:textAlignment w:val="center"/>
              <w:rPr>
                <w:rFonts w:hint="default" w:ascii="Times New Roman" w:hAnsi="Times New Roman" w:eastAsia="仿宋_GB2312" w:cs="Times New Roman"/>
                <w:color w:val="000000"/>
                <w:sz w:val="22"/>
                <w:highlight w:val="none"/>
              </w:rPr>
            </w:pPr>
            <w:r>
              <w:rPr>
                <w:rFonts w:hint="default" w:ascii="Times New Roman" w:hAnsi="Times New Roman" w:eastAsia="仿宋_GB2312" w:cs="Times New Roman"/>
                <w:color w:val="000000"/>
                <w:kern w:val="0"/>
                <w:sz w:val="22"/>
                <w:highlight w:val="none"/>
                <w:lang w:bidi="ar"/>
              </w:rPr>
              <w:t>定性</w:t>
            </w:r>
          </w:p>
        </w:tc>
        <w:tc>
          <w:tcPr>
            <w:tcW w:w="2393" w:type="pct"/>
            <w:noWrap w:val="0"/>
            <w:vAlign w:val="center"/>
          </w:tcPr>
          <w:p w14:paraId="67D38AD2">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不配合医疗保障部门开展智能监控审核稽核、履约考核、监督检查等，情节恶劣的。</w:t>
            </w:r>
          </w:p>
        </w:tc>
        <w:tc>
          <w:tcPr>
            <w:tcW w:w="237" w:type="pct"/>
            <w:noWrap w:val="0"/>
            <w:vAlign w:val="center"/>
          </w:tcPr>
          <w:p w14:paraId="5741F5A4">
            <w:pPr>
              <w:widowControl/>
              <w:jc w:val="lef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52" w:type="pct"/>
            <w:noWrap w:val="0"/>
            <w:vAlign w:val="center"/>
          </w:tcPr>
          <w:p w14:paraId="7E4F4BC0">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一票否决，扣360分。</w:t>
            </w:r>
          </w:p>
        </w:tc>
      </w:tr>
    </w:tbl>
    <w:p w14:paraId="433E3547">
      <w:pPr>
        <w:rPr>
          <w:rFonts w:hint="default" w:ascii="Times New Roman" w:hAnsi="Times New Roman" w:eastAsia="仿宋_GB2312" w:cs="Times New Roman"/>
          <w:sz w:val="32"/>
          <w:szCs w:val="32"/>
          <w:highlight w:val="none"/>
          <w:lang w:bidi="ar"/>
        </w:rPr>
      </w:pPr>
    </w:p>
    <w:p w14:paraId="2EB289F5">
      <w:pPr>
        <w:widowControl/>
        <w:spacing w:line="600" w:lineRule="exact"/>
        <w:rPr>
          <w:rFonts w:hint="default" w:ascii="Times New Roman" w:hAnsi="Times New Roman" w:eastAsia="仿宋_GB2312" w:cs="Times New Roman"/>
          <w:sz w:val="32"/>
          <w:szCs w:val="32"/>
          <w:highlight w:val="none"/>
          <w:lang w:bidi="ar"/>
        </w:rPr>
        <w:sectPr>
          <w:footerReference r:id="rId3" w:type="default"/>
          <w:pgSz w:w="16838" w:h="11906" w:orient="landscape"/>
          <w:pgMar w:top="1134" w:right="1134" w:bottom="1134" w:left="1134" w:header="851" w:footer="992" w:gutter="0"/>
          <w:pgNumType w:fmt="decimal"/>
          <w:cols w:space="720" w:num="1"/>
          <w:rtlGutter w:val="0"/>
          <w:docGrid w:type="lines" w:linePitch="319" w:charSpace="0"/>
        </w:sectPr>
      </w:pPr>
    </w:p>
    <w:p w14:paraId="02AC55D8"/>
    <w:sectPr>
      <w:pgSz w:w="16838" w:h="11906" w:orient="landscape"/>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05551C-D674-4E84-A2DC-53CBFB79DAC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B2F2E21-8519-41BE-A0CF-8567C359361A}"/>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3" w:fontKey="{3FDCEBF2-FB3E-40AC-BCF9-CF41A137CB25}"/>
  </w:font>
  <w:font w:name="仿宋_GB2312">
    <w:panose1 w:val="02010609030101010101"/>
    <w:charset w:val="86"/>
    <w:family w:val="modern"/>
    <w:pitch w:val="default"/>
    <w:sig w:usb0="00000001" w:usb1="080E0000" w:usb2="00000000" w:usb3="00000000" w:csb0="00040000" w:csb1="00000000"/>
    <w:embedRegular r:id="rId4" w:fontKey="{6582ED35-493B-4596-8882-B37DFBEF82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BB87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EC97B4">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1BEC97B4">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2D3AA6"/>
    <w:rsid w:val="632D3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oc 1"/>
    <w:basedOn w:val="1"/>
    <w:next w:val="1"/>
    <w:unhideWhenUsed/>
    <w:qFormat/>
    <w:uiPriority w:val="39"/>
    <w:pPr>
      <w:spacing w:before="120" w:after="120" w:line="360" w:lineRule="auto"/>
      <w:ind w:firstLine="200" w:firstLineChars="200"/>
      <w:jc w:val="left"/>
    </w:pPr>
    <w:rPr>
      <w:rFonts w:ascii="Calibri" w:hAnsi="Times New Roman" w:eastAsia="Calibri" w:cs="Times New Roman"/>
      <w:b/>
      <w:bCs/>
      <w:caps/>
      <w:sz w:val="20"/>
      <w:szCs w:val="20"/>
    </w:rPr>
  </w:style>
  <w:style w:type="paragraph" w:styleId="3">
    <w:name w:val="footer"/>
    <w:basedOn w:val="1"/>
    <w:qFormat/>
    <w:uiPriority w:val="0"/>
    <w:pPr>
      <w:tabs>
        <w:tab w:val="center" w:pos="4153"/>
        <w:tab w:val="right" w:pos="8306"/>
      </w:tabs>
      <w:snapToGrid w:val="0"/>
      <w:jc w:val="left"/>
    </w:pPr>
    <w:rPr>
      <w:sz w:val="18"/>
    </w:rPr>
  </w:style>
  <w:style w:type="character" w:customStyle="1" w:styleId="6">
    <w:name w:val="font11"/>
    <w:basedOn w:val="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2025-06-16T03:17:00Z</dcterms:created>
  <dc:creator>马拉松®</dc:creator>
  <cp:lastModifiedBy>马拉松®</cp:lastModifiedBy>
  <dcterms:modified xsi:type="dcterms:W3CDTF">2025-06-16T03:17:27Z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3E94CE21BB0B4CAC804594FBD115E292_11</vt:lpwstr>
  </property>
  <property fmtid="{D5CDD505-2E9C-101B-9397-08002B2CF9AE}" pid="4" name="KSOTemplateDocerSaveRecord">
    <vt:lpwstr>eyJoZGlkIjoiMTAxODEyMmQ1MzY5MWFhMTcxZDNhODVmZmM0NzkzZWEiLCJ1c2VySWQiOiIyMDE5MDE1NTIifQ==</vt:lpwstr>
  </property>
</Properties>
</file>