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val="0"/>
        <w:snapToGrid w:val="0"/>
        <w:spacing w:before="0" w:after="0" w:line="240" w:lineRule="auto"/>
        <w:jc w:val="center"/>
        <w:textAlignment w:val="auto"/>
        <w:rPr>
          <w:sz w:val="28"/>
        </w:rPr>
      </w:pPr>
      <w:r>
        <w:rPr>
          <w:rFonts w:hint="eastAsia"/>
          <w:sz w:val="28"/>
        </w:rPr>
        <w:t>《菏泽市中心城区电力设施专项规划（</w:t>
      </w:r>
      <w:r>
        <w:rPr>
          <w:sz w:val="28"/>
        </w:rPr>
        <w:t>2022-2035年）</w:t>
      </w:r>
      <w:r>
        <w:rPr>
          <w:rFonts w:hint="eastAsia"/>
          <w:sz w:val="28"/>
        </w:rPr>
        <w:t>》</w:t>
      </w:r>
    </w:p>
    <w:p>
      <w:pPr>
        <w:pStyle w:val="2"/>
        <w:pageBreakBefore w:val="0"/>
        <w:kinsoku/>
        <w:wordWrap/>
        <w:overflowPunct/>
        <w:topLinePunct w:val="0"/>
        <w:autoSpaceDE/>
        <w:autoSpaceDN/>
        <w:bidi w:val="0"/>
        <w:adjustRightInd w:val="0"/>
        <w:snapToGrid w:val="0"/>
        <w:spacing w:before="0" w:after="0" w:line="240" w:lineRule="auto"/>
        <w:jc w:val="center"/>
        <w:textAlignment w:val="auto"/>
        <w:rPr>
          <w:sz w:val="28"/>
        </w:rPr>
      </w:pPr>
      <w:r>
        <w:rPr>
          <w:rFonts w:hint="eastAsia"/>
          <w:sz w:val="28"/>
        </w:rPr>
        <w:t>草案公示</w:t>
      </w:r>
    </w:p>
    <w:p>
      <w:pPr>
        <w:pStyle w:val="2"/>
        <w:pageBreakBefore w:val="0"/>
        <w:kinsoku/>
        <w:wordWrap/>
        <w:overflowPunct/>
        <w:topLinePunct w:val="0"/>
        <w:autoSpaceDE/>
        <w:autoSpaceDN/>
        <w:bidi w:val="0"/>
        <w:adjustRightInd w:val="0"/>
        <w:snapToGrid w:val="0"/>
        <w:spacing w:before="0" w:after="0" w:line="240" w:lineRule="auto"/>
        <w:textAlignment w:val="auto"/>
        <w:rPr>
          <w:rFonts w:asciiTheme="minorEastAsia" w:hAnsiTheme="minorEastAsia"/>
          <w:sz w:val="28"/>
        </w:rPr>
      </w:pPr>
      <w:r>
        <w:rPr>
          <w:rFonts w:hint="eastAsia" w:asciiTheme="minorEastAsia" w:hAnsiTheme="minorEastAsia"/>
          <w:sz w:val="28"/>
        </w:rPr>
        <w:t>一、规划背景</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本次规划的目的主要为：对上与《菏泽市国土空间总体规划（</w:t>
      </w:r>
      <w:r>
        <w:rPr>
          <w:rFonts w:cs="宋体" w:asciiTheme="minorEastAsia" w:hAnsiTheme="minorEastAsia"/>
          <w:color w:val="333333"/>
          <w:kern w:val="0"/>
          <w:sz w:val="24"/>
          <w:szCs w:val="24"/>
        </w:rPr>
        <w:t>2021-2035）》及在编城市片区控制性详细规划等对接，使电网规划与城市规划建设相衔接；对下与菏泽市电网现状、相关电网规划、电源发展规划对接，以便政府将电力设施布局规划纳入城市整体发展规划，提前预留电力设施建设用地</w:t>
      </w: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从</w:t>
      </w:r>
      <w:r>
        <w:rPr>
          <w:rFonts w:hint="eastAsia" w:cs="宋体" w:asciiTheme="minorEastAsia" w:hAnsiTheme="minorEastAsia"/>
          <w:color w:val="333333"/>
          <w:kern w:val="0"/>
          <w:sz w:val="24"/>
          <w:szCs w:val="24"/>
        </w:rPr>
        <w:t>进一步优化电力设施布局，进一步理顺现有网架，进行走廊迁改与整合，减少对城市建设用地的切割，更有效地支撑中心城区新区建设</w:t>
      </w:r>
      <w:bookmarkStart w:id="5" w:name="_GoBack"/>
      <w:bookmarkEnd w:id="5"/>
      <w:r>
        <w:rPr>
          <w:rFonts w:hint="eastAsia" w:cs="宋体" w:asciiTheme="minorEastAsia" w:hAnsiTheme="minorEastAsia"/>
          <w:color w:val="333333"/>
          <w:kern w:val="0"/>
          <w:sz w:val="24"/>
          <w:szCs w:val="24"/>
        </w:rPr>
        <w:t>、产业园开发与旧城改造，合理指导菏泽市中心</w:t>
      </w:r>
      <w:r>
        <w:rPr>
          <w:rFonts w:cs="宋体" w:asciiTheme="minorEastAsia" w:hAnsiTheme="minorEastAsia"/>
          <w:color w:val="333333"/>
          <w:kern w:val="0"/>
          <w:sz w:val="24"/>
          <w:szCs w:val="24"/>
        </w:rPr>
        <w:t>城区</w:t>
      </w:r>
      <w:r>
        <w:rPr>
          <w:rFonts w:hint="eastAsia" w:cs="宋体" w:asciiTheme="minorEastAsia" w:hAnsiTheme="minorEastAsia"/>
          <w:color w:val="333333"/>
          <w:kern w:val="0"/>
          <w:sz w:val="24"/>
          <w:szCs w:val="24"/>
        </w:rPr>
        <w:t>电力基础设施建设，编制《菏泽市</w:t>
      </w:r>
      <w:r>
        <w:rPr>
          <w:rFonts w:cs="宋体" w:asciiTheme="minorEastAsia" w:hAnsiTheme="minorEastAsia"/>
          <w:color w:val="333333"/>
          <w:kern w:val="0"/>
          <w:sz w:val="24"/>
          <w:szCs w:val="24"/>
        </w:rPr>
        <w:t>中心</w:t>
      </w:r>
      <w:r>
        <w:rPr>
          <w:rFonts w:hint="eastAsia" w:cs="宋体" w:asciiTheme="minorEastAsia" w:hAnsiTheme="minorEastAsia"/>
          <w:color w:val="333333"/>
          <w:kern w:val="0"/>
          <w:sz w:val="24"/>
          <w:szCs w:val="24"/>
        </w:rPr>
        <w:t>城区电力设施专项规划</w:t>
      </w:r>
      <w:r>
        <w:rPr>
          <w:rFonts w:cs="宋体" w:asciiTheme="minorEastAsia" w:hAnsiTheme="minorEastAsia"/>
          <w:color w:val="333333"/>
          <w:kern w:val="0"/>
          <w:sz w:val="24"/>
          <w:szCs w:val="24"/>
        </w:rPr>
        <w:t>（</w:t>
      </w:r>
      <w:r>
        <w:rPr>
          <w:rFonts w:hint="eastAsia" w:cs="宋体" w:asciiTheme="minorEastAsia" w:hAnsiTheme="minorEastAsia"/>
          <w:color w:val="333333"/>
          <w:kern w:val="0"/>
          <w:sz w:val="24"/>
          <w:szCs w:val="24"/>
        </w:rPr>
        <w:t>2022</w:t>
      </w:r>
      <w:r>
        <w:rPr>
          <w:rFonts w:cs="宋体" w:asciiTheme="minorEastAsia" w:hAnsiTheme="minorEastAsia"/>
          <w:color w:val="333333"/>
          <w:kern w:val="0"/>
          <w:sz w:val="24"/>
          <w:szCs w:val="24"/>
        </w:rPr>
        <w:t>-2035</w:t>
      </w:r>
      <w:r>
        <w:rPr>
          <w:rFonts w:hint="eastAsia" w:cs="宋体" w:asciiTheme="minorEastAsia" w:hAnsiTheme="minorEastAsia"/>
          <w:color w:val="333333"/>
          <w:kern w:val="0"/>
          <w:sz w:val="24"/>
          <w:szCs w:val="24"/>
        </w:rPr>
        <w:t>年</w:t>
      </w:r>
      <w:r>
        <w:rPr>
          <w:rFonts w:cs="宋体" w:asciiTheme="minorEastAsia" w:hAnsiTheme="minorEastAsia"/>
          <w:color w:val="333333"/>
          <w:kern w:val="0"/>
          <w:sz w:val="24"/>
          <w:szCs w:val="24"/>
        </w:rPr>
        <w:t>）</w:t>
      </w: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w:t>
      </w:r>
    </w:p>
    <w:p>
      <w:pPr>
        <w:pStyle w:val="2"/>
        <w:pageBreakBefore w:val="0"/>
        <w:kinsoku/>
        <w:wordWrap/>
        <w:overflowPunct/>
        <w:topLinePunct w:val="0"/>
        <w:autoSpaceDE/>
        <w:autoSpaceDN/>
        <w:bidi w:val="0"/>
        <w:adjustRightInd w:val="0"/>
        <w:snapToGrid w:val="0"/>
        <w:spacing w:before="0" w:after="0" w:line="240" w:lineRule="auto"/>
        <w:textAlignment w:val="auto"/>
        <w:rPr>
          <w:rFonts w:asciiTheme="minorEastAsia" w:hAnsiTheme="minorEastAsia"/>
          <w:sz w:val="28"/>
        </w:rPr>
      </w:pPr>
      <w:r>
        <w:rPr>
          <w:rFonts w:hint="eastAsia" w:asciiTheme="minorEastAsia" w:hAnsiTheme="minorEastAsia"/>
          <w:sz w:val="28"/>
        </w:rPr>
        <w:t>二、规划范围</w:t>
      </w:r>
    </w:p>
    <w:p>
      <w:pPr>
        <w:keepNext w:val="0"/>
        <w:keepLines w:val="0"/>
        <w:pageBreakBefore w:val="0"/>
        <w:widowControl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asciiTheme="minorEastAsia" w:hAnsiTheme="minorEastAsia"/>
          <w:sz w:val="24"/>
        </w:rPr>
        <w:drawing>
          <wp:anchor distT="0" distB="0" distL="114300" distR="114300" simplePos="0" relativeHeight="251660288" behindDoc="0" locked="0" layoutInCell="1" allowOverlap="1">
            <wp:simplePos x="0" y="0"/>
            <wp:positionH relativeFrom="column">
              <wp:posOffset>103505</wp:posOffset>
            </wp:positionH>
            <wp:positionV relativeFrom="paragraph">
              <wp:posOffset>59690</wp:posOffset>
            </wp:positionV>
            <wp:extent cx="5274310" cy="3727450"/>
            <wp:effectExtent l="0" t="0" r="2540" b="6350"/>
            <wp:wrapTopAndBottom/>
            <wp:docPr id="4" name="图片 4" descr="F:\菏泽市中心城区电力设施布局专项规划\菏泽中心城区电力设施布局专项规划 评审内容\打印2本A31\图件10.9\01区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菏泽市中心城区电力设施布局专项规划\菏泽中心城区电力设施布局专项规划 评审内容\打印2本A31\图件10.9\01区位.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727555"/>
                    </a:xfrm>
                    <a:prstGeom prst="rect">
                      <a:avLst/>
                    </a:prstGeom>
                    <a:noFill/>
                    <a:ln>
                      <a:noFill/>
                    </a:ln>
                  </pic:spPr>
                </pic:pic>
              </a:graphicData>
            </a:graphic>
          </wp:anchor>
        </w:drawing>
      </w:r>
      <w:r>
        <w:rPr>
          <w:rFonts w:hint="eastAsia" w:asciiTheme="minorEastAsia" w:hAnsiTheme="minorEastAsia"/>
          <w:sz w:val="24"/>
        </w:rPr>
        <w:t>结合《菏泽市国土空间总体规划（2021-2035）》对于</w:t>
      </w:r>
      <w:r>
        <w:rPr>
          <w:rFonts w:asciiTheme="minorEastAsia" w:hAnsiTheme="minorEastAsia"/>
          <w:sz w:val="24"/>
        </w:rPr>
        <w:t>菏泽市</w:t>
      </w:r>
      <w:r>
        <w:rPr>
          <w:rFonts w:hint="eastAsia" w:asciiTheme="minorEastAsia" w:hAnsiTheme="minorEastAsia"/>
          <w:sz w:val="24"/>
        </w:rPr>
        <w:t>中心</w:t>
      </w:r>
      <w:r>
        <w:rPr>
          <w:rFonts w:asciiTheme="minorEastAsia" w:hAnsiTheme="minorEastAsia"/>
          <w:sz w:val="24"/>
        </w:rPr>
        <w:t>城区的划定，</w:t>
      </w:r>
      <w:r>
        <w:rPr>
          <w:rFonts w:hint="eastAsia" w:asciiTheme="minorEastAsia" w:hAnsiTheme="minorEastAsia"/>
          <w:sz w:val="24"/>
        </w:rPr>
        <w:t>本次菏泽市城区规划范围为总规中</w:t>
      </w:r>
      <w:r>
        <w:rPr>
          <w:rFonts w:asciiTheme="minorEastAsia" w:hAnsiTheme="minorEastAsia"/>
          <w:sz w:val="24"/>
        </w:rPr>
        <w:t>划定的</w:t>
      </w:r>
      <w:r>
        <w:rPr>
          <w:rFonts w:hint="eastAsia" w:asciiTheme="minorEastAsia" w:hAnsiTheme="minorEastAsia"/>
          <w:sz w:val="24"/>
        </w:rPr>
        <w:t>除</w:t>
      </w:r>
      <w:r>
        <w:rPr>
          <w:rFonts w:asciiTheme="minorEastAsia" w:hAnsiTheme="minorEastAsia"/>
          <w:sz w:val="24"/>
        </w:rPr>
        <w:t>定陶区以外的城区范围</w:t>
      </w:r>
      <w:r>
        <w:rPr>
          <w:rFonts w:hint="eastAsia" w:asciiTheme="minorEastAsia" w:hAnsiTheme="minorEastAsia"/>
          <w:sz w:val="24"/>
        </w:rPr>
        <w:t>，即北起国花大道，南至佃户屯，西至阳新高速</w:t>
      </w:r>
      <w:r>
        <w:rPr>
          <w:rFonts w:asciiTheme="minorEastAsia" w:hAnsiTheme="minorEastAsia"/>
          <w:sz w:val="24"/>
        </w:rPr>
        <w:t>公路</w:t>
      </w:r>
      <w:r>
        <w:rPr>
          <w:rFonts w:hint="eastAsia" w:asciiTheme="minorEastAsia" w:hAnsiTheme="minorEastAsia"/>
          <w:sz w:val="24"/>
        </w:rPr>
        <w:t>，东至菏泽</w:t>
      </w:r>
      <w:r>
        <w:rPr>
          <w:rFonts w:asciiTheme="minorEastAsia" w:hAnsiTheme="minorEastAsia"/>
          <w:sz w:val="24"/>
        </w:rPr>
        <w:t>机场</w:t>
      </w:r>
      <w:r>
        <w:rPr>
          <w:rFonts w:hint="eastAsia" w:asciiTheme="minorEastAsia" w:hAnsiTheme="minorEastAsia"/>
          <w:sz w:val="24"/>
        </w:rPr>
        <w:t>。</w:t>
      </w:r>
    </w:p>
    <w:p>
      <w:pPr>
        <w:pStyle w:val="2"/>
        <w:pageBreakBefore w:val="0"/>
        <w:kinsoku/>
        <w:wordWrap/>
        <w:overflowPunct/>
        <w:topLinePunct w:val="0"/>
        <w:autoSpaceDE/>
        <w:autoSpaceDN/>
        <w:bidi w:val="0"/>
        <w:adjustRightInd w:val="0"/>
        <w:snapToGrid w:val="0"/>
        <w:spacing w:before="0" w:after="0" w:line="240" w:lineRule="auto"/>
        <w:textAlignment w:val="auto"/>
        <w:rPr>
          <w:rFonts w:asciiTheme="minorEastAsia" w:hAnsiTheme="minorEastAsia"/>
          <w:sz w:val="28"/>
        </w:rPr>
      </w:pPr>
      <w:r>
        <w:rPr>
          <w:rFonts w:hint="eastAsia" w:asciiTheme="minorEastAsia" w:hAnsiTheme="minorEastAsia"/>
          <w:sz w:val="28"/>
        </w:rPr>
        <w:t>三、规划年限</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编制期限为20</w:t>
      </w:r>
      <w:r>
        <w:rPr>
          <w:rFonts w:asciiTheme="minorEastAsia" w:hAnsiTheme="minorEastAsia"/>
          <w:sz w:val="24"/>
        </w:rPr>
        <w:t>22</w:t>
      </w:r>
      <w:r>
        <w:rPr>
          <w:rFonts w:hint="eastAsia" w:asciiTheme="minorEastAsia" w:hAnsiTheme="minorEastAsia"/>
          <w:sz w:val="24"/>
        </w:rPr>
        <w:t>—2035年。202</w:t>
      </w:r>
      <w:r>
        <w:rPr>
          <w:rFonts w:asciiTheme="minorEastAsia" w:hAnsiTheme="minorEastAsia"/>
          <w:sz w:val="24"/>
        </w:rPr>
        <w:t>2</w:t>
      </w:r>
      <w:r>
        <w:rPr>
          <w:rFonts w:hint="eastAsia" w:asciiTheme="minorEastAsia" w:hAnsiTheme="minorEastAsia"/>
          <w:sz w:val="24"/>
        </w:rPr>
        <w:t>年</w:t>
      </w:r>
      <w:r>
        <w:rPr>
          <w:rFonts w:asciiTheme="minorEastAsia" w:hAnsiTheme="minorEastAsia"/>
          <w:sz w:val="24"/>
        </w:rPr>
        <w:t>为基准年，近期规划至</w:t>
      </w:r>
      <w:r>
        <w:rPr>
          <w:rFonts w:hint="eastAsia" w:asciiTheme="minorEastAsia" w:hAnsiTheme="minorEastAsia"/>
          <w:sz w:val="24"/>
        </w:rPr>
        <w:t>2025年</w:t>
      </w:r>
      <w:r>
        <w:rPr>
          <w:rFonts w:asciiTheme="minorEastAsia" w:hAnsiTheme="minorEastAsia"/>
          <w:sz w:val="24"/>
        </w:rPr>
        <w:t>，远期规划至</w:t>
      </w:r>
      <w:r>
        <w:rPr>
          <w:rFonts w:hint="eastAsia" w:asciiTheme="minorEastAsia" w:hAnsiTheme="minorEastAsia"/>
          <w:sz w:val="24"/>
        </w:rPr>
        <w:t>2035年</w:t>
      </w:r>
      <w:r>
        <w:rPr>
          <w:rFonts w:asciiTheme="minorEastAsia" w:hAnsiTheme="minorEastAsia"/>
          <w:sz w:val="24"/>
        </w:rPr>
        <w:t>。</w:t>
      </w:r>
    </w:p>
    <w:p>
      <w:pPr>
        <w:pStyle w:val="2"/>
        <w:pageBreakBefore w:val="0"/>
        <w:kinsoku/>
        <w:wordWrap/>
        <w:overflowPunct/>
        <w:topLinePunct w:val="0"/>
        <w:autoSpaceDE/>
        <w:autoSpaceDN/>
        <w:bidi w:val="0"/>
        <w:adjustRightInd w:val="0"/>
        <w:snapToGrid w:val="0"/>
        <w:spacing w:before="0" w:after="0" w:line="240" w:lineRule="auto"/>
        <w:textAlignment w:val="auto"/>
        <w:rPr>
          <w:rFonts w:asciiTheme="minorEastAsia" w:hAnsiTheme="minorEastAsia"/>
          <w:sz w:val="28"/>
        </w:rPr>
      </w:pPr>
      <w:r>
        <w:rPr>
          <w:rFonts w:hint="eastAsia" w:asciiTheme="minorEastAsia" w:hAnsiTheme="minorEastAsia"/>
          <w:sz w:val="28"/>
        </w:rPr>
        <w:t>四、</w:t>
      </w:r>
      <w:bookmarkStart w:id="0" w:name="_Toc137107033"/>
      <w:r>
        <w:rPr>
          <w:rFonts w:hint="eastAsia" w:asciiTheme="minorEastAsia" w:hAnsiTheme="minorEastAsia"/>
          <w:sz w:val="28"/>
        </w:rPr>
        <w:t>规划对象</w:t>
      </w:r>
      <w:bookmarkEnd w:id="0"/>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本次规划对象为35kV、110kV与220kV电压等级电网，500kV及以上电压等级电力设施需在全市域范围内进行统筹，本次规划不做考虑。</w:t>
      </w:r>
    </w:p>
    <w:p>
      <w:pPr>
        <w:pStyle w:val="2"/>
        <w:pageBreakBefore w:val="0"/>
        <w:kinsoku/>
        <w:wordWrap/>
        <w:overflowPunct/>
        <w:topLinePunct w:val="0"/>
        <w:autoSpaceDE/>
        <w:autoSpaceDN/>
        <w:bidi w:val="0"/>
        <w:adjustRightInd w:val="0"/>
        <w:snapToGrid w:val="0"/>
        <w:spacing w:before="0" w:after="0" w:line="240" w:lineRule="auto"/>
        <w:textAlignment w:val="auto"/>
        <w:rPr>
          <w:rFonts w:asciiTheme="minorEastAsia" w:hAnsiTheme="minorEastAsia"/>
          <w:sz w:val="28"/>
        </w:rPr>
      </w:pPr>
      <w:r>
        <w:rPr>
          <w:rFonts w:hint="eastAsia" w:asciiTheme="minorEastAsia" w:hAnsiTheme="minorEastAsia"/>
          <w:sz w:val="28"/>
        </w:rPr>
        <w:t>五</w:t>
      </w:r>
      <w:r>
        <w:rPr>
          <w:rFonts w:asciiTheme="minorEastAsia" w:hAnsiTheme="minorEastAsia"/>
          <w:sz w:val="28"/>
        </w:rPr>
        <w:t>、</w:t>
      </w:r>
      <w:r>
        <w:rPr>
          <w:rFonts w:hint="eastAsia" w:asciiTheme="minorEastAsia" w:hAnsiTheme="minorEastAsia"/>
          <w:sz w:val="28"/>
        </w:rPr>
        <w:t>规划内容</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本规划主要包括电力需求</w:t>
      </w:r>
      <w:r>
        <w:rPr>
          <w:rFonts w:cs="宋体" w:asciiTheme="minorEastAsia" w:hAnsiTheme="minorEastAsia"/>
          <w:color w:val="333333"/>
          <w:kern w:val="0"/>
          <w:sz w:val="24"/>
          <w:szCs w:val="24"/>
        </w:rPr>
        <w:t>预测</w:t>
      </w: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电力供需平衡</w:t>
      </w:r>
      <w:r>
        <w:rPr>
          <w:rFonts w:hint="eastAsia" w:cs="宋体" w:asciiTheme="minorEastAsia" w:hAnsiTheme="minorEastAsia"/>
          <w:color w:val="333333"/>
          <w:kern w:val="0"/>
          <w:sz w:val="24"/>
          <w:szCs w:val="24"/>
        </w:rPr>
        <w:t>、城市</w:t>
      </w:r>
      <w:r>
        <w:rPr>
          <w:rFonts w:cs="宋体" w:asciiTheme="minorEastAsia" w:hAnsiTheme="minorEastAsia"/>
          <w:color w:val="333333"/>
          <w:kern w:val="0"/>
          <w:sz w:val="24"/>
          <w:szCs w:val="24"/>
        </w:rPr>
        <w:t>变电站布局、线路走向、近期建设规划等几方面的内容</w:t>
      </w:r>
      <w:r>
        <w:rPr>
          <w:rFonts w:hint="eastAsia" w:cs="宋体" w:asciiTheme="minorEastAsia" w:hAnsiTheme="minorEastAsia"/>
          <w:color w:val="333333"/>
          <w:kern w:val="0"/>
          <w:sz w:val="24"/>
          <w:szCs w:val="24"/>
        </w:rPr>
        <w:t>。</w:t>
      </w:r>
    </w:p>
    <w:p>
      <w:pPr>
        <w:pStyle w:val="4"/>
        <w:pageBreakBefore w:val="0"/>
        <w:kinsoku/>
        <w:wordWrap/>
        <w:overflowPunct/>
        <w:topLinePunct w:val="0"/>
        <w:autoSpaceDE/>
        <w:autoSpaceDN/>
        <w:bidi w:val="0"/>
        <w:adjustRightInd w:val="0"/>
        <w:snapToGrid w:val="0"/>
        <w:spacing w:before="0" w:after="0" w:line="240" w:lineRule="auto"/>
        <w:ind w:firstLine="0" w:firstLineChars="0"/>
        <w:textAlignment w:val="auto"/>
        <w:rPr>
          <w:rFonts w:asciiTheme="minorEastAsia" w:hAnsiTheme="minorEastAsia" w:eastAsiaTheme="minorEastAsia"/>
          <w:sz w:val="28"/>
        </w:rPr>
      </w:pPr>
      <w:r>
        <w:rPr>
          <w:rFonts w:hint="eastAsia" w:asciiTheme="minorEastAsia" w:hAnsiTheme="minorEastAsia" w:eastAsiaTheme="minorEastAsia"/>
          <w:sz w:val="28"/>
        </w:rPr>
        <w:t>（一）电力需求</w:t>
      </w:r>
      <w:r>
        <w:rPr>
          <w:rFonts w:asciiTheme="minorEastAsia" w:hAnsiTheme="minorEastAsia" w:eastAsiaTheme="minorEastAsia"/>
          <w:sz w:val="28"/>
        </w:rPr>
        <w:t>预测</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（1）近期电力需求预测</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全社会用电量预测主要采用自然增长加大用户法、平均增长率法、回归曲线预测方法预测规划区最大负荷，并根据历史负荷数据、结合经济社会发展需求，经过综合分析，给出推荐方案。经上述方法综合预测，至2025年，负荷达到2450MW。 </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（2）远期、远景电力需求预测</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远期与远景全社会最大用电量主要依据三种饱和负荷预测方法进行预测，分别为：基于人均用电量的预测方法、基于宏观负荷密度的预测方法，以及基于微观负荷密度的饱和负荷空间分布预测法。至2035年，采用不同方法进行预测，菏泽市中心城区（除定陶区）饱和负荷为2951-5220MW，不同方法加权平均后得出本次规划区饱和负荷约3750MW。</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（3）小结</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菏泽市城区规划至2025年负荷达到2450MW；至2035年饱和年饱和负荷将达到3750MW。</w:t>
      </w:r>
    </w:p>
    <w:p>
      <w:pPr>
        <w:pStyle w:val="4"/>
        <w:pageBreakBefore w:val="0"/>
        <w:kinsoku/>
        <w:wordWrap/>
        <w:overflowPunct/>
        <w:topLinePunct w:val="0"/>
        <w:autoSpaceDE/>
        <w:autoSpaceDN/>
        <w:bidi w:val="0"/>
        <w:adjustRightInd w:val="0"/>
        <w:snapToGrid w:val="0"/>
        <w:spacing w:before="0" w:after="0" w:line="240" w:lineRule="auto"/>
        <w:ind w:firstLine="0" w:firstLineChars="0"/>
        <w:textAlignment w:val="auto"/>
        <w:rPr>
          <w:rFonts w:asciiTheme="minorEastAsia" w:hAnsiTheme="minorEastAsia" w:eastAsiaTheme="minorEastAsia"/>
          <w:sz w:val="28"/>
        </w:rPr>
      </w:pPr>
      <w:r>
        <w:rPr>
          <w:rFonts w:hint="eastAsia" w:asciiTheme="minorEastAsia" w:hAnsiTheme="minorEastAsia" w:eastAsiaTheme="minorEastAsia"/>
          <w:sz w:val="28"/>
        </w:rPr>
        <w:t>（二）电力供需平衡</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（1）220kV电力供需平衡</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220kV变电站按单台主变容量240MVA或180MVA计算，一次建设一台，建设容量为240MVA或180MVA，远期依据发展需要，可扩建为240+240MVA或180+180MVA。现状220kV变电容量能使菏泽市中心城区容载比为1.1，远低于《城市电力网规划设计导则》中提出的容载比推荐值1.8-2.1容载比低于正常取值；至2025年，需增加变电容量728-1043MVA，新增主变3-6台。至2035年，需增加变电容量2880-4200MVA，新增主变12-23台。</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（1）110kV电力供需平衡</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110kV变电站按单台主变容量63MVA或50MVA计算，一次建设两台，建设容量为2×63MVA或2×50MVA，远期依据发展需要，可扩建为3×63MVA或3×50MVA。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现状110kV变电容量能使菏泽市中心城区容载比为1.5，略低于《城市电力网规划设计导则》中提出的容载比推荐值1.8-2.1；至2025年，需新增110kV变电容量227.5-767.5MVA，新增主变4-15台；至2035年，需新增110kV变电容量3005.5-4505.5MVA，新增主变48-90台。</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3</w:t>
      </w:r>
      <w:r>
        <w:rPr>
          <w:rFonts w:hint="eastAsia" w:cs="宋体" w:asciiTheme="minorEastAsia" w:hAnsiTheme="minorEastAsia"/>
          <w:color w:val="333333"/>
          <w:kern w:val="0"/>
          <w:sz w:val="24"/>
          <w:szCs w:val="24"/>
        </w:rPr>
        <w:t>）分区110kV电力供需平衡</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根据菏泽市中心城区饱和负荷空间分布预测、220kV 变电站布点、110kV变电站布点及变电容量配置，饱和年分区电力平衡见表5-36。</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规划期内已建站由于受前期设计规模的限制，本期及远景存在31.5MVA、40MVA 主变容量，其余规划期内新建110kV变电站单台主变容量按50MVA或63MV考虑，终期规模为2×50MVA或2×63MVA。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中心城区主城区片区110kV电网：2035年共有28 座110kV变电站，变电总容量3326MVA，110kV电网容载比为2.0。中心城区城西片区110kV电网：2035年共有5 座110kV变电站，变电总容量500MVA，110kV电网容载比为1.7。中心城区城东片区110kV电网：2035年共有14 座110kV变电站，变电总容量1634MVA，110kV电网容载比为1.9。中心城区城南片区110kV电网：2035年共有8座110kV变电站，变电总容量878MVA，110kV电网容载比为1.9。中心城区东部片区（高铁新区）110kV电网：2035年共有2 座110kV变电站，变电总容量252MVA，110kV电网容载比为2.5。中心城区东部片区（陆港新城片区）110kV电网：2035年共有4 座110kV变电站，变电总容量402MVA，110kV电网容载比为1.3。中心城区东部片区（陈集片区）110kV电网：2035年共有4 座110kV变电站，变电总容量452MVA，110kV电网容载比为1.6。中心城区东部片区（机场片区）110kV电网：2035年共有1 座110kV变电站，变电总容量100MVA，110kV电网容载比为1.8。</w:t>
      </w:r>
    </w:p>
    <w:p>
      <w:pPr>
        <w:pStyle w:val="4"/>
        <w:pageBreakBefore w:val="0"/>
        <w:kinsoku/>
        <w:wordWrap/>
        <w:overflowPunct/>
        <w:topLinePunct w:val="0"/>
        <w:autoSpaceDE/>
        <w:autoSpaceDN/>
        <w:bidi w:val="0"/>
        <w:adjustRightInd w:val="0"/>
        <w:snapToGrid w:val="0"/>
        <w:spacing w:before="0" w:after="0" w:line="240" w:lineRule="auto"/>
        <w:ind w:firstLine="0" w:firstLineChars="0"/>
        <w:textAlignment w:val="auto"/>
        <w:rPr>
          <w:rFonts w:asciiTheme="minorEastAsia" w:hAnsiTheme="minorEastAsia" w:eastAsiaTheme="minorEastAsia"/>
          <w:sz w:val="28"/>
        </w:rPr>
      </w:pPr>
      <w:r>
        <w:rPr>
          <w:rFonts w:hint="eastAsia" w:asciiTheme="minorEastAsia" w:hAnsiTheme="minorEastAsia" w:eastAsiaTheme="minorEastAsia"/>
          <w:sz w:val="28"/>
        </w:rPr>
        <w:t>（三）变电站布局规划</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（1）中心城区</w:t>
      </w:r>
      <w:r>
        <w:rPr>
          <w:rFonts w:cs="宋体" w:asciiTheme="minorEastAsia" w:hAnsiTheme="minorEastAsia"/>
          <w:color w:val="333333"/>
          <w:kern w:val="0"/>
          <w:sz w:val="24"/>
          <w:szCs w:val="24"/>
        </w:rPr>
        <w:t>变电站布局规划</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中心城区现状、近期及饱和年规划已落实的</w:t>
      </w:r>
      <w:r>
        <w:rPr>
          <w:rFonts w:cs="宋体" w:asciiTheme="minorEastAsia" w:hAnsiTheme="minorEastAsia"/>
          <w:color w:val="333333"/>
          <w:kern w:val="0"/>
          <w:sz w:val="24"/>
          <w:szCs w:val="24"/>
        </w:rPr>
        <w:t>220kV</w:t>
      </w:r>
      <w:r>
        <w:rPr>
          <w:rFonts w:hint="eastAsia" w:cs="宋体" w:asciiTheme="minorEastAsia" w:hAnsiTheme="minorEastAsia"/>
          <w:color w:val="333333"/>
          <w:kern w:val="0"/>
          <w:sz w:val="24"/>
          <w:szCs w:val="24"/>
        </w:rPr>
        <w:t>及</w:t>
      </w:r>
      <w:r>
        <w:rPr>
          <w:rFonts w:asciiTheme="minorEastAsia" w:hAnsiTheme="minorEastAsia"/>
          <w:sz w:val="24"/>
        </w:rPr>
        <w:t>110kV</w:t>
      </w:r>
      <w:r>
        <w:rPr>
          <w:rFonts w:cs="宋体" w:asciiTheme="minorEastAsia" w:hAnsiTheme="minorEastAsia"/>
          <w:color w:val="333333"/>
          <w:kern w:val="0"/>
          <w:sz w:val="24"/>
          <w:szCs w:val="24"/>
        </w:rPr>
        <w:t>变电站面积按规划要求确定，中心城区新建5座220kV变电站，近期原址升压扩建110kV变电站2座，分别为青北站和南郊站。中心城区</w:t>
      </w:r>
      <w:r>
        <w:rPr>
          <w:rFonts w:hint="eastAsia" w:asciiTheme="minorEastAsia" w:hAnsiTheme="minorEastAsia"/>
          <w:sz w:val="24"/>
        </w:rPr>
        <w:t>新增</w:t>
      </w:r>
      <w:r>
        <w:rPr>
          <w:rFonts w:asciiTheme="minorEastAsia" w:hAnsiTheme="minorEastAsia"/>
          <w:sz w:val="24"/>
        </w:rPr>
        <w:t>44</w:t>
      </w:r>
      <w:r>
        <w:rPr>
          <w:rFonts w:hint="eastAsia" w:asciiTheme="minorEastAsia" w:hAnsiTheme="minorEastAsia"/>
          <w:sz w:val="24"/>
        </w:rPr>
        <w:t>座110kV变电站，近期原址升压扩建</w:t>
      </w:r>
      <w:r>
        <w:rPr>
          <w:rFonts w:asciiTheme="minorEastAsia" w:hAnsiTheme="minorEastAsia"/>
          <w:sz w:val="24"/>
        </w:rPr>
        <w:t>35</w:t>
      </w:r>
      <w:r>
        <w:rPr>
          <w:rFonts w:hint="eastAsia" w:asciiTheme="minorEastAsia" w:hAnsiTheme="minorEastAsia"/>
          <w:sz w:val="24"/>
        </w:rPr>
        <w:t>kV变电站2座至110kV变电站</w:t>
      </w:r>
      <w:r>
        <w:rPr>
          <w:rFonts w:asciiTheme="minorEastAsia" w:hAnsiTheme="minorEastAsia"/>
          <w:sz w:val="24"/>
        </w:rPr>
        <w:t>，分</w:t>
      </w:r>
      <w:r>
        <w:rPr>
          <w:rFonts w:hint="eastAsia" w:asciiTheme="minorEastAsia" w:hAnsiTheme="minorEastAsia"/>
          <w:sz w:val="24"/>
        </w:rPr>
        <w:t>别</w:t>
      </w:r>
      <w:r>
        <w:rPr>
          <w:rFonts w:asciiTheme="minorEastAsia" w:hAnsiTheme="minorEastAsia"/>
          <w:sz w:val="24"/>
        </w:rPr>
        <w:t>为</w:t>
      </w:r>
      <w:r>
        <w:rPr>
          <w:rFonts w:hint="eastAsia" w:asciiTheme="minorEastAsia" w:hAnsiTheme="minorEastAsia"/>
          <w:sz w:val="24"/>
        </w:rPr>
        <w:t>北郊</w:t>
      </w:r>
      <w:r>
        <w:rPr>
          <w:rFonts w:asciiTheme="minorEastAsia" w:hAnsiTheme="minorEastAsia"/>
          <w:sz w:val="24"/>
        </w:rPr>
        <w:t>站和</w:t>
      </w:r>
      <w:r>
        <w:rPr>
          <w:rFonts w:hint="eastAsia" w:asciiTheme="minorEastAsia" w:hAnsiTheme="minorEastAsia"/>
          <w:sz w:val="24"/>
        </w:rPr>
        <w:t>岳程庄</w:t>
      </w:r>
      <w:r>
        <w:rPr>
          <w:rFonts w:asciiTheme="minorEastAsia" w:hAnsiTheme="minorEastAsia"/>
          <w:sz w:val="24"/>
        </w:rPr>
        <w:t>站。</w:t>
      </w:r>
    </w:p>
    <w:p>
      <w:pPr>
        <w:pStyle w:val="4"/>
        <w:pageBreakBefore w:val="0"/>
        <w:kinsoku/>
        <w:wordWrap/>
        <w:overflowPunct/>
        <w:topLinePunct w:val="0"/>
        <w:autoSpaceDE/>
        <w:autoSpaceDN/>
        <w:bidi w:val="0"/>
        <w:adjustRightInd w:val="0"/>
        <w:snapToGrid w:val="0"/>
        <w:spacing w:before="0" w:after="0" w:line="240" w:lineRule="auto"/>
        <w:ind w:firstLine="0" w:firstLineChars="0"/>
        <w:textAlignment w:val="auto"/>
        <w:rPr>
          <w:rFonts w:asciiTheme="minorEastAsia" w:hAnsiTheme="minorEastAsia" w:eastAsiaTheme="minorEastAsia"/>
          <w:sz w:val="28"/>
        </w:rPr>
      </w:pPr>
      <w:bookmarkStart w:id="1" w:name="_Toc135662050"/>
      <w:bookmarkStart w:id="2" w:name="_Toc137107055"/>
      <w:r>
        <w:rPr>
          <w:rFonts w:asciiTheme="minorEastAsia" w:hAnsiTheme="minorEastAsia" w:eastAsiaTheme="minorEastAsia"/>
          <w:sz w:val="28"/>
        </w:rPr>
        <w:drawing>
          <wp:anchor distT="0" distB="0" distL="114300" distR="114300" simplePos="0" relativeHeight="251658240" behindDoc="0" locked="0" layoutInCell="1" allowOverlap="1">
            <wp:simplePos x="0" y="0"/>
            <wp:positionH relativeFrom="column">
              <wp:posOffset>24765</wp:posOffset>
            </wp:positionH>
            <wp:positionV relativeFrom="paragraph">
              <wp:posOffset>3820795</wp:posOffset>
            </wp:positionV>
            <wp:extent cx="5274310" cy="3727450"/>
            <wp:effectExtent l="0" t="0" r="2540" b="6350"/>
            <wp:wrapTopAndBottom/>
            <wp:docPr id="2" name="图片 2" descr="F:\菏泽市中心城区电力设施布局专项规划\菏泽中心城区电力设施布局专项规划 评审内容\打印2本A31\图件10.9\04总图远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菏泽市中心城区电力设施布局专项规划\菏泽中心城区电力设施布局专项规划 评审内容\打印2本A31\图件10.9\04总图远期.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727555"/>
                    </a:xfrm>
                    <a:prstGeom prst="rect">
                      <a:avLst/>
                    </a:prstGeom>
                    <a:noFill/>
                    <a:ln>
                      <a:noFill/>
                    </a:ln>
                  </pic:spPr>
                </pic:pic>
              </a:graphicData>
            </a:graphic>
          </wp:anchor>
        </w:drawing>
      </w:r>
      <w:r>
        <w:rPr>
          <w:rFonts w:asciiTheme="minorEastAsia" w:hAnsiTheme="minorEastAsia" w:eastAsiaTheme="minorEastAsia"/>
          <w:sz w:val="28"/>
        </w:rPr>
        <w:drawing>
          <wp:anchor distT="0" distB="0" distL="114300" distR="114300" simplePos="0" relativeHeight="251659264" behindDoc="0" locked="0" layoutInCell="1" allowOverlap="1">
            <wp:simplePos x="0" y="0"/>
            <wp:positionH relativeFrom="column">
              <wp:posOffset>36195</wp:posOffset>
            </wp:positionH>
            <wp:positionV relativeFrom="paragraph">
              <wp:posOffset>0</wp:posOffset>
            </wp:positionV>
            <wp:extent cx="5274310" cy="3727450"/>
            <wp:effectExtent l="0" t="0" r="2540" b="6350"/>
            <wp:wrapTopAndBottom/>
            <wp:docPr id="3" name="图片 3" descr="F:\菏泽市中心城区电力设施布局专项规划\菏泽中心城区电力设施布局专项规划 评审内容\打印2本A31\图件10.9\03总图近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菏泽市中心城区电力设施布局专项规划\菏泽中心城区电力设施布局专项规划 评审内容\打印2本A31\图件10.9\03总图近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727555"/>
                    </a:xfrm>
                    <a:prstGeom prst="rect">
                      <a:avLst/>
                    </a:prstGeom>
                    <a:noFill/>
                    <a:ln>
                      <a:noFill/>
                    </a:ln>
                  </pic:spPr>
                </pic:pic>
              </a:graphicData>
            </a:graphic>
          </wp:anchor>
        </w:drawing>
      </w:r>
      <w:r>
        <w:rPr>
          <w:rFonts w:hint="eastAsia" w:asciiTheme="minorEastAsia" w:hAnsiTheme="minorEastAsia" w:eastAsiaTheme="minorEastAsia"/>
          <w:sz w:val="28"/>
        </w:rPr>
        <w:t>（四）线路布局规划</w:t>
      </w:r>
      <w:bookmarkEnd w:id="1"/>
      <w:bookmarkEnd w:id="2"/>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（1）中心城区</w:t>
      </w:r>
      <w:r>
        <w:rPr>
          <w:rFonts w:asciiTheme="minorEastAsia" w:hAnsiTheme="minorEastAsia"/>
          <w:sz w:val="24"/>
        </w:rPr>
        <w:t>22</w:t>
      </w:r>
      <w:r>
        <w:rPr>
          <w:rFonts w:hint="eastAsia" w:asciiTheme="minorEastAsia" w:hAnsiTheme="minorEastAsia"/>
          <w:sz w:val="24"/>
        </w:rPr>
        <w:t>0kV线路布局规划</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规划中心城区2</w:t>
      </w:r>
      <w:r>
        <w:rPr>
          <w:rFonts w:asciiTheme="minorEastAsia" w:hAnsiTheme="minorEastAsia"/>
          <w:sz w:val="24"/>
        </w:rPr>
        <w:t>20kV</w:t>
      </w:r>
      <w:r>
        <w:rPr>
          <w:rFonts w:hint="eastAsia" w:asciiTheme="minorEastAsia" w:hAnsiTheme="minorEastAsia"/>
          <w:sz w:val="24"/>
        </w:rPr>
        <w:t>线路结合现状城市道路两侧已预留的市政廊道，同时与未来城市道路建设相对接，线路除保留现状架空线路以外，规划均结合城市道路走向架设。</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规划至</w:t>
      </w:r>
      <w:r>
        <w:rPr>
          <w:rFonts w:asciiTheme="minorEastAsia" w:hAnsiTheme="minorEastAsia"/>
          <w:sz w:val="24"/>
        </w:rPr>
        <w:t>2025</w:t>
      </w:r>
      <w:r>
        <w:rPr>
          <w:rFonts w:hint="eastAsia" w:asciiTheme="minorEastAsia" w:hAnsiTheme="minorEastAsia"/>
          <w:sz w:val="24"/>
        </w:rPr>
        <w:t>年：赵楼～尧都单回线路、青北～华西单回线路、雷泽～石尧单回线路、</w:t>
      </w:r>
      <w:r>
        <w:rPr>
          <w:rFonts w:asciiTheme="minorEastAsia" w:hAnsiTheme="minorEastAsia"/>
          <w:sz w:val="24"/>
        </w:rPr>
        <w:t>雷泽～</w:t>
      </w:r>
      <w:r>
        <w:rPr>
          <w:rFonts w:hint="eastAsia" w:asciiTheme="minorEastAsia" w:hAnsiTheme="minorEastAsia"/>
          <w:sz w:val="24"/>
        </w:rPr>
        <w:t>兰楼</w:t>
      </w:r>
      <w:r>
        <w:rPr>
          <w:rFonts w:asciiTheme="minorEastAsia" w:hAnsiTheme="minorEastAsia"/>
          <w:sz w:val="24"/>
        </w:rPr>
        <w:t>单回线路</w:t>
      </w:r>
      <w:r>
        <w:rPr>
          <w:rFonts w:hint="eastAsia" w:asciiTheme="minorEastAsia" w:hAnsiTheme="minorEastAsia"/>
          <w:sz w:val="24"/>
        </w:rPr>
        <w:t>、雷泽～电厂双线路、雷泽～白庄单回线路、雷泽～华西单回线路，部分利用已有赵楼～杜庄</w:t>
      </w:r>
      <w:r>
        <w:rPr>
          <w:rFonts w:asciiTheme="minorEastAsia" w:hAnsiTheme="minorEastAsia"/>
          <w:sz w:val="24"/>
        </w:rPr>
        <w:t>220kV</w:t>
      </w:r>
      <w:r>
        <w:rPr>
          <w:rFonts w:hint="eastAsia" w:asciiTheme="minorEastAsia" w:hAnsiTheme="minorEastAsia"/>
          <w:sz w:val="24"/>
        </w:rPr>
        <w:t>线路、华西～电厂单回线路、华西～石尧单回线路、电厂～白庄单回线路，其余为新建线路。另外，增加青北～尧都单回线路。</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规划至2</w:t>
      </w:r>
      <w:r>
        <w:rPr>
          <w:rFonts w:asciiTheme="minorEastAsia" w:hAnsiTheme="minorEastAsia"/>
          <w:sz w:val="24"/>
        </w:rPr>
        <w:t>035</w:t>
      </w:r>
      <w:r>
        <w:rPr>
          <w:rFonts w:hint="eastAsia" w:asciiTheme="minorEastAsia" w:hAnsiTheme="minorEastAsia"/>
          <w:sz w:val="24"/>
        </w:rPr>
        <w:t>年：</w:t>
      </w:r>
      <w:r>
        <w:rPr>
          <w:rFonts w:asciiTheme="minorEastAsia" w:hAnsiTheme="minorEastAsia"/>
          <w:sz w:val="24"/>
        </w:rPr>
        <w:t>南郊～</w:t>
      </w:r>
      <w:r>
        <w:rPr>
          <w:rFonts w:hint="eastAsia" w:asciiTheme="minorEastAsia" w:hAnsiTheme="minorEastAsia"/>
          <w:sz w:val="24"/>
        </w:rPr>
        <w:t>从庙</w:t>
      </w:r>
      <w:r>
        <w:rPr>
          <w:rFonts w:asciiTheme="minorEastAsia" w:hAnsiTheme="minorEastAsia"/>
          <w:sz w:val="24"/>
        </w:rPr>
        <w:t>单回线路、南郊～</w:t>
      </w:r>
      <w:r>
        <w:rPr>
          <w:rFonts w:hint="eastAsia" w:asciiTheme="minorEastAsia" w:hAnsiTheme="minorEastAsia"/>
          <w:sz w:val="24"/>
        </w:rPr>
        <w:t>雷泽</w:t>
      </w:r>
      <w:r>
        <w:rPr>
          <w:rFonts w:asciiTheme="minorEastAsia" w:hAnsiTheme="minorEastAsia"/>
          <w:sz w:val="24"/>
        </w:rPr>
        <w:t>单回线路</w:t>
      </w:r>
      <w:r>
        <w:rPr>
          <w:rFonts w:hint="eastAsia" w:asciiTheme="minorEastAsia" w:hAnsiTheme="minorEastAsia"/>
          <w:sz w:val="24"/>
        </w:rPr>
        <w:t>、南郊</w:t>
      </w:r>
      <w:r>
        <w:rPr>
          <w:rFonts w:asciiTheme="minorEastAsia" w:hAnsiTheme="minorEastAsia"/>
          <w:sz w:val="24"/>
        </w:rPr>
        <w:t>～</w:t>
      </w:r>
      <w:r>
        <w:rPr>
          <w:rFonts w:hint="eastAsia" w:asciiTheme="minorEastAsia" w:hAnsiTheme="minorEastAsia"/>
          <w:sz w:val="24"/>
        </w:rPr>
        <w:t>陶西双回线路、</w:t>
      </w:r>
      <w:r>
        <w:rPr>
          <w:rFonts w:asciiTheme="minorEastAsia" w:hAnsiTheme="minorEastAsia"/>
          <w:sz w:val="24"/>
        </w:rPr>
        <w:t>吕陵～杜庄站</w:t>
      </w:r>
      <w:r>
        <w:rPr>
          <w:rFonts w:hint="eastAsia" w:asciiTheme="minorEastAsia" w:hAnsiTheme="minorEastAsia"/>
          <w:sz w:val="24"/>
        </w:rPr>
        <w:t>单</w:t>
      </w:r>
      <w:r>
        <w:rPr>
          <w:rFonts w:asciiTheme="minorEastAsia" w:hAnsiTheme="minorEastAsia"/>
          <w:sz w:val="24"/>
        </w:rPr>
        <w:t>回线路</w:t>
      </w:r>
      <w:r>
        <w:rPr>
          <w:rFonts w:hint="eastAsia" w:asciiTheme="minorEastAsia" w:hAnsiTheme="minorEastAsia"/>
          <w:sz w:val="24"/>
        </w:rPr>
        <w:t>、</w:t>
      </w:r>
      <w:r>
        <w:rPr>
          <w:rFonts w:asciiTheme="minorEastAsia" w:hAnsiTheme="minorEastAsia"/>
          <w:sz w:val="24"/>
        </w:rPr>
        <w:t>吕陵～</w:t>
      </w:r>
      <w:r>
        <w:rPr>
          <w:rFonts w:hint="eastAsia" w:asciiTheme="minorEastAsia" w:hAnsiTheme="minorEastAsia"/>
          <w:sz w:val="24"/>
        </w:rPr>
        <w:t>桂陵</w:t>
      </w:r>
      <w:r>
        <w:rPr>
          <w:rFonts w:asciiTheme="minorEastAsia" w:hAnsiTheme="minorEastAsia"/>
          <w:sz w:val="24"/>
        </w:rPr>
        <w:t>站</w:t>
      </w:r>
      <w:r>
        <w:rPr>
          <w:rFonts w:hint="eastAsia" w:asciiTheme="minorEastAsia" w:hAnsiTheme="minorEastAsia"/>
          <w:sz w:val="24"/>
        </w:rPr>
        <w:t>单</w:t>
      </w:r>
      <w:r>
        <w:rPr>
          <w:rFonts w:asciiTheme="minorEastAsia" w:hAnsiTheme="minorEastAsia"/>
          <w:sz w:val="24"/>
        </w:rPr>
        <w:t>回线路</w:t>
      </w:r>
      <w:r>
        <w:rPr>
          <w:rFonts w:hint="eastAsia" w:asciiTheme="minorEastAsia" w:hAnsiTheme="minorEastAsia"/>
          <w:sz w:val="24"/>
        </w:rPr>
        <w:t>、新区～石尧单回线路、新区～仿山单回线路、新区～电厂单回线路、石尧～开发单回线路、石尧～电厂单回线路、石尧～新区单回线路、</w:t>
      </w:r>
      <w:r>
        <w:rPr>
          <w:rFonts w:asciiTheme="minorEastAsia" w:hAnsiTheme="minorEastAsia"/>
          <w:sz w:val="24"/>
        </w:rPr>
        <w:t>周花园～水浒</w:t>
      </w:r>
      <w:r>
        <w:rPr>
          <w:rFonts w:hint="eastAsia" w:asciiTheme="minorEastAsia" w:hAnsiTheme="minorEastAsia"/>
          <w:sz w:val="24"/>
        </w:rPr>
        <w:t>单</w:t>
      </w:r>
      <w:r>
        <w:rPr>
          <w:rFonts w:asciiTheme="minorEastAsia" w:hAnsiTheme="minorEastAsia"/>
          <w:sz w:val="24"/>
        </w:rPr>
        <w:t>回线路</w:t>
      </w:r>
      <w:r>
        <w:rPr>
          <w:rFonts w:hint="eastAsia" w:asciiTheme="minorEastAsia" w:hAnsiTheme="minorEastAsia"/>
          <w:sz w:val="24"/>
        </w:rPr>
        <w:t>、</w:t>
      </w:r>
      <w:r>
        <w:rPr>
          <w:rFonts w:asciiTheme="minorEastAsia" w:hAnsiTheme="minorEastAsia"/>
          <w:sz w:val="24"/>
        </w:rPr>
        <w:t>周花园～</w:t>
      </w:r>
      <w:r>
        <w:rPr>
          <w:rFonts w:hint="eastAsia" w:asciiTheme="minorEastAsia" w:hAnsiTheme="minorEastAsia"/>
          <w:sz w:val="24"/>
        </w:rPr>
        <w:t>魏楼单</w:t>
      </w:r>
      <w:r>
        <w:rPr>
          <w:rFonts w:asciiTheme="minorEastAsia" w:hAnsiTheme="minorEastAsia"/>
          <w:sz w:val="24"/>
        </w:rPr>
        <w:t>回线路</w:t>
      </w:r>
      <w:r>
        <w:rPr>
          <w:rFonts w:hint="eastAsia" w:asciiTheme="minorEastAsia" w:hAnsiTheme="minorEastAsia"/>
          <w:sz w:val="24"/>
        </w:rPr>
        <w:t>、</w:t>
      </w:r>
      <w:r>
        <w:rPr>
          <w:rFonts w:asciiTheme="minorEastAsia" w:hAnsiTheme="minorEastAsia"/>
          <w:sz w:val="24"/>
        </w:rPr>
        <w:t>周花园～</w:t>
      </w:r>
      <w:r>
        <w:rPr>
          <w:rFonts w:hint="eastAsia" w:asciiTheme="minorEastAsia" w:hAnsiTheme="minorEastAsia"/>
          <w:sz w:val="24"/>
        </w:rPr>
        <w:t>桂陵双</w:t>
      </w:r>
      <w:r>
        <w:rPr>
          <w:rFonts w:asciiTheme="minorEastAsia" w:hAnsiTheme="minorEastAsia"/>
          <w:sz w:val="24"/>
        </w:rPr>
        <w:t>回线路</w:t>
      </w:r>
      <w:r>
        <w:rPr>
          <w:rFonts w:hint="eastAsia" w:asciiTheme="minorEastAsia" w:hAnsiTheme="minorEastAsia"/>
          <w:sz w:val="24"/>
        </w:rPr>
        <w:t>，部分利用已由仿山～电厂单回线路、仿山～石尧单回线路、屯西～石尧单回线路，其余为新建线路。另外新建新区～电厂单回线路。</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（2）中心城区110kV线路布局规划</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规划中心城区110kV线路结合现状道路网断面，与未来城市道路建设相对接，线路除保留现状架空线路以外，规划均为地下电缆，有条件地段可与其他管线建设综合管廊。</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规划至</w:t>
      </w:r>
      <w:r>
        <w:rPr>
          <w:rFonts w:asciiTheme="minorEastAsia" w:hAnsiTheme="minorEastAsia"/>
          <w:sz w:val="24"/>
        </w:rPr>
        <w:t>2025</w:t>
      </w:r>
      <w:r>
        <w:rPr>
          <w:rFonts w:hint="eastAsia" w:asciiTheme="minorEastAsia" w:hAnsiTheme="minorEastAsia"/>
          <w:sz w:val="24"/>
        </w:rPr>
        <w:t>年新增</w:t>
      </w:r>
      <w:r>
        <w:rPr>
          <w:rFonts w:asciiTheme="minorEastAsia" w:hAnsiTheme="minorEastAsia"/>
          <w:sz w:val="24"/>
        </w:rPr>
        <w:t>32</w:t>
      </w:r>
      <w:r>
        <w:rPr>
          <w:rFonts w:hint="eastAsia" w:asciiTheme="minorEastAsia" w:hAnsiTheme="minorEastAsia"/>
          <w:sz w:val="24"/>
        </w:rPr>
        <w:t>条线路，规划至</w:t>
      </w:r>
      <w:r>
        <w:rPr>
          <w:rFonts w:asciiTheme="minorEastAsia" w:hAnsiTheme="minorEastAsia"/>
          <w:sz w:val="24"/>
        </w:rPr>
        <w:t>2035</w:t>
      </w:r>
      <w:r>
        <w:rPr>
          <w:rFonts w:hint="eastAsia" w:asciiTheme="minorEastAsia" w:hAnsiTheme="minorEastAsia"/>
          <w:sz w:val="24"/>
        </w:rPr>
        <w:t>年新增</w:t>
      </w:r>
      <w:r>
        <w:rPr>
          <w:rFonts w:asciiTheme="minorEastAsia" w:hAnsiTheme="minorEastAsia"/>
          <w:sz w:val="24"/>
        </w:rPr>
        <w:t>58</w:t>
      </w:r>
      <w:r>
        <w:rPr>
          <w:rFonts w:hint="eastAsia" w:asciiTheme="minorEastAsia" w:hAnsiTheme="minorEastAsia"/>
          <w:sz w:val="24"/>
        </w:rPr>
        <w:t>条线路。其中，近期增加条数大部分为开断线路或T接新增线路，少数为新建走廊。远期增加条数大部分为新建走廊。</w:t>
      </w:r>
    </w:p>
    <w:p>
      <w:pPr>
        <w:pStyle w:val="4"/>
        <w:pageBreakBefore w:val="0"/>
        <w:kinsoku/>
        <w:wordWrap/>
        <w:overflowPunct/>
        <w:topLinePunct w:val="0"/>
        <w:autoSpaceDE/>
        <w:autoSpaceDN/>
        <w:bidi w:val="0"/>
        <w:adjustRightInd w:val="0"/>
        <w:snapToGrid w:val="0"/>
        <w:spacing w:before="0" w:after="0" w:line="240" w:lineRule="auto"/>
        <w:ind w:firstLine="0" w:firstLineChars="0"/>
        <w:textAlignment w:val="auto"/>
        <w:rPr>
          <w:rFonts w:asciiTheme="minorEastAsia" w:hAnsiTheme="minorEastAsia" w:eastAsiaTheme="minorEastAsia"/>
          <w:sz w:val="28"/>
        </w:rPr>
      </w:pPr>
      <w:r>
        <w:rPr>
          <w:rFonts w:hint="eastAsia" w:asciiTheme="minorEastAsia" w:hAnsiTheme="minorEastAsia" w:eastAsiaTheme="minorEastAsia"/>
          <w:sz w:val="28"/>
        </w:rPr>
        <w:t>（五）近期</w:t>
      </w:r>
      <w:r>
        <w:rPr>
          <w:rFonts w:asciiTheme="minorEastAsia" w:hAnsiTheme="minorEastAsia" w:eastAsiaTheme="minorEastAsia"/>
          <w:sz w:val="28"/>
        </w:rPr>
        <w:t>建设项目</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1）220kV青北输变电工程</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a.建设需求：解决菏泽中心城区供电能力不足问题，提高供电可靠性。</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b.建设类型：原址升级改造</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c.建设规模：青北变现有规模2×31.5MVA， 110kV出线2回。 改造后，新建主变为2x240MVA，采用户内GIS布置，220kV进线2回， 110kV出线12回，10kV出线36回。</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d.供电电源：开断尧都-华西线路接入青北站2回，由220kV尧都站、华西站供电。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2）35kV北郊升压工程</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a.建设需求：解决菏泽中心城区主城区片区供电能力不足问题，提高供电可靠性。</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b.建设类型：原址升压改造</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c.建设规模：北郊变现有规模2×20MVA，35kV出线2回。 改造后，新建主变为2×63MVA，采用户内GIS布置，110kV进线2回。</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d.电源接入：开断原赵楼-杜庄110千伏线路接入北郊站，由220kV尧都站、赵楼站供电，秦桥站改接至尧都站。</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3）35kV岳程庄站升压工程</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a.建设需求：解决菏泽中心城区主城区片区供电能力不足问题，提高供电可靠性。</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b.建设类型：原址升压改造</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c.建设规模：岳程庄变现有规模10+20MVA，35kV出线2回。 改造后，新建主变为2×63MVA，采用户内GIS布置，110kV出线2回。</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d.电源接入：石尧—岳程庄单回线路，T接赵楼—长城单回线路，由220kV石尧站、赵楼站供电。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4）110kV绿地站建设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a.建设需求：缓解 110kV西郊站以及110kV市中站的负荷压力</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d.电源接入：分别T接华西—西郊单回线路、T接赵楼—青北单回线路，由220kV华西站、220kV赵楼站、220kV青北站供电。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：解放大街与中山路交叉口西南。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5）110kV商务站建设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a.建设需求：缓解 110kV学院站、110kV长城站负荷压力，为牡丹园片区的商务办公、生活居住提供电力支撑。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d.电源接入：双回线分别接入220kV赵楼站和220kV青北站。</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：松花江西路与人民路交叉口西侧。</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6）110kV城中站建设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a.建设需求：缓解 110kV西郊站负荷压力，为菏泽市中心城区老城区改造提供电力支撑。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d.电源接入：T接华西—中山单回线路，T接青北—赵楼单回线路，由220kV华西站、青北站、赵楼站供电。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：广福街与南绕城街交叉口西南。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7）110kV曹州站建设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a.建设需求：缓解 110kV西郊站负荷压力，为菏泽市中心城区老城区改造提供电力支撑。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d.电源接入：T接华西—中山单回线路，T接青北—赵楼单回线路，由220kV华西站、青北站、赵楼站供电。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：广福街与南绕城街交叉口西南。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8）110kV河西站建设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a.建设需求：为缓解 110kV学院站、110kV长城站的负荷压力，为大学路周边片区的生活居住提供电力支撑。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d.电源接入：尧都～河西单回线路、赵楼～河西单回线路，由220kV尧都站、赵楼站供电。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：大学路与天香路交叉口西南。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9）110kV新港站建设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a.建设需求：为缓解 110kV天香站的负荷压力，为人民路东长江路南片区的生活居住提供电力支撑。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d.电源接入：T接仿山～天香单回线路、南湖～新港单回线路，由220kV仿山站、开发站供电。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：桂陵路与长江路交叉口东南，铁路以西。</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10）110kV竹叶站建设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a.建设需求：为熊出没旅游项目发展提供电力支撑。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d.电源接入：d.电源接入：新建石尧～竹叶单回线路，T接新兴-都司线路，由220kV石尧站、新兴站供电。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：日东高速以北，上海路以东。</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11）110kV万达站建设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a.建设需求：为城东片区开发建设提供电力支撑。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d.电源接入：T接开发—丹东单回线路，新建开发—万达单回线路，由220kV开发站供电。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：丹阳东路与广州路交叉口东北。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12）110kV湘江站建设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a.建设需求：为城东片区开发建设提供电力支撑。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d.电源接入：T接开发—陈集单回线路，新建雷泽—湘江单回线路，由220kV开发站、雷泽站供电。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：南昌路与洞庭路交叉口西北。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13）110kV何楼站建设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a.建设需求：为城南片区开发建设提供电力支撑。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d.电源接入：T接仿山—屯西单回线路，T接华西—仿山单回线路，由220kV仿山站、华西站供电。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：青年路与南外环路以北。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14）110kV石庄站建设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a.建设需求：为高铁片区开发建设提供电力支撑。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c.建设规模：新建主变容量为2×63MVA。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d.电源接入：π接仿山—雷泽单回线路，由220kV仿山站、雷泽站供电。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：高铁站以南。</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w:t>
      </w:r>
      <w:r>
        <w:rPr>
          <w:rFonts w:cs="宋体" w:asciiTheme="minorEastAsia" w:hAnsiTheme="minorEastAsia"/>
          <w:color w:val="333333"/>
          <w:kern w:val="0"/>
          <w:sz w:val="24"/>
          <w:szCs w:val="24"/>
        </w:rPr>
        <w:t>15）220kV雷泽站建设</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a.建设需求：为鲁西新区起步区及高铁片区开发建设提供电力支撑。</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b.建设类型：新建</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c.建设规模：新建主变容量为240MVA。</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d.电源接入：雷泽～石尧单回线路、雷泽～兰楼单回线路、雷泽～电厂双线路、雷泽～白庄单回线路，由220kV石尧站、白庄站、兰楼站及电厂供电。</w:t>
      </w:r>
    </w:p>
    <w:p>
      <w:pPr>
        <w:pageBreakBefore w:val="0"/>
        <w:widowControl/>
        <w:shd w:val="clear" w:color="auto" w:fill="FFFFFF"/>
        <w:kinsoku/>
        <w:wordWrap/>
        <w:overflowPunct/>
        <w:topLinePunct w:val="0"/>
        <w:autoSpaceDE/>
        <w:autoSpaceDN/>
        <w:bidi w:val="0"/>
        <w:adjustRightInd w:val="0"/>
        <w:snapToGrid w:val="0"/>
        <w:spacing w:line="240" w:lineRule="auto"/>
        <w:ind w:firstLine="480"/>
        <w:jc w:val="left"/>
        <w:textAlignment w:val="auto"/>
        <w:rPr>
          <w:rFonts w:cs="宋体" w:asciiTheme="minorEastAsia" w:hAnsiTheme="minorEastAsia"/>
          <w:color w:val="333333"/>
          <w:kern w:val="0"/>
          <w:sz w:val="24"/>
          <w:szCs w:val="24"/>
        </w:rPr>
      </w:pPr>
      <w:r>
        <w:rPr>
          <w:rFonts w:cs="宋体" w:asciiTheme="minorEastAsia" w:hAnsiTheme="minorEastAsia"/>
          <w:color w:val="333333"/>
          <w:kern w:val="0"/>
          <w:sz w:val="24"/>
          <w:szCs w:val="24"/>
        </w:rPr>
        <w:t>e.站点选址 ：定陶连接线以西，闽江路以南。</w:t>
      </w:r>
    </w:p>
    <w:p>
      <w:pPr>
        <w:pStyle w:val="2"/>
        <w:pageBreakBefore w:val="0"/>
        <w:kinsoku/>
        <w:wordWrap/>
        <w:overflowPunct/>
        <w:topLinePunct w:val="0"/>
        <w:autoSpaceDE/>
        <w:autoSpaceDN/>
        <w:bidi w:val="0"/>
        <w:adjustRightInd w:val="0"/>
        <w:snapToGrid w:val="0"/>
        <w:spacing w:before="0" w:after="0" w:line="240" w:lineRule="auto"/>
        <w:textAlignment w:val="auto"/>
        <w:rPr>
          <w:rFonts w:asciiTheme="minorEastAsia" w:hAnsiTheme="minorEastAsia"/>
          <w:sz w:val="28"/>
        </w:rPr>
      </w:pPr>
      <w:bookmarkStart w:id="3" w:name="_Toc137107064"/>
      <w:bookmarkStart w:id="4" w:name="_Toc135662059"/>
      <w:r>
        <w:rPr>
          <w:rFonts w:hint="eastAsia" w:asciiTheme="minorEastAsia" w:hAnsiTheme="minorEastAsia"/>
          <w:sz w:val="28"/>
        </w:rPr>
        <w:t>六</w:t>
      </w:r>
      <w:r>
        <w:rPr>
          <w:rFonts w:asciiTheme="minorEastAsia" w:hAnsiTheme="minorEastAsia"/>
          <w:sz w:val="28"/>
        </w:rPr>
        <w:t>、规划结论</w:t>
      </w:r>
      <w:bookmarkEnd w:id="3"/>
      <w:bookmarkEnd w:id="4"/>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近期至20</w:t>
      </w:r>
      <w:r>
        <w:rPr>
          <w:rFonts w:asciiTheme="minorEastAsia" w:hAnsiTheme="minorEastAsia"/>
          <w:sz w:val="24"/>
        </w:rPr>
        <w:t>25 年，</w:t>
      </w:r>
      <w:r>
        <w:rPr>
          <w:rFonts w:hint="eastAsia" w:asciiTheme="minorEastAsia" w:hAnsiTheme="minorEastAsia"/>
          <w:sz w:val="24"/>
        </w:rPr>
        <w:t>中心城区规划</w:t>
      </w:r>
      <w:r>
        <w:rPr>
          <w:rFonts w:asciiTheme="minorEastAsia" w:hAnsiTheme="minorEastAsia"/>
          <w:sz w:val="24"/>
        </w:rPr>
        <w:t>220kV 变电站10座。其中保</w:t>
      </w:r>
      <w:r>
        <w:rPr>
          <w:rFonts w:hint="eastAsia" w:asciiTheme="minorEastAsia" w:hAnsiTheme="minorEastAsia"/>
          <w:sz w:val="24"/>
        </w:rPr>
        <w:t>留</w:t>
      </w:r>
      <w:r>
        <w:rPr>
          <w:rFonts w:asciiTheme="minorEastAsia" w:hAnsiTheme="minorEastAsia"/>
          <w:sz w:val="24"/>
        </w:rPr>
        <w:t>220kV 变电站 7座</w:t>
      </w:r>
      <w:r>
        <w:rPr>
          <w:rFonts w:hint="eastAsia" w:asciiTheme="minorEastAsia" w:hAnsiTheme="minorEastAsia"/>
          <w:sz w:val="24"/>
        </w:rPr>
        <w:t>，</w:t>
      </w:r>
      <w:r>
        <w:rPr>
          <w:rFonts w:asciiTheme="minorEastAsia" w:hAnsiTheme="minorEastAsia"/>
          <w:sz w:val="24"/>
        </w:rPr>
        <w:t>原址</w:t>
      </w:r>
      <w:r>
        <w:rPr>
          <w:rFonts w:hint="eastAsia" w:asciiTheme="minorEastAsia" w:hAnsiTheme="minorEastAsia"/>
          <w:sz w:val="24"/>
        </w:rPr>
        <w:t>升压110</w:t>
      </w:r>
      <w:r>
        <w:rPr>
          <w:rFonts w:asciiTheme="minorEastAsia" w:hAnsiTheme="minorEastAsia"/>
          <w:sz w:val="24"/>
        </w:rPr>
        <w:t>kV 变电站1座、</w:t>
      </w:r>
      <w:r>
        <w:rPr>
          <w:rFonts w:hint="eastAsia" w:asciiTheme="minorEastAsia" w:hAnsiTheme="minorEastAsia"/>
          <w:sz w:val="24"/>
        </w:rPr>
        <w:t>新建</w:t>
      </w:r>
      <w:r>
        <w:rPr>
          <w:rFonts w:asciiTheme="minorEastAsia" w:hAnsiTheme="minorEastAsia"/>
          <w:sz w:val="24"/>
        </w:rPr>
        <w:t>220kV 变电站2座。</w:t>
      </w:r>
      <w:r>
        <w:rPr>
          <w:rFonts w:hint="eastAsia" w:asciiTheme="minorEastAsia" w:hAnsiTheme="minorEastAsia"/>
          <w:sz w:val="24"/>
        </w:rPr>
        <w:t>规划</w:t>
      </w:r>
      <w:r>
        <w:rPr>
          <w:rFonts w:asciiTheme="minorEastAsia" w:hAnsiTheme="minorEastAsia"/>
          <w:sz w:val="24"/>
        </w:rPr>
        <w:t>110kV 变电站36座。其中保</w:t>
      </w:r>
      <w:r>
        <w:rPr>
          <w:rFonts w:hint="eastAsia" w:asciiTheme="minorEastAsia" w:hAnsiTheme="minorEastAsia"/>
          <w:sz w:val="24"/>
        </w:rPr>
        <w:t>留</w:t>
      </w:r>
      <w:r>
        <w:rPr>
          <w:rFonts w:asciiTheme="minorEastAsia" w:hAnsiTheme="minorEastAsia"/>
          <w:sz w:val="24"/>
        </w:rPr>
        <w:t>110kV 变电站 23座</w:t>
      </w:r>
      <w:r>
        <w:rPr>
          <w:rFonts w:hint="eastAsia" w:asciiTheme="minorEastAsia" w:hAnsiTheme="minorEastAsia"/>
          <w:sz w:val="24"/>
        </w:rPr>
        <w:t>，</w:t>
      </w:r>
      <w:r>
        <w:rPr>
          <w:rFonts w:asciiTheme="minorEastAsia" w:hAnsiTheme="minorEastAsia"/>
          <w:sz w:val="24"/>
        </w:rPr>
        <w:t>原址</w:t>
      </w:r>
      <w:r>
        <w:rPr>
          <w:rFonts w:hint="eastAsia" w:asciiTheme="minorEastAsia" w:hAnsiTheme="minorEastAsia"/>
          <w:sz w:val="24"/>
        </w:rPr>
        <w:t>升压</w:t>
      </w:r>
      <w:r>
        <w:rPr>
          <w:rFonts w:asciiTheme="minorEastAsia" w:hAnsiTheme="minorEastAsia"/>
          <w:sz w:val="24"/>
        </w:rPr>
        <w:t>35kV 变电站 2 座、</w:t>
      </w:r>
      <w:r>
        <w:rPr>
          <w:rFonts w:hint="eastAsia" w:asciiTheme="minorEastAsia" w:hAnsiTheme="minorEastAsia"/>
          <w:sz w:val="24"/>
        </w:rPr>
        <w:t>新建</w:t>
      </w:r>
      <w:r>
        <w:rPr>
          <w:rFonts w:asciiTheme="minorEastAsia" w:hAnsiTheme="minorEastAsia"/>
          <w:sz w:val="24"/>
        </w:rPr>
        <w:t>220kV 变电站 11座。</w:t>
      </w:r>
      <w:r>
        <w:rPr>
          <w:rFonts w:hint="eastAsia" w:asciiTheme="minorEastAsia" w:hAnsiTheme="minorEastAsia"/>
          <w:sz w:val="24"/>
        </w:rPr>
        <w:t>规划</w:t>
      </w:r>
      <w:r>
        <w:rPr>
          <w:rFonts w:asciiTheme="minorEastAsia" w:hAnsiTheme="minorEastAsia"/>
          <w:sz w:val="24"/>
        </w:rPr>
        <w:t>35kV 变电站4座</w:t>
      </w:r>
      <w:r>
        <w:rPr>
          <w:rFonts w:hint="eastAsia" w:asciiTheme="minorEastAsia" w:hAnsiTheme="minorEastAsia"/>
          <w:sz w:val="24"/>
        </w:rPr>
        <w:t>，均为</w:t>
      </w:r>
      <w:r>
        <w:rPr>
          <w:rFonts w:asciiTheme="minorEastAsia" w:hAnsiTheme="minorEastAsia"/>
          <w:sz w:val="24"/>
        </w:rPr>
        <w:t>保</w:t>
      </w:r>
      <w:r>
        <w:rPr>
          <w:rFonts w:hint="eastAsia" w:asciiTheme="minorEastAsia" w:hAnsiTheme="minorEastAsia"/>
          <w:sz w:val="24"/>
        </w:rPr>
        <w:t>留</w:t>
      </w:r>
      <w:r>
        <w:rPr>
          <w:rFonts w:asciiTheme="minorEastAsia" w:hAnsiTheme="minorEastAsia"/>
          <w:sz w:val="24"/>
        </w:rPr>
        <w:t>。</w:t>
      </w:r>
    </w:p>
    <w:p>
      <w:pPr>
        <w:pageBreakBefore w:val="0"/>
        <w:kinsoku/>
        <w:wordWrap/>
        <w:overflowPunct/>
        <w:topLinePunct w:val="0"/>
        <w:autoSpaceDE/>
        <w:autoSpaceDN/>
        <w:bidi w:val="0"/>
        <w:adjustRightInd w:val="0"/>
        <w:snapToGrid w:val="0"/>
        <w:spacing w:line="240" w:lineRule="auto"/>
        <w:ind w:firstLine="600" w:firstLineChars="250"/>
        <w:textAlignment w:val="auto"/>
        <w:rPr>
          <w:rFonts w:asciiTheme="minorEastAsia" w:hAnsiTheme="minorEastAsia"/>
          <w:sz w:val="24"/>
        </w:rPr>
      </w:pPr>
      <w:r>
        <w:rPr>
          <w:rFonts w:hint="eastAsia" w:asciiTheme="minorEastAsia" w:hAnsiTheme="minorEastAsia"/>
          <w:sz w:val="24"/>
        </w:rPr>
        <w:t>远期规划至</w:t>
      </w:r>
      <w:r>
        <w:rPr>
          <w:rFonts w:asciiTheme="minorEastAsia" w:hAnsiTheme="minorEastAsia"/>
          <w:sz w:val="24"/>
        </w:rPr>
        <w:t xml:space="preserve"> 2035年，</w:t>
      </w:r>
      <w:r>
        <w:rPr>
          <w:rFonts w:hint="eastAsia" w:asciiTheme="minorEastAsia" w:hAnsiTheme="minorEastAsia"/>
          <w:sz w:val="24"/>
        </w:rPr>
        <w:t>中心城区规划</w:t>
      </w:r>
      <w:r>
        <w:rPr>
          <w:rFonts w:asciiTheme="minorEastAsia" w:hAnsiTheme="minorEastAsia"/>
          <w:sz w:val="24"/>
        </w:rPr>
        <w:t>220kV 变电站14座。其中保</w:t>
      </w:r>
      <w:r>
        <w:rPr>
          <w:rFonts w:hint="eastAsia" w:asciiTheme="minorEastAsia" w:hAnsiTheme="minorEastAsia"/>
          <w:sz w:val="24"/>
        </w:rPr>
        <w:t>留</w:t>
      </w:r>
      <w:r>
        <w:rPr>
          <w:rFonts w:asciiTheme="minorEastAsia" w:hAnsiTheme="minorEastAsia"/>
          <w:sz w:val="24"/>
        </w:rPr>
        <w:t>220kV 变电站7座</w:t>
      </w:r>
      <w:r>
        <w:rPr>
          <w:rFonts w:hint="eastAsia" w:asciiTheme="minorEastAsia" w:hAnsiTheme="minorEastAsia"/>
          <w:sz w:val="24"/>
        </w:rPr>
        <w:t>，</w:t>
      </w:r>
      <w:r>
        <w:rPr>
          <w:rFonts w:asciiTheme="minorEastAsia" w:hAnsiTheme="minorEastAsia"/>
          <w:sz w:val="24"/>
        </w:rPr>
        <w:t>原址</w:t>
      </w:r>
      <w:r>
        <w:rPr>
          <w:rFonts w:hint="eastAsia" w:asciiTheme="minorEastAsia" w:hAnsiTheme="minorEastAsia"/>
          <w:sz w:val="24"/>
        </w:rPr>
        <w:t>升压110</w:t>
      </w:r>
      <w:r>
        <w:rPr>
          <w:rFonts w:asciiTheme="minorEastAsia" w:hAnsiTheme="minorEastAsia"/>
          <w:sz w:val="24"/>
        </w:rPr>
        <w:t>kV 变电站 2 座、</w:t>
      </w:r>
      <w:r>
        <w:rPr>
          <w:rFonts w:hint="eastAsia" w:asciiTheme="minorEastAsia" w:hAnsiTheme="minorEastAsia"/>
          <w:sz w:val="24"/>
        </w:rPr>
        <w:t>新建</w:t>
      </w:r>
      <w:r>
        <w:rPr>
          <w:rFonts w:asciiTheme="minorEastAsia" w:hAnsiTheme="minorEastAsia"/>
          <w:sz w:val="24"/>
        </w:rPr>
        <w:t>220kV 变电站5 座。</w:t>
      </w:r>
      <w:r>
        <w:rPr>
          <w:rFonts w:hint="eastAsia" w:asciiTheme="minorEastAsia" w:hAnsiTheme="minorEastAsia"/>
          <w:sz w:val="24"/>
        </w:rPr>
        <w:t>规划</w:t>
      </w:r>
      <w:r>
        <w:rPr>
          <w:rFonts w:asciiTheme="minorEastAsia" w:hAnsiTheme="minorEastAsia"/>
          <w:sz w:val="24"/>
        </w:rPr>
        <w:t>110kV 变电站69座。其中保</w:t>
      </w:r>
      <w:r>
        <w:rPr>
          <w:rFonts w:hint="eastAsia" w:asciiTheme="minorEastAsia" w:hAnsiTheme="minorEastAsia"/>
          <w:sz w:val="24"/>
        </w:rPr>
        <w:t>留</w:t>
      </w:r>
      <w:r>
        <w:rPr>
          <w:rFonts w:asciiTheme="minorEastAsia" w:hAnsiTheme="minorEastAsia"/>
          <w:sz w:val="24"/>
        </w:rPr>
        <w:t>110kV 变电站 23座</w:t>
      </w:r>
      <w:r>
        <w:rPr>
          <w:rFonts w:hint="eastAsia" w:asciiTheme="minorEastAsia" w:hAnsiTheme="minorEastAsia"/>
          <w:sz w:val="24"/>
        </w:rPr>
        <w:t>，</w:t>
      </w:r>
      <w:r>
        <w:rPr>
          <w:rFonts w:asciiTheme="minorEastAsia" w:hAnsiTheme="minorEastAsia"/>
          <w:sz w:val="24"/>
        </w:rPr>
        <w:t>原址</w:t>
      </w:r>
      <w:r>
        <w:rPr>
          <w:rFonts w:hint="eastAsia" w:asciiTheme="minorEastAsia" w:hAnsiTheme="minorEastAsia"/>
          <w:sz w:val="24"/>
        </w:rPr>
        <w:t>升压</w:t>
      </w:r>
      <w:r>
        <w:rPr>
          <w:rFonts w:asciiTheme="minorEastAsia" w:hAnsiTheme="minorEastAsia"/>
          <w:sz w:val="24"/>
        </w:rPr>
        <w:t>35kV 变电站 2 座、</w:t>
      </w:r>
      <w:r>
        <w:rPr>
          <w:rFonts w:hint="eastAsia" w:asciiTheme="minorEastAsia" w:hAnsiTheme="minorEastAsia"/>
          <w:sz w:val="24"/>
        </w:rPr>
        <w:t>新建</w:t>
      </w:r>
      <w:r>
        <w:rPr>
          <w:rFonts w:asciiTheme="minorEastAsia" w:hAnsiTheme="minorEastAsia"/>
          <w:sz w:val="24"/>
        </w:rPr>
        <w:t>110kV 变电站 44 座。</w:t>
      </w:r>
      <w:r>
        <w:rPr>
          <w:rFonts w:hint="eastAsia" w:asciiTheme="minorEastAsia" w:hAnsiTheme="minorEastAsia"/>
          <w:sz w:val="24"/>
        </w:rPr>
        <w:t>规划</w:t>
      </w:r>
      <w:r>
        <w:rPr>
          <w:rFonts w:asciiTheme="minorEastAsia" w:hAnsiTheme="minorEastAsia"/>
          <w:sz w:val="24"/>
        </w:rPr>
        <w:t>35kV 变电站4座</w:t>
      </w:r>
      <w:r>
        <w:rPr>
          <w:rFonts w:hint="eastAsia" w:asciiTheme="minorEastAsia" w:hAnsiTheme="minorEastAsia"/>
          <w:sz w:val="24"/>
        </w:rPr>
        <w:t>，均为</w:t>
      </w:r>
      <w:r>
        <w:rPr>
          <w:rFonts w:asciiTheme="minorEastAsia" w:hAnsiTheme="minorEastAsia"/>
          <w:sz w:val="24"/>
        </w:rPr>
        <w:t>保</w:t>
      </w:r>
      <w:r>
        <w:rPr>
          <w:rFonts w:hint="eastAsia" w:asciiTheme="minorEastAsia" w:hAnsiTheme="minorEastAsia"/>
          <w:sz w:val="24"/>
        </w:rPr>
        <w:t>留</w:t>
      </w:r>
      <w:r>
        <w:rPr>
          <w:rFonts w:asciiTheme="minorEastAsia" w:hAnsiTheme="minorEastAsia"/>
          <w:sz w:val="24"/>
        </w:rPr>
        <w:t>。</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5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85B0F"/>
    <w:multiLevelType w:val="multilevel"/>
    <w:tmpl w:val="42B85B0F"/>
    <w:lvl w:ilvl="0" w:tentative="0">
      <w:start w:val="1"/>
      <w:numFmt w:val="decimal"/>
      <w:pStyle w:val="67"/>
      <w:lvlText w:val="%1"/>
      <w:lvlJc w:val="left"/>
      <w:pPr>
        <w:ind w:left="420" w:hanging="420"/>
      </w:pPr>
      <w:rPr>
        <w:rFonts w:ascii="Times New Roman" w:hAnsi="Times New Roman" w:eastAsia="宋体" w:cs="Times New Roman"/>
        <w:sz w:val="44"/>
        <w:szCs w:val="44"/>
      </w:rPr>
    </w:lvl>
    <w:lvl w:ilvl="1" w:tentative="0">
      <w:start w:val="1"/>
      <w:numFmt w:val="decimal"/>
      <w:pStyle w:val="68"/>
      <w:isLgl/>
      <w:lvlText w:val="%1.%2"/>
      <w:lvlJc w:val="left"/>
      <w:pPr>
        <w:ind w:left="562" w:hanging="420"/>
      </w:pPr>
      <w:rPr>
        <w:rFonts w:hint="eastAsia"/>
      </w:rPr>
    </w:lvl>
    <w:lvl w:ilvl="2" w:tentative="0">
      <w:start w:val="1"/>
      <w:numFmt w:val="decimal"/>
      <w:lvlText w:val="%1.%2.%3"/>
      <w:lvlJc w:val="left"/>
      <w:pPr>
        <w:ind w:left="0" w:firstLine="0"/>
      </w:pPr>
      <w:rPr>
        <w:rFonts w:hint="default" w:ascii="Times New Roman" w:hAnsi="Times New Roman" w:cs="Times New Roman"/>
      </w:rPr>
    </w:lvl>
    <w:lvl w:ilvl="3" w:tentative="0">
      <w:start w:val="1"/>
      <w:numFmt w:val="decimal"/>
      <w:lvlRestart w:val="1"/>
      <w:pStyle w:val="65"/>
      <w:isLgl/>
      <w:lvlText w:val="图%1-%4"/>
      <w:lvlJc w:val="left"/>
      <w:pPr>
        <w:ind w:left="3823" w:hanging="420"/>
      </w:pPr>
      <w:rPr>
        <w:lang w:val="en-US"/>
      </w:rPr>
    </w:lvl>
    <w:lvl w:ilvl="4" w:tentative="0">
      <w:start w:val="1"/>
      <w:numFmt w:val="decimal"/>
      <w:lvlText w:val="表5-%5"/>
      <w:lvlJc w:val="left"/>
      <w:pPr>
        <w:tabs>
          <w:tab w:val="left" w:pos="1109"/>
        </w:tabs>
        <w:ind w:left="709" w:firstLine="0"/>
      </w:pPr>
      <w:rPr>
        <w:rFonts w:hint="eastAsia"/>
        <w:b w:val="0"/>
        <w:bCs w:val="0"/>
        <w:i w:val="0"/>
        <w:iCs w:val="0"/>
        <w:caps w:val="0"/>
        <w:smallCaps w:val="0"/>
        <w:strike w:val="0"/>
        <w:dstrike w:val="0"/>
        <w:snapToGrid w:val="0"/>
        <w:vanish w:val="0"/>
        <w:color w:val="auto"/>
        <w:spacing w:val="0"/>
        <w:position w:val="0"/>
        <w:u w:val="none"/>
        <w:vertAlign w:val="baseline"/>
        <w14:shadow w14:blurRad="0" w14:dist="0" w14:dir="0" w14:sx="0" w14:sy="0" w14:kx="0" w14:ky="0" w14:algn="none">
          <w14:srgbClr w14:val="000000"/>
        </w14:shadow>
      </w:rPr>
    </w:lvl>
    <w:lvl w:ilvl="5" w:tentative="0">
      <w:start w:val="1"/>
      <w:numFmt w:val="decimal"/>
      <w:lvlRestart w:val="3"/>
      <w:pStyle w:val="63"/>
      <w:lvlText w:val="%1.%2.%6"/>
      <w:lvlJc w:val="right"/>
      <w:pPr>
        <w:ind w:left="1129" w:hanging="420"/>
      </w:pPr>
      <w:rPr>
        <w:rFonts w:hint="eastAsia" w:ascii="Times New Roman" w:hAnsi="Times New Roman" w:cs="Times New Roman"/>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49A039BE"/>
    <w:multiLevelType w:val="multilevel"/>
    <w:tmpl w:val="49A039BE"/>
    <w:lvl w:ilvl="0" w:tentative="0">
      <w:start w:val="1"/>
      <w:numFmt w:val="decimal"/>
      <w:pStyle w:val="52"/>
      <w:lvlText w:val="%1、"/>
      <w:lvlJc w:val="left"/>
      <w:pPr>
        <w:ind w:left="0" w:firstLine="28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977095"/>
    <w:multiLevelType w:val="multilevel"/>
    <w:tmpl w:val="6A977095"/>
    <w:lvl w:ilvl="0" w:tentative="0">
      <w:start w:val="1"/>
      <w:numFmt w:val="chineseCountingThousand"/>
      <w:pStyle w:val="54"/>
      <w:lvlText w:val="%1、"/>
      <w:lvlJc w:val="left"/>
      <w:pPr>
        <w:ind w:left="562" w:hanging="420"/>
      </w:pPr>
      <w:rPr>
        <w:rFonts w:hint="eastAsia"/>
      </w:rPr>
    </w:lvl>
    <w:lvl w:ilvl="1" w:tentative="0">
      <w:start w:val="1"/>
      <w:numFmt w:val="lowerLetter"/>
      <w:lvlText w:val="%2)"/>
      <w:lvlJc w:val="left"/>
      <w:pPr>
        <w:ind w:left="-3271" w:hanging="420"/>
      </w:pPr>
    </w:lvl>
    <w:lvl w:ilvl="2" w:tentative="0">
      <w:start w:val="1"/>
      <w:numFmt w:val="lowerRoman"/>
      <w:lvlText w:val="%3."/>
      <w:lvlJc w:val="right"/>
      <w:pPr>
        <w:ind w:left="-2851" w:hanging="420"/>
      </w:pPr>
    </w:lvl>
    <w:lvl w:ilvl="3" w:tentative="0">
      <w:start w:val="1"/>
      <w:numFmt w:val="decimal"/>
      <w:lvlText w:val="%4."/>
      <w:lvlJc w:val="left"/>
      <w:pPr>
        <w:ind w:left="-2431" w:hanging="420"/>
      </w:pPr>
    </w:lvl>
    <w:lvl w:ilvl="4" w:tentative="0">
      <w:start w:val="1"/>
      <w:numFmt w:val="lowerLetter"/>
      <w:lvlText w:val="%5)"/>
      <w:lvlJc w:val="left"/>
      <w:pPr>
        <w:ind w:left="-2011" w:hanging="420"/>
      </w:pPr>
    </w:lvl>
    <w:lvl w:ilvl="5" w:tentative="0">
      <w:start w:val="1"/>
      <w:numFmt w:val="lowerRoman"/>
      <w:lvlText w:val="%6."/>
      <w:lvlJc w:val="right"/>
      <w:pPr>
        <w:ind w:left="-1591" w:hanging="420"/>
      </w:pPr>
    </w:lvl>
    <w:lvl w:ilvl="6" w:tentative="0">
      <w:start w:val="1"/>
      <w:numFmt w:val="decimal"/>
      <w:lvlText w:val="%7."/>
      <w:lvlJc w:val="left"/>
      <w:pPr>
        <w:ind w:left="-1171" w:hanging="420"/>
      </w:pPr>
    </w:lvl>
    <w:lvl w:ilvl="7" w:tentative="0">
      <w:start w:val="1"/>
      <w:numFmt w:val="lowerLetter"/>
      <w:lvlText w:val="%8)"/>
      <w:lvlJc w:val="left"/>
      <w:pPr>
        <w:ind w:left="-751" w:hanging="420"/>
      </w:pPr>
    </w:lvl>
    <w:lvl w:ilvl="8" w:tentative="0">
      <w:start w:val="1"/>
      <w:numFmt w:val="lowerRoman"/>
      <w:lvlText w:val="%9."/>
      <w:lvlJc w:val="right"/>
      <w:pPr>
        <w:ind w:left="-331"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F9D"/>
    <w:rsid w:val="002654AC"/>
    <w:rsid w:val="00367B40"/>
    <w:rsid w:val="00994DAF"/>
    <w:rsid w:val="00A61786"/>
    <w:rsid w:val="00AA0A77"/>
    <w:rsid w:val="00C60F9D"/>
    <w:rsid w:val="00CF301F"/>
    <w:rsid w:val="00DC5205"/>
    <w:rsid w:val="5C787D8C"/>
    <w:rsid w:val="63350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0"/>
    <w:pPr>
      <w:keepNext/>
      <w:keepLines/>
      <w:spacing w:before="260" w:after="260" w:line="416" w:lineRule="auto"/>
      <w:ind w:firstLine="250" w:firstLineChars="250"/>
      <w:outlineLvl w:val="2"/>
    </w:pPr>
    <w:rPr>
      <w:rFonts w:eastAsia="宋体"/>
      <w:b/>
      <w:bCs/>
      <w:sz w:val="32"/>
      <w:szCs w:val="32"/>
    </w:rPr>
  </w:style>
  <w:style w:type="paragraph" w:styleId="5">
    <w:name w:val="heading 4"/>
    <w:basedOn w:val="1"/>
    <w:next w:val="1"/>
    <w:link w:val="3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0"/>
    <w:pPr>
      <w:keepNext/>
      <w:keepLines/>
      <w:spacing w:before="280" w:after="290" w:line="376" w:lineRule="auto"/>
      <w:ind w:firstLine="250" w:firstLineChars="250"/>
      <w:outlineLvl w:val="4"/>
    </w:pPr>
    <w:rPr>
      <w:rFonts w:eastAsia="宋体"/>
      <w:b/>
      <w:bCs/>
      <w:sz w:val="28"/>
      <w:szCs w:val="28"/>
    </w:rPr>
  </w:style>
  <w:style w:type="paragraph" w:styleId="7">
    <w:name w:val="heading 6"/>
    <w:basedOn w:val="1"/>
    <w:next w:val="1"/>
    <w:link w:val="39"/>
    <w:unhideWhenUsed/>
    <w:qFormat/>
    <w:uiPriority w:val="0"/>
    <w:pPr>
      <w:keepNext/>
      <w:keepLines/>
      <w:spacing w:before="240" w:after="64" w:line="317" w:lineRule="auto"/>
      <w:ind w:left="1151" w:hanging="1151" w:firstLineChars="250"/>
      <w:outlineLvl w:val="5"/>
    </w:pPr>
    <w:rPr>
      <w:rFonts w:ascii="Arial" w:hAnsi="Arial" w:eastAsia="黑体" w:cs="Times New Roman"/>
      <w:b/>
      <w:sz w:val="24"/>
      <w:szCs w:val="20"/>
    </w:rPr>
  </w:style>
  <w:style w:type="paragraph" w:styleId="8">
    <w:name w:val="heading 7"/>
    <w:basedOn w:val="1"/>
    <w:next w:val="1"/>
    <w:link w:val="40"/>
    <w:semiHidden/>
    <w:unhideWhenUsed/>
    <w:qFormat/>
    <w:uiPriority w:val="0"/>
    <w:pPr>
      <w:keepNext/>
      <w:keepLines/>
      <w:spacing w:before="240" w:after="64" w:line="317" w:lineRule="auto"/>
      <w:ind w:left="1296" w:hanging="1296" w:firstLineChars="250"/>
      <w:outlineLvl w:val="6"/>
    </w:pPr>
    <w:rPr>
      <w:rFonts w:ascii="Times New Roman" w:hAnsi="Times New Roman" w:eastAsia="宋体" w:cs="Times New Roman"/>
      <w:b/>
      <w:sz w:val="24"/>
      <w:szCs w:val="20"/>
    </w:rPr>
  </w:style>
  <w:style w:type="paragraph" w:styleId="9">
    <w:name w:val="heading 8"/>
    <w:basedOn w:val="1"/>
    <w:next w:val="1"/>
    <w:link w:val="45"/>
    <w:semiHidden/>
    <w:unhideWhenUsed/>
    <w:qFormat/>
    <w:uiPriority w:val="0"/>
    <w:pPr>
      <w:keepNext/>
      <w:keepLines/>
      <w:spacing w:before="240" w:after="64" w:line="317" w:lineRule="auto"/>
      <w:ind w:left="1440" w:hanging="1440" w:firstLineChars="250"/>
      <w:outlineLvl w:val="7"/>
    </w:pPr>
    <w:rPr>
      <w:rFonts w:ascii="Arial" w:hAnsi="Arial" w:eastAsia="黑体" w:cs="Times New Roman"/>
      <w:sz w:val="24"/>
      <w:szCs w:val="20"/>
    </w:rPr>
  </w:style>
  <w:style w:type="paragraph" w:styleId="10">
    <w:name w:val="heading 9"/>
    <w:basedOn w:val="1"/>
    <w:next w:val="1"/>
    <w:link w:val="46"/>
    <w:semiHidden/>
    <w:unhideWhenUsed/>
    <w:qFormat/>
    <w:uiPriority w:val="0"/>
    <w:pPr>
      <w:keepNext/>
      <w:keepLines/>
      <w:spacing w:before="240" w:after="64" w:line="317" w:lineRule="auto"/>
      <w:ind w:left="1583" w:hanging="1583" w:firstLineChars="250"/>
      <w:outlineLvl w:val="8"/>
    </w:pPr>
    <w:rPr>
      <w:rFonts w:ascii="Arial" w:hAnsi="Arial" w:eastAsia="黑体" w:cs="Times New Roman"/>
      <w:sz w:val="24"/>
      <w:szCs w:val="20"/>
    </w:rPr>
  </w:style>
  <w:style w:type="character" w:default="1" w:styleId="31">
    <w:name w:val="Default Paragraph Font"/>
    <w:semiHidden/>
    <w:unhideWhenUsed/>
    <w:uiPriority w:val="1"/>
  </w:style>
  <w:style w:type="table" w:default="1" w:styleId="30">
    <w:name w:val="Normal Table"/>
    <w:semiHidden/>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sz w:val="18"/>
      <w:szCs w:val="18"/>
    </w:rPr>
  </w:style>
  <w:style w:type="paragraph" w:styleId="12">
    <w:name w:val="caption"/>
    <w:basedOn w:val="1"/>
    <w:next w:val="1"/>
    <w:link w:val="70"/>
    <w:semiHidden/>
    <w:unhideWhenUsed/>
    <w:qFormat/>
    <w:uiPriority w:val="0"/>
    <w:pPr>
      <w:spacing w:line="360" w:lineRule="auto"/>
      <w:ind w:firstLine="250" w:firstLineChars="250"/>
      <w:jc w:val="center"/>
      <w:textAlignment w:val="center"/>
    </w:pPr>
    <w:rPr>
      <w:rFonts w:ascii="Times New Roman" w:hAnsi="Times New Roman" w:eastAsia="黑体" w:cs="Times New Roman"/>
      <w:sz w:val="24"/>
      <w:szCs w:val="20"/>
    </w:rPr>
  </w:style>
  <w:style w:type="paragraph" w:styleId="13">
    <w:name w:val="annotation text"/>
    <w:basedOn w:val="1"/>
    <w:link w:val="85"/>
    <w:semiHidden/>
    <w:unhideWhenUsed/>
    <w:qFormat/>
    <w:uiPriority w:val="99"/>
    <w:pPr>
      <w:spacing w:line="360" w:lineRule="auto"/>
      <w:ind w:firstLine="250" w:firstLineChars="250"/>
      <w:jc w:val="left"/>
    </w:pPr>
    <w:rPr>
      <w:rFonts w:eastAsia="宋体"/>
      <w:sz w:val="24"/>
    </w:rPr>
  </w:style>
  <w:style w:type="paragraph" w:styleId="14">
    <w:name w:val="Body Text"/>
    <w:basedOn w:val="1"/>
    <w:link w:val="56"/>
    <w:qFormat/>
    <w:uiPriority w:val="1"/>
    <w:pPr>
      <w:autoSpaceDE w:val="0"/>
      <w:autoSpaceDN w:val="0"/>
      <w:adjustRightInd w:val="0"/>
      <w:spacing w:line="360" w:lineRule="auto"/>
      <w:ind w:firstLine="250" w:firstLineChars="250"/>
      <w:jc w:val="left"/>
    </w:pPr>
    <w:rPr>
      <w:rFonts w:ascii="宋体" w:hAnsi="Times New Roman" w:eastAsia="宋体" w:cs="宋体"/>
      <w:kern w:val="0"/>
      <w:sz w:val="24"/>
      <w:szCs w:val="21"/>
    </w:rPr>
  </w:style>
  <w:style w:type="paragraph" w:styleId="15">
    <w:name w:val="toc 5"/>
    <w:basedOn w:val="1"/>
    <w:next w:val="1"/>
    <w:unhideWhenUsed/>
    <w:qFormat/>
    <w:uiPriority w:val="39"/>
    <w:pPr>
      <w:ind w:left="840"/>
      <w:jc w:val="left"/>
    </w:pPr>
    <w:rPr>
      <w:sz w:val="18"/>
      <w:szCs w:val="18"/>
    </w:rPr>
  </w:style>
  <w:style w:type="paragraph" w:styleId="16">
    <w:name w:val="toc 3"/>
    <w:basedOn w:val="1"/>
    <w:next w:val="1"/>
    <w:qFormat/>
    <w:uiPriority w:val="0"/>
    <w:pPr>
      <w:ind w:left="420"/>
      <w:jc w:val="left"/>
    </w:pPr>
    <w:rPr>
      <w:i/>
      <w:iCs/>
      <w:sz w:val="20"/>
      <w:szCs w:val="20"/>
    </w:rPr>
  </w:style>
  <w:style w:type="paragraph" w:styleId="17">
    <w:name w:val="Plain Text"/>
    <w:basedOn w:val="1"/>
    <w:link w:val="92"/>
    <w:qFormat/>
    <w:uiPriority w:val="0"/>
    <w:rPr>
      <w:rFonts w:ascii="宋体" w:hAnsi="Courier New" w:eastAsia="宋体" w:cs="Times New Roman"/>
      <w:szCs w:val="21"/>
    </w:rPr>
  </w:style>
  <w:style w:type="paragraph" w:styleId="18">
    <w:name w:val="toc 8"/>
    <w:basedOn w:val="1"/>
    <w:next w:val="1"/>
    <w:unhideWhenUsed/>
    <w:qFormat/>
    <w:uiPriority w:val="39"/>
    <w:pPr>
      <w:ind w:left="1470"/>
      <w:jc w:val="left"/>
    </w:pPr>
    <w:rPr>
      <w:sz w:val="18"/>
      <w:szCs w:val="18"/>
    </w:rPr>
  </w:style>
  <w:style w:type="paragraph" w:styleId="19">
    <w:name w:val="Balloon Text"/>
    <w:basedOn w:val="1"/>
    <w:link w:val="87"/>
    <w:semiHidden/>
    <w:unhideWhenUsed/>
    <w:qFormat/>
    <w:uiPriority w:val="99"/>
    <w:pPr>
      <w:ind w:firstLine="250" w:firstLineChars="250"/>
    </w:pPr>
    <w:rPr>
      <w:rFonts w:eastAsia="宋体"/>
      <w:sz w:val="18"/>
      <w:szCs w:val="18"/>
    </w:rPr>
  </w:style>
  <w:style w:type="paragraph" w:styleId="20">
    <w:name w:val="footer"/>
    <w:basedOn w:val="1"/>
    <w:link w:val="59"/>
    <w:unhideWhenUsed/>
    <w:qFormat/>
    <w:uiPriority w:val="99"/>
    <w:pPr>
      <w:tabs>
        <w:tab w:val="center" w:pos="4153"/>
        <w:tab w:val="right" w:pos="8306"/>
      </w:tabs>
      <w:snapToGrid w:val="0"/>
      <w:spacing w:line="360" w:lineRule="auto"/>
      <w:ind w:firstLine="250" w:firstLineChars="250"/>
      <w:jc w:val="left"/>
    </w:pPr>
    <w:rPr>
      <w:rFonts w:eastAsia="宋体"/>
      <w:sz w:val="18"/>
      <w:szCs w:val="18"/>
    </w:rPr>
  </w:style>
  <w:style w:type="paragraph" w:styleId="21">
    <w:name w:val="header"/>
    <w:basedOn w:val="1"/>
    <w:link w:val="51"/>
    <w:unhideWhenUsed/>
    <w:qFormat/>
    <w:uiPriority w:val="0"/>
    <w:pPr>
      <w:pBdr>
        <w:bottom w:val="single" w:color="auto" w:sz="6" w:space="1"/>
      </w:pBdr>
      <w:tabs>
        <w:tab w:val="center" w:pos="4153"/>
        <w:tab w:val="right" w:pos="8306"/>
      </w:tabs>
      <w:snapToGrid w:val="0"/>
      <w:spacing w:line="360" w:lineRule="auto"/>
      <w:ind w:firstLine="250" w:firstLineChars="250"/>
      <w:jc w:val="center"/>
    </w:pPr>
    <w:rPr>
      <w:rFonts w:eastAsia="宋体"/>
      <w:sz w:val="18"/>
      <w:szCs w:val="18"/>
    </w:rPr>
  </w:style>
  <w:style w:type="paragraph" w:styleId="22">
    <w:name w:val="toc 1"/>
    <w:basedOn w:val="1"/>
    <w:next w:val="1"/>
    <w:qFormat/>
    <w:uiPriority w:val="39"/>
    <w:pPr>
      <w:spacing w:before="120" w:after="120"/>
      <w:jc w:val="left"/>
    </w:pPr>
    <w:rPr>
      <w:b/>
      <w:bCs/>
      <w:caps/>
      <w:sz w:val="20"/>
      <w:szCs w:val="20"/>
    </w:rPr>
  </w:style>
  <w:style w:type="paragraph" w:styleId="23">
    <w:name w:val="toc 4"/>
    <w:basedOn w:val="1"/>
    <w:next w:val="1"/>
    <w:unhideWhenUsed/>
    <w:qFormat/>
    <w:uiPriority w:val="39"/>
    <w:pPr>
      <w:ind w:left="630"/>
      <w:jc w:val="left"/>
    </w:pPr>
    <w:rPr>
      <w:sz w:val="18"/>
      <w:szCs w:val="18"/>
    </w:rPr>
  </w:style>
  <w:style w:type="paragraph" w:styleId="24">
    <w:name w:val="toc 6"/>
    <w:basedOn w:val="1"/>
    <w:next w:val="1"/>
    <w:unhideWhenUsed/>
    <w:qFormat/>
    <w:uiPriority w:val="39"/>
    <w:pPr>
      <w:ind w:left="1050"/>
      <w:jc w:val="left"/>
    </w:pPr>
    <w:rPr>
      <w:sz w:val="18"/>
      <w:szCs w:val="18"/>
    </w:rPr>
  </w:style>
  <w:style w:type="paragraph" w:styleId="25">
    <w:name w:val="toc 2"/>
    <w:basedOn w:val="1"/>
    <w:next w:val="1"/>
    <w:qFormat/>
    <w:uiPriority w:val="39"/>
    <w:pPr>
      <w:ind w:left="210"/>
      <w:jc w:val="left"/>
    </w:pPr>
    <w:rPr>
      <w:smallCaps/>
      <w:sz w:val="20"/>
      <w:szCs w:val="20"/>
    </w:rPr>
  </w:style>
  <w:style w:type="paragraph" w:styleId="26">
    <w:name w:val="toc 9"/>
    <w:basedOn w:val="1"/>
    <w:next w:val="1"/>
    <w:unhideWhenUsed/>
    <w:qFormat/>
    <w:uiPriority w:val="39"/>
    <w:pPr>
      <w:ind w:left="1680"/>
      <w:jc w:val="left"/>
    </w:pPr>
    <w:rPr>
      <w:sz w:val="18"/>
      <w:szCs w:val="18"/>
    </w:rPr>
  </w:style>
  <w:style w:type="paragraph" w:styleId="27">
    <w:name w:val="HTML Preformatted"/>
    <w:basedOn w:val="1"/>
    <w:link w:val="10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rPr>
  </w:style>
  <w:style w:type="paragraph" w:styleId="2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annotation subject"/>
    <w:basedOn w:val="13"/>
    <w:next w:val="13"/>
    <w:link w:val="86"/>
    <w:semiHidden/>
    <w:unhideWhenUsed/>
    <w:qFormat/>
    <w:uiPriority w:val="99"/>
    <w:rPr>
      <w:b/>
      <w:bCs/>
    </w:rPr>
  </w:style>
  <w:style w:type="character" w:styleId="32">
    <w:name w:val="Strong"/>
    <w:basedOn w:val="31"/>
    <w:qFormat/>
    <w:uiPriority w:val="22"/>
    <w:rPr>
      <w:b/>
      <w:bCs/>
    </w:rPr>
  </w:style>
  <w:style w:type="character" w:styleId="33">
    <w:name w:val="Hyperlink"/>
    <w:basedOn w:val="31"/>
    <w:unhideWhenUsed/>
    <w:qFormat/>
    <w:uiPriority w:val="99"/>
    <w:rPr>
      <w:color w:val="0000FF"/>
      <w:u w:val="single"/>
    </w:rPr>
  </w:style>
  <w:style w:type="character" w:customStyle="1" w:styleId="34">
    <w:name w:val="标题 1 字符"/>
    <w:basedOn w:val="31"/>
    <w:link w:val="2"/>
    <w:qFormat/>
    <w:uiPriority w:val="0"/>
    <w:rPr>
      <w:b/>
      <w:bCs/>
      <w:kern w:val="44"/>
      <w:sz w:val="44"/>
      <w:szCs w:val="44"/>
    </w:rPr>
  </w:style>
  <w:style w:type="character" w:customStyle="1" w:styleId="35">
    <w:name w:val="标题 2 字符"/>
    <w:basedOn w:val="31"/>
    <w:link w:val="3"/>
    <w:qFormat/>
    <w:uiPriority w:val="0"/>
    <w:rPr>
      <w:rFonts w:asciiTheme="majorHAnsi" w:hAnsiTheme="majorHAnsi" w:eastAsiaTheme="majorEastAsia" w:cstheme="majorBidi"/>
      <w:b/>
      <w:bCs/>
      <w:sz w:val="32"/>
      <w:szCs w:val="32"/>
    </w:rPr>
  </w:style>
  <w:style w:type="character" w:customStyle="1" w:styleId="36">
    <w:name w:val="标题 3 字符"/>
    <w:basedOn w:val="31"/>
    <w:link w:val="4"/>
    <w:qFormat/>
    <w:uiPriority w:val="0"/>
    <w:rPr>
      <w:rFonts w:eastAsia="宋体"/>
      <w:b/>
      <w:bCs/>
      <w:sz w:val="32"/>
      <w:szCs w:val="32"/>
    </w:rPr>
  </w:style>
  <w:style w:type="character" w:customStyle="1" w:styleId="37">
    <w:name w:val="标题 4 字符"/>
    <w:basedOn w:val="31"/>
    <w:link w:val="5"/>
    <w:qFormat/>
    <w:uiPriority w:val="0"/>
    <w:rPr>
      <w:rFonts w:asciiTheme="majorHAnsi" w:hAnsiTheme="majorHAnsi" w:eastAsiaTheme="majorEastAsia" w:cstheme="majorBidi"/>
      <w:b/>
      <w:bCs/>
      <w:sz w:val="28"/>
      <w:szCs w:val="28"/>
    </w:rPr>
  </w:style>
  <w:style w:type="character" w:customStyle="1" w:styleId="38">
    <w:name w:val="标题 5 字符"/>
    <w:basedOn w:val="31"/>
    <w:link w:val="6"/>
    <w:qFormat/>
    <w:uiPriority w:val="0"/>
    <w:rPr>
      <w:rFonts w:eastAsia="宋体"/>
      <w:b/>
      <w:bCs/>
      <w:sz w:val="28"/>
      <w:szCs w:val="28"/>
    </w:rPr>
  </w:style>
  <w:style w:type="character" w:customStyle="1" w:styleId="39">
    <w:name w:val="标题 6 字符"/>
    <w:basedOn w:val="31"/>
    <w:link w:val="7"/>
    <w:qFormat/>
    <w:uiPriority w:val="0"/>
    <w:rPr>
      <w:rFonts w:ascii="Arial" w:hAnsi="Arial" w:eastAsia="黑体" w:cs="Times New Roman"/>
      <w:b/>
      <w:sz w:val="24"/>
      <w:szCs w:val="20"/>
    </w:rPr>
  </w:style>
  <w:style w:type="character" w:customStyle="1" w:styleId="40">
    <w:name w:val="标题 7 字符"/>
    <w:basedOn w:val="31"/>
    <w:link w:val="8"/>
    <w:semiHidden/>
    <w:qFormat/>
    <w:uiPriority w:val="0"/>
    <w:rPr>
      <w:rFonts w:ascii="Times New Roman" w:hAnsi="Times New Roman" w:eastAsia="宋体" w:cs="Times New Roman"/>
      <w:b/>
      <w:sz w:val="24"/>
      <w:szCs w:val="20"/>
    </w:rPr>
  </w:style>
  <w:style w:type="paragraph" w:customStyle="1" w:styleId="41">
    <w:name w:val="二级标题"/>
    <w:basedOn w:val="1"/>
    <w:link w:val="42"/>
    <w:qFormat/>
    <w:uiPriority w:val="0"/>
    <w:pPr>
      <w:keepNext/>
      <w:keepLines/>
      <w:spacing w:before="260" w:after="260" w:line="360" w:lineRule="auto"/>
      <w:outlineLvl w:val="1"/>
    </w:pPr>
    <w:rPr>
      <w:rFonts w:ascii="宋体" w:hAnsi="宋体" w:eastAsia="宋体" w:cstheme="majorBidi"/>
      <w:b/>
      <w:bCs/>
      <w:sz w:val="30"/>
      <w:szCs w:val="30"/>
      <w:lang w:val="zh-CN"/>
    </w:rPr>
  </w:style>
  <w:style w:type="character" w:customStyle="1" w:styleId="42">
    <w:name w:val="二级标题 字符"/>
    <w:basedOn w:val="31"/>
    <w:link w:val="41"/>
    <w:qFormat/>
    <w:uiPriority w:val="0"/>
    <w:rPr>
      <w:rFonts w:ascii="宋体" w:hAnsi="宋体" w:eastAsia="宋体" w:cstheme="majorBidi"/>
      <w:b/>
      <w:bCs/>
      <w:sz w:val="30"/>
      <w:szCs w:val="30"/>
      <w:lang w:val="zh-CN"/>
    </w:rPr>
  </w:style>
  <w:style w:type="paragraph" w:customStyle="1" w:styleId="43">
    <w:name w:val="税法二万人"/>
    <w:basedOn w:val="1"/>
    <w:link w:val="44"/>
    <w:qFormat/>
    <w:uiPriority w:val="0"/>
    <w:pPr>
      <w:widowControl/>
      <w:jc w:val="center"/>
    </w:pPr>
    <w:rPr>
      <w:rFonts w:cs="Times New Roman" w:eastAsiaTheme="minorHAnsi"/>
      <w:kern w:val="0"/>
      <w:sz w:val="18"/>
      <w:szCs w:val="18"/>
    </w:rPr>
  </w:style>
  <w:style w:type="character" w:customStyle="1" w:styleId="44">
    <w:name w:val="税法二万人 字符"/>
    <w:basedOn w:val="31"/>
    <w:link w:val="43"/>
    <w:qFormat/>
    <w:uiPriority w:val="0"/>
    <w:rPr>
      <w:rFonts w:cs="Times New Roman" w:eastAsiaTheme="minorHAnsi"/>
      <w:kern w:val="0"/>
      <w:sz w:val="18"/>
      <w:szCs w:val="18"/>
    </w:rPr>
  </w:style>
  <w:style w:type="character" w:customStyle="1" w:styleId="45">
    <w:name w:val="标题 8 字符"/>
    <w:basedOn w:val="31"/>
    <w:link w:val="9"/>
    <w:semiHidden/>
    <w:qFormat/>
    <w:uiPriority w:val="0"/>
    <w:rPr>
      <w:rFonts w:ascii="Arial" w:hAnsi="Arial" w:eastAsia="黑体" w:cs="Times New Roman"/>
      <w:sz w:val="24"/>
      <w:szCs w:val="20"/>
    </w:rPr>
  </w:style>
  <w:style w:type="character" w:customStyle="1" w:styleId="46">
    <w:name w:val="标题 9 字符"/>
    <w:basedOn w:val="31"/>
    <w:link w:val="10"/>
    <w:semiHidden/>
    <w:qFormat/>
    <w:uiPriority w:val="0"/>
    <w:rPr>
      <w:rFonts w:ascii="Arial" w:hAnsi="Arial" w:eastAsia="黑体" w:cs="Times New Roman"/>
      <w:sz w:val="24"/>
      <w:szCs w:val="20"/>
    </w:rPr>
  </w:style>
  <w:style w:type="paragraph" w:customStyle="1" w:styleId="47">
    <w:name w:val="一级标题"/>
    <w:basedOn w:val="2"/>
    <w:link w:val="48"/>
    <w:qFormat/>
    <w:uiPriority w:val="0"/>
    <w:pPr>
      <w:spacing w:line="360" w:lineRule="auto"/>
      <w:jc w:val="center"/>
    </w:pPr>
    <w:rPr>
      <w:rFonts w:ascii="宋体" w:hAnsi="宋体" w:eastAsia="宋体"/>
      <w:sz w:val="32"/>
      <w:szCs w:val="32"/>
      <w:lang w:val="zh-CN"/>
    </w:rPr>
  </w:style>
  <w:style w:type="character" w:customStyle="1" w:styleId="48">
    <w:name w:val="一级标题 字符"/>
    <w:basedOn w:val="34"/>
    <w:link w:val="47"/>
    <w:qFormat/>
    <w:uiPriority w:val="0"/>
    <w:rPr>
      <w:rFonts w:ascii="宋体" w:hAnsi="宋体" w:eastAsia="宋体"/>
      <w:kern w:val="44"/>
      <w:sz w:val="32"/>
      <w:szCs w:val="32"/>
      <w:lang w:val="zh-CN"/>
    </w:rPr>
  </w:style>
  <w:style w:type="paragraph" w:styleId="49">
    <w:name w:val="List Paragraph"/>
    <w:basedOn w:val="1"/>
    <w:link w:val="50"/>
    <w:qFormat/>
    <w:uiPriority w:val="34"/>
    <w:pPr>
      <w:ind w:firstLine="420" w:firstLineChars="200"/>
    </w:pPr>
  </w:style>
  <w:style w:type="character" w:customStyle="1" w:styleId="50">
    <w:name w:val="列出段落 字符"/>
    <w:basedOn w:val="31"/>
    <w:link w:val="49"/>
    <w:qFormat/>
    <w:uiPriority w:val="34"/>
  </w:style>
  <w:style w:type="character" w:customStyle="1" w:styleId="51">
    <w:name w:val="页眉 字符"/>
    <w:basedOn w:val="31"/>
    <w:link w:val="21"/>
    <w:qFormat/>
    <w:uiPriority w:val="0"/>
    <w:rPr>
      <w:rFonts w:eastAsia="宋体"/>
      <w:sz w:val="18"/>
      <w:szCs w:val="18"/>
    </w:rPr>
  </w:style>
  <w:style w:type="paragraph" w:customStyle="1" w:styleId="52">
    <w:name w:val="标题二"/>
    <w:basedOn w:val="5"/>
    <w:link w:val="53"/>
    <w:qFormat/>
    <w:uiPriority w:val="0"/>
    <w:pPr>
      <w:numPr>
        <w:ilvl w:val="0"/>
        <w:numId w:val="1"/>
      </w:numPr>
      <w:spacing w:before="0" w:after="0" w:line="360" w:lineRule="auto"/>
      <w:ind w:firstLine="0"/>
    </w:pPr>
    <w:rPr>
      <w:rFonts w:ascii="宋体" w:hAnsi="宋体" w:eastAsia="宋体"/>
    </w:rPr>
  </w:style>
  <w:style w:type="character" w:customStyle="1" w:styleId="53">
    <w:name w:val="标题二 字符"/>
    <w:basedOn w:val="37"/>
    <w:link w:val="52"/>
    <w:qFormat/>
    <w:uiPriority w:val="0"/>
    <w:rPr>
      <w:rFonts w:ascii="宋体" w:hAnsi="宋体" w:eastAsia="宋体" w:cstheme="majorBidi"/>
      <w:sz w:val="28"/>
      <w:szCs w:val="28"/>
    </w:rPr>
  </w:style>
  <w:style w:type="paragraph" w:customStyle="1" w:styleId="54">
    <w:name w:val="标题一"/>
    <w:basedOn w:val="3"/>
    <w:link w:val="55"/>
    <w:qFormat/>
    <w:uiPriority w:val="0"/>
    <w:pPr>
      <w:numPr>
        <w:ilvl w:val="0"/>
        <w:numId w:val="2"/>
      </w:numPr>
      <w:spacing w:line="360" w:lineRule="auto"/>
      <w:ind w:left="0" w:firstLine="0"/>
    </w:pPr>
    <w:rPr>
      <w:rFonts w:ascii="宋体" w:hAnsi="宋体" w:eastAsia="宋体"/>
      <w:sz w:val="30"/>
      <w:szCs w:val="30"/>
      <w:lang w:val="zh-CN"/>
    </w:rPr>
  </w:style>
  <w:style w:type="character" w:customStyle="1" w:styleId="55">
    <w:name w:val="标题一 字符"/>
    <w:basedOn w:val="35"/>
    <w:link w:val="54"/>
    <w:qFormat/>
    <w:uiPriority w:val="0"/>
    <w:rPr>
      <w:rFonts w:ascii="宋体" w:hAnsi="宋体" w:eastAsia="宋体" w:cstheme="majorBidi"/>
      <w:sz w:val="30"/>
      <w:szCs w:val="30"/>
      <w:lang w:val="zh-CN"/>
    </w:rPr>
  </w:style>
  <w:style w:type="character" w:customStyle="1" w:styleId="56">
    <w:name w:val="正文文本 字符"/>
    <w:basedOn w:val="31"/>
    <w:link w:val="14"/>
    <w:qFormat/>
    <w:uiPriority w:val="1"/>
    <w:rPr>
      <w:rFonts w:ascii="宋体" w:hAnsi="Times New Roman" w:eastAsia="宋体" w:cs="宋体"/>
      <w:kern w:val="0"/>
      <w:sz w:val="24"/>
      <w:szCs w:val="21"/>
    </w:rPr>
  </w:style>
  <w:style w:type="paragraph" w:customStyle="1" w:styleId="57">
    <w:name w:val="表内容"/>
    <w:basedOn w:val="1"/>
    <w:qFormat/>
    <w:uiPriority w:val="0"/>
    <w:pPr>
      <w:jc w:val="center"/>
    </w:pPr>
    <w:rPr>
      <w:rFonts w:ascii="Times New Roman" w:hAnsi="Times New Roman" w:eastAsia="黑体" w:cs="Times New Roman"/>
      <w:szCs w:val="20"/>
    </w:rPr>
  </w:style>
  <w:style w:type="paragraph" w:customStyle="1" w:styleId="5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59">
    <w:name w:val="页脚 字符"/>
    <w:basedOn w:val="31"/>
    <w:link w:val="20"/>
    <w:qFormat/>
    <w:uiPriority w:val="99"/>
    <w:rPr>
      <w:rFonts w:eastAsia="宋体"/>
      <w:sz w:val="18"/>
      <w:szCs w:val="18"/>
    </w:rPr>
  </w:style>
  <w:style w:type="paragraph" w:customStyle="1" w:styleId="60">
    <w:name w:val="菏泽-正文"/>
    <w:basedOn w:val="1"/>
    <w:qFormat/>
    <w:uiPriority w:val="0"/>
    <w:pPr>
      <w:spacing w:line="440" w:lineRule="exact"/>
      <w:ind w:firstLine="420" w:firstLineChars="200"/>
    </w:pPr>
    <w:rPr>
      <w:rFonts w:ascii="Arial" w:hAnsi="Arial" w:eastAsia="华文细黑" w:cs="Times New Roman"/>
      <w:sz w:val="24"/>
      <w:szCs w:val="20"/>
    </w:rPr>
  </w:style>
  <w:style w:type="paragraph" w:customStyle="1" w:styleId="61">
    <w:name w:val="Default"/>
    <w:qFormat/>
    <w:uiPriority w:val="0"/>
    <w:pPr>
      <w:widowControl w:val="0"/>
      <w:autoSpaceDE w:val="0"/>
      <w:autoSpaceDN w:val="0"/>
      <w:adjustRightInd w:val="0"/>
    </w:pPr>
    <w:rPr>
      <w:rFonts w:ascii="Calibri" w:hAnsi="Calibri" w:cs="Calibri" w:eastAsiaTheme="minorEastAsia"/>
      <w:color w:val="000000"/>
      <w:kern w:val="0"/>
      <w:sz w:val="24"/>
      <w:szCs w:val="24"/>
      <w:lang w:val="en-US" w:eastAsia="zh-CN" w:bidi="ar-SA"/>
    </w:rPr>
  </w:style>
  <w:style w:type="character" w:customStyle="1" w:styleId="62">
    <w:name w:val="1样式3 Char"/>
    <w:link w:val="63"/>
    <w:qFormat/>
    <w:uiPriority w:val="0"/>
    <w:rPr>
      <w:rFonts w:ascii="Times New Roman" w:hAnsi="Times New Roman" w:eastAsia="宋体"/>
      <w:b/>
      <w:sz w:val="28"/>
      <w:lang w:val="zh-CN" w:eastAsia="zh-CN"/>
    </w:rPr>
  </w:style>
  <w:style w:type="paragraph" w:customStyle="1" w:styleId="63">
    <w:name w:val="1样式3"/>
    <w:basedOn w:val="1"/>
    <w:link w:val="62"/>
    <w:qFormat/>
    <w:uiPriority w:val="0"/>
    <w:pPr>
      <w:numPr>
        <w:ilvl w:val="5"/>
        <w:numId w:val="3"/>
      </w:numPr>
      <w:tabs>
        <w:tab w:val="left" w:pos="840"/>
      </w:tabs>
      <w:adjustRightInd w:val="0"/>
      <w:snapToGrid w:val="0"/>
      <w:spacing w:line="360" w:lineRule="auto"/>
      <w:ind w:firstLine="250" w:firstLineChars="250"/>
      <w:outlineLvl w:val="2"/>
    </w:pPr>
    <w:rPr>
      <w:rFonts w:ascii="Times New Roman" w:hAnsi="Times New Roman" w:eastAsia="宋体"/>
      <w:b/>
      <w:sz w:val="28"/>
      <w:lang w:val="zh-CN" w:eastAsia="zh-CN"/>
    </w:rPr>
  </w:style>
  <w:style w:type="paragraph" w:customStyle="1" w:styleId="64">
    <w:name w:val="1样式6"/>
    <w:basedOn w:val="65"/>
    <w:link w:val="66"/>
    <w:qFormat/>
    <w:uiPriority w:val="0"/>
    <w:pPr>
      <w:numPr>
        <w:ilvl w:val="0"/>
        <w:numId w:val="0"/>
      </w:numPr>
      <w:tabs>
        <w:tab w:val="left" w:pos="280"/>
        <w:tab w:val="left" w:pos="560"/>
      </w:tabs>
      <w:spacing w:before="120" w:beforeLines="50" w:line="240" w:lineRule="auto"/>
      <w:outlineLvl w:val="6"/>
    </w:pPr>
    <w:rPr>
      <w:rFonts w:ascii="黑体" w:hAnsi="黑体" w:eastAsia="黑体"/>
      <w:snapToGrid w:val="0"/>
      <w:sz w:val="18"/>
    </w:rPr>
  </w:style>
  <w:style w:type="paragraph" w:customStyle="1" w:styleId="65">
    <w:name w:val="1样式5"/>
    <w:basedOn w:val="1"/>
    <w:qFormat/>
    <w:uiPriority w:val="0"/>
    <w:pPr>
      <w:numPr>
        <w:ilvl w:val="3"/>
        <w:numId w:val="3"/>
      </w:numPr>
      <w:tabs>
        <w:tab w:val="left" w:pos="840"/>
      </w:tabs>
      <w:adjustRightInd w:val="0"/>
      <w:snapToGrid w:val="0"/>
      <w:spacing w:line="360" w:lineRule="auto"/>
      <w:ind w:firstLine="0" w:firstLineChars="250"/>
      <w:jc w:val="center"/>
      <w:outlineLvl w:val="7"/>
    </w:pPr>
    <w:rPr>
      <w:rFonts w:ascii="Times New Roman" w:hAnsi="Times New Roman" w:eastAsia="宋体" w:cs="Times New Roman"/>
      <w:sz w:val="24"/>
      <w:lang w:val="zh-CN" w:eastAsia="zh-CN"/>
    </w:rPr>
  </w:style>
  <w:style w:type="character" w:customStyle="1" w:styleId="66">
    <w:name w:val="1样式6 Char"/>
    <w:link w:val="64"/>
    <w:qFormat/>
    <w:uiPriority w:val="0"/>
    <w:rPr>
      <w:rFonts w:ascii="黑体" w:hAnsi="黑体" w:eastAsia="黑体" w:cs="Times New Roman"/>
      <w:snapToGrid w:val="0"/>
      <w:sz w:val="18"/>
      <w:lang w:val="zh-CN" w:eastAsia="zh-CN"/>
    </w:rPr>
  </w:style>
  <w:style w:type="paragraph" w:customStyle="1" w:styleId="67">
    <w:name w:val="1样式1"/>
    <w:basedOn w:val="1"/>
    <w:qFormat/>
    <w:uiPriority w:val="0"/>
    <w:pPr>
      <w:numPr>
        <w:ilvl w:val="0"/>
        <w:numId w:val="3"/>
      </w:numPr>
      <w:tabs>
        <w:tab w:val="left" w:pos="560"/>
      </w:tabs>
      <w:adjustRightInd w:val="0"/>
      <w:snapToGrid w:val="0"/>
      <w:spacing w:line="360" w:lineRule="auto"/>
      <w:ind w:firstLine="250" w:firstLineChars="250"/>
      <w:jc w:val="left"/>
      <w:outlineLvl w:val="0"/>
    </w:pPr>
    <w:rPr>
      <w:rFonts w:ascii="Times New Roman" w:hAnsi="Times New Roman" w:eastAsia="宋体" w:cs="Times New Roman"/>
      <w:b/>
      <w:sz w:val="36"/>
      <w:lang w:val="zh-CN" w:eastAsia="zh-CN"/>
    </w:rPr>
  </w:style>
  <w:style w:type="paragraph" w:customStyle="1" w:styleId="68">
    <w:name w:val="1样式2"/>
    <w:basedOn w:val="1"/>
    <w:link w:val="69"/>
    <w:qFormat/>
    <w:uiPriority w:val="0"/>
    <w:pPr>
      <w:numPr>
        <w:ilvl w:val="1"/>
        <w:numId w:val="3"/>
      </w:numPr>
      <w:tabs>
        <w:tab w:val="left" w:pos="0"/>
        <w:tab w:val="left" w:pos="851"/>
      </w:tabs>
      <w:adjustRightInd w:val="0"/>
      <w:snapToGrid w:val="0"/>
      <w:spacing w:line="360" w:lineRule="auto"/>
      <w:ind w:firstLine="250" w:firstLineChars="250"/>
      <w:outlineLvl w:val="1"/>
    </w:pPr>
    <w:rPr>
      <w:rFonts w:ascii="Times New Roman" w:hAnsi="Times New Roman" w:eastAsia="宋体" w:cs="Times New Roman"/>
      <w:b/>
      <w:sz w:val="32"/>
      <w:lang w:val="zh-CN" w:eastAsia="zh-CN"/>
    </w:rPr>
  </w:style>
  <w:style w:type="character" w:customStyle="1" w:styleId="69">
    <w:name w:val="1样式2 Char"/>
    <w:link w:val="68"/>
    <w:qFormat/>
    <w:uiPriority w:val="0"/>
    <w:rPr>
      <w:rFonts w:ascii="Times New Roman" w:hAnsi="Times New Roman" w:eastAsia="宋体" w:cs="Times New Roman"/>
      <w:b/>
      <w:sz w:val="32"/>
      <w:lang w:val="zh-CN" w:eastAsia="zh-CN"/>
    </w:rPr>
  </w:style>
  <w:style w:type="character" w:customStyle="1" w:styleId="70">
    <w:name w:val="题注 字符"/>
    <w:basedOn w:val="31"/>
    <w:link w:val="12"/>
    <w:semiHidden/>
    <w:qFormat/>
    <w:uiPriority w:val="0"/>
    <w:rPr>
      <w:rFonts w:ascii="Times New Roman" w:hAnsi="Times New Roman" w:eastAsia="黑体" w:cs="Times New Roman"/>
      <w:sz w:val="24"/>
      <w:szCs w:val="20"/>
    </w:rPr>
  </w:style>
  <w:style w:type="paragraph" w:customStyle="1" w:styleId="71">
    <w:name w:val="样式1"/>
    <w:basedOn w:val="2"/>
    <w:next w:val="1"/>
    <w:link w:val="72"/>
    <w:qFormat/>
    <w:uiPriority w:val="0"/>
    <w:pPr>
      <w:keepNext w:val="0"/>
      <w:keepLines w:val="0"/>
      <w:spacing w:before="20" w:beforeLines="50" w:after="20" w:afterLines="50" w:line="240" w:lineRule="auto"/>
      <w:ind w:left="432" w:firstLine="420" w:firstLineChars="200"/>
    </w:pPr>
    <w:rPr>
      <w:rFonts w:eastAsia="黑体" w:cs="Times New Roman"/>
      <w:bCs w:val="0"/>
      <w:sz w:val="28"/>
      <w:szCs w:val="24"/>
    </w:rPr>
  </w:style>
  <w:style w:type="character" w:customStyle="1" w:styleId="72">
    <w:name w:val="样式1 Char"/>
    <w:link w:val="71"/>
    <w:qFormat/>
    <w:uiPriority w:val="0"/>
    <w:rPr>
      <w:rFonts w:eastAsia="黑体" w:cs="Times New Roman"/>
      <w:b/>
      <w:kern w:val="44"/>
      <w:sz w:val="28"/>
      <w:szCs w:val="24"/>
    </w:rPr>
  </w:style>
  <w:style w:type="paragraph" w:customStyle="1" w:styleId="73">
    <w:name w:val="样式2"/>
    <w:basedOn w:val="1"/>
    <w:link w:val="74"/>
    <w:qFormat/>
    <w:uiPriority w:val="0"/>
    <w:pPr>
      <w:spacing w:before="50" w:beforeLines="50" w:after="50" w:afterLines="50" w:line="360" w:lineRule="auto"/>
      <w:ind w:firstLine="420" w:firstLineChars="200"/>
    </w:pPr>
    <w:rPr>
      <w:rFonts w:eastAsia="宋体" w:cs="Times New Roman"/>
      <w:sz w:val="24"/>
      <w:szCs w:val="24"/>
    </w:rPr>
  </w:style>
  <w:style w:type="character" w:customStyle="1" w:styleId="74">
    <w:name w:val="样式2 Char"/>
    <w:link w:val="73"/>
    <w:qFormat/>
    <w:uiPriority w:val="0"/>
    <w:rPr>
      <w:rFonts w:eastAsia="宋体" w:cs="Times New Roman"/>
      <w:sz w:val="24"/>
      <w:szCs w:val="24"/>
    </w:rPr>
  </w:style>
  <w:style w:type="paragraph" w:customStyle="1" w:styleId="75">
    <w:name w:val="样式 首行缩进:  2 字符"/>
    <w:basedOn w:val="1"/>
    <w:qFormat/>
    <w:uiPriority w:val="0"/>
    <w:pPr>
      <w:spacing w:line="360" w:lineRule="auto"/>
      <w:ind w:firstLine="560" w:firstLineChars="200"/>
    </w:pPr>
    <w:rPr>
      <w:rFonts w:ascii="Times New Roman" w:hAnsi="Times New Roman" w:eastAsia="仿宋_GB2312" w:cs="Times New Roman"/>
      <w:sz w:val="28"/>
      <w:szCs w:val="20"/>
    </w:rPr>
  </w:style>
  <w:style w:type="character" w:customStyle="1" w:styleId="76">
    <w:name w:val="font01"/>
    <w:qFormat/>
    <w:uiPriority w:val="0"/>
    <w:rPr>
      <w:rFonts w:hint="default" w:ascii="Arial" w:hAnsi="Arial" w:cs="Arial"/>
      <w:color w:val="000000"/>
      <w:sz w:val="20"/>
      <w:szCs w:val="20"/>
      <w:u w:val="none"/>
    </w:rPr>
  </w:style>
  <w:style w:type="paragraph" w:customStyle="1" w:styleId="77">
    <w:name w:val="正文文本样式"/>
    <w:basedOn w:val="1"/>
    <w:link w:val="78"/>
    <w:qFormat/>
    <w:uiPriority w:val="0"/>
    <w:pPr>
      <w:spacing w:line="360" w:lineRule="auto"/>
      <w:ind w:firstLine="480" w:firstLineChars="200"/>
    </w:pPr>
    <w:rPr>
      <w:rFonts w:ascii="Times New Roman" w:hAnsi="Times New Roman" w:eastAsia="宋体" w:cs="Times New Roman"/>
      <w:sz w:val="24"/>
      <w:szCs w:val="20"/>
      <w:lang w:val="zh-CN" w:eastAsia="zh-CN"/>
    </w:rPr>
  </w:style>
  <w:style w:type="character" w:customStyle="1" w:styleId="78">
    <w:name w:val="正文文本样式 Char"/>
    <w:link w:val="77"/>
    <w:qFormat/>
    <w:uiPriority w:val="0"/>
    <w:rPr>
      <w:rFonts w:ascii="Times New Roman" w:hAnsi="Times New Roman" w:eastAsia="宋体" w:cs="Times New Roman"/>
      <w:sz w:val="24"/>
      <w:szCs w:val="20"/>
      <w:lang w:val="zh-CN" w:eastAsia="zh-CN"/>
    </w:rPr>
  </w:style>
  <w:style w:type="paragraph" w:customStyle="1" w:styleId="79">
    <w:name w:val=".正文"/>
    <w:basedOn w:val="1"/>
    <w:link w:val="80"/>
    <w:qFormat/>
    <w:uiPriority w:val="0"/>
    <w:pPr>
      <w:widowControl/>
      <w:adjustRightInd w:val="0"/>
      <w:snapToGrid w:val="0"/>
      <w:spacing w:line="360" w:lineRule="auto"/>
      <w:ind w:firstLine="200" w:firstLineChars="200"/>
      <w:textAlignment w:val="center"/>
    </w:pPr>
    <w:rPr>
      <w:rFonts w:ascii="Times New Roman" w:hAnsi="Times New Roman" w:eastAsia="宋体" w:cs="Times New Roman"/>
      <w:sz w:val="24"/>
      <w:szCs w:val="28"/>
      <w:lang w:val="zh-CN" w:eastAsia="zh-CN"/>
    </w:rPr>
  </w:style>
  <w:style w:type="character" w:customStyle="1" w:styleId="80">
    <w:name w:val=".正文 Char"/>
    <w:link w:val="79"/>
    <w:qFormat/>
    <w:uiPriority w:val="0"/>
    <w:rPr>
      <w:rFonts w:ascii="Times New Roman" w:hAnsi="Times New Roman" w:eastAsia="宋体" w:cs="Times New Roman"/>
      <w:sz w:val="24"/>
      <w:szCs w:val="28"/>
      <w:lang w:val="zh-CN" w:eastAsia="zh-CN"/>
    </w:rPr>
  </w:style>
  <w:style w:type="paragraph" w:customStyle="1" w:styleId="81">
    <w:name w:val="电网标题四"/>
    <w:basedOn w:val="52"/>
    <w:link w:val="82"/>
    <w:qFormat/>
    <w:uiPriority w:val="0"/>
    <w:pPr>
      <w:numPr>
        <w:numId w:val="0"/>
      </w:numPr>
    </w:pPr>
  </w:style>
  <w:style w:type="character" w:customStyle="1" w:styleId="82">
    <w:name w:val="电网标题四 字符"/>
    <w:basedOn w:val="53"/>
    <w:link w:val="81"/>
    <w:qFormat/>
    <w:uiPriority w:val="0"/>
    <w:rPr>
      <w:rFonts w:ascii="宋体" w:hAnsi="宋体" w:eastAsia="宋体" w:cstheme="majorBidi"/>
      <w:sz w:val="28"/>
      <w:szCs w:val="28"/>
    </w:rPr>
  </w:style>
  <w:style w:type="paragraph" w:customStyle="1" w:styleId="83">
    <w:name w:val="电网标题五"/>
    <w:basedOn w:val="49"/>
    <w:link w:val="84"/>
    <w:qFormat/>
    <w:uiPriority w:val="0"/>
    <w:pPr>
      <w:spacing w:line="360" w:lineRule="auto"/>
      <w:ind w:firstLine="0" w:firstLineChars="0"/>
      <w:jc w:val="left"/>
    </w:pPr>
    <w:rPr>
      <w:rFonts w:eastAsia="宋体" w:asciiTheme="minorEastAsia" w:hAnsiTheme="minorEastAsia"/>
      <w:b/>
      <w:color w:val="000000" w:themeColor="text1"/>
      <w:sz w:val="24"/>
      <w:szCs w:val="24"/>
      <w14:textFill>
        <w14:solidFill>
          <w14:schemeClr w14:val="tx1"/>
        </w14:solidFill>
      </w14:textFill>
    </w:rPr>
  </w:style>
  <w:style w:type="character" w:customStyle="1" w:styleId="84">
    <w:name w:val="电网标题五 字符"/>
    <w:basedOn w:val="50"/>
    <w:link w:val="83"/>
    <w:qFormat/>
    <w:uiPriority w:val="0"/>
    <w:rPr>
      <w:rFonts w:eastAsia="宋体" w:asciiTheme="minorEastAsia" w:hAnsiTheme="minorEastAsia"/>
      <w:b/>
      <w:color w:val="000000" w:themeColor="text1"/>
      <w:sz w:val="24"/>
      <w:szCs w:val="24"/>
      <w14:textFill>
        <w14:solidFill>
          <w14:schemeClr w14:val="tx1"/>
        </w14:solidFill>
      </w14:textFill>
    </w:rPr>
  </w:style>
  <w:style w:type="character" w:customStyle="1" w:styleId="85">
    <w:name w:val="批注文字 字符"/>
    <w:basedOn w:val="31"/>
    <w:link w:val="13"/>
    <w:semiHidden/>
    <w:qFormat/>
    <w:uiPriority w:val="99"/>
    <w:rPr>
      <w:rFonts w:eastAsia="宋体"/>
      <w:sz w:val="24"/>
    </w:rPr>
  </w:style>
  <w:style w:type="character" w:customStyle="1" w:styleId="86">
    <w:name w:val="批注主题 字符"/>
    <w:basedOn w:val="85"/>
    <w:link w:val="29"/>
    <w:semiHidden/>
    <w:qFormat/>
    <w:uiPriority w:val="99"/>
    <w:rPr>
      <w:rFonts w:eastAsia="宋体"/>
      <w:b/>
      <w:bCs/>
      <w:sz w:val="24"/>
    </w:rPr>
  </w:style>
  <w:style w:type="character" w:customStyle="1" w:styleId="87">
    <w:name w:val="批注框文本 字符"/>
    <w:basedOn w:val="31"/>
    <w:link w:val="19"/>
    <w:semiHidden/>
    <w:qFormat/>
    <w:uiPriority w:val="99"/>
    <w:rPr>
      <w:rFonts w:eastAsia="宋体"/>
      <w:sz w:val="18"/>
      <w:szCs w:val="18"/>
    </w:rPr>
  </w:style>
  <w:style w:type="paragraph" w:customStyle="1" w:styleId="88">
    <w:name w:val="111111"/>
    <w:basedOn w:val="43"/>
    <w:link w:val="89"/>
    <w:qFormat/>
    <w:uiPriority w:val="0"/>
  </w:style>
  <w:style w:type="character" w:customStyle="1" w:styleId="89">
    <w:name w:val="111111 字符"/>
    <w:basedOn w:val="44"/>
    <w:link w:val="88"/>
    <w:qFormat/>
    <w:uiPriority w:val="0"/>
    <w:rPr>
      <w:rFonts w:cs="Times New Roman" w:eastAsiaTheme="minorHAnsi"/>
      <w:kern w:val="0"/>
      <w:sz w:val="18"/>
      <w:szCs w:val="18"/>
    </w:rPr>
  </w:style>
  <w:style w:type="paragraph" w:customStyle="1" w:styleId="90">
    <w:name w:val="123"/>
    <w:basedOn w:val="43"/>
    <w:link w:val="91"/>
    <w:qFormat/>
    <w:uiPriority w:val="0"/>
  </w:style>
  <w:style w:type="character" w:customStyle="1" w:styleId="91">
    <w:name w:val="123 字符"/>
    <w:basedOn w:val="44"/>
    <w:link w:val="90"/>
    <w:qFormat/>
    <w:uiPriority w:val="0"/>
    <w:rPr>
      <w:rFonts w:cs="Times New Roman" w:eastAsiaTheme="minorHAnsi"/>
      <w:kern w:val="0"/>
      <w:sz w:val="18"/>
      <w:szCs w:val="18"/>
    </w:rPr>
  </w:style>
  <w:style w:type="character" w:customStyle="1" w:styleId="92">
    <w:name w:val="纯文本 字符1"/>
    <w:link w:val="17"/>
    <w:qFormat/>
    <w:uiPriority w:val="0"/>
    <w:rPr>
      <w:rFonts w:ascii="宋体" w:hAnsi="Courier New" w:eastAsia="宋体" w:cs="Times New Roman"/>
      <w:szCs w:val="21"/>
    </w:rPr>
  </w:style>
  <w:style w:type="character" w:customStyle="1" w:styleId="93">
    <w:name w:val="纯文本 字符"/>
    <w:basedOn w:val="31"/>
    <w:semiHidden/>
    <w:qFormat/>
    <w:uiPriority w:val="99"/>
    <w:rPr>
      <w:rFonts w:hAnsi="Courier New" w:cs="Courier New" w:asciiTheme="minorEastAsia"/>
    </w:rPr>
  </w:style>
  <w:style w:type="character" w:customStyle="1" w:styleId="94">
    <w:name w:val="世博正文缩进 Char"/>
    <w:link w:val="95"/>
    <w:qFormat/>
    <w:uiPriority w:val="0"/>
    <w:rPr>
      <w:rFonts w:ascii="宋体" w:hAnsi="宋体"/>
      <w:sz w:val="28"/>
      <w:szCs w:val="28"/>
    </w:rPr>
  </w:style>
  <w:style w:type="paragraph" w:customStyle="1" w:styleId="95">
    <w:name w:val="世博正文缩进"/>
    <w:link w:val="94"/>
    <w:qFormat/>
    <w:uiPriority w:val="0"/>
    <w:pPr>
      <w:spacing w:line="360" w:lineRule="auto"/>
      <w:ind w:firstLine="560" w:firstLineChars="200"/>
    </w:pPr>
    <w:rPr>
      <w:rFonts w:ascii="宋体" w:hAnsi="宋体" w:eastAsiaTheme="minorEastAsia" w:cstheme="minorBidi"/>
      <w:kern w:val="2"/>
      <w:sz w:val="28"/>
      <w:szCs w:val="28"/>
      <w:shd w:val="clear" w:color="auto" w:fill="FFFFFF"/>
      <w:lang w:val="en-US" w:eastAsia="zh-CN" w:bidi="ar-SA"/>
    </w:rPr>
  </w:style>
  <w:style w:type="paragraph" w:customStyle="1" w:styleId="96">
    <w:name w:val="表2"/>
    <w:basedOn w:val="54"/>
    <w:link w:val="97"/>
    <w:qFormat/>
    <w:uiPriority w:val="0"/>
    <w:pPr>
      <w:numPr>
        <w:ilvl w:val="0"/>
        <w:numId w:val="0"/>
      </w:numPr>
    </w:pPr>
  </w:style>
  <w:style w:type="character" w:customStyle="1" w:styleId="97">
    <w:name w:val="表2 字符"/>
    <w:basedOn w:val="55"/>
    <w:link w:val="96"/>
    <w:qFormat/>
    <w:uiPriority w:val="0"/>
    <w:rPr>
      <w:rFonts w:ascii="宋体" w:hAnsi="宋体" w:eastAsia="宋体" w:cstheme="majorBidi"/>
      <w:sz w:val="30"/>
      <w:szCs w:val="30"/>
      <w:lang w:val="zh-CN"/>
    </w:rPr>
  </w:style>
  <w:style w:type="character" w:customStyle="1" w:styleId="98">
    <w:name w:val="font21"/>
    <w:basedOn w:val="31"/>
    <w:qFormat/>
    <w:uiPriority w:val="0"/>
    <w:rPr>
      <w:rFonts w:hint="default" w:ascii="Times New Roman" w:hAnsi="Times New Roman" w:cs="Times New Roman"/>
      <w:color w:val="000000"/>
      <w:sz w:val="22"/>
      <w:szCs w:val="22"/>
      <w:u w:val="none"/>
    </w:rPr>
  </w:style>
  <w:style w:type="paragraph" w:customStyle="1" w:styleId="99">
    <w:name w:val="三级标题"/>
    <w:basedOn w:val="81"/>
    <w:link w:val="100"/>
    <w:qFormat/>
    <w:uiPriority w:val="0"/>
  </w:style>
  <w:style w:type="character" w:customStyle="1" w:styleId="100">
    <w:name w:val="三级标题 字符"/>
    <w:basedOn w:val="82"/>
    <w:link w:val="99"/>
    <w:qFormat/>
    <w:uiPriority w:val="0"/>
    <w:rPr>
      <w:rFonts w:ascii="宋体" w:hAnsi="宋体" w:eastAsia="宋体" w:cstheme="majorBidi"/>
      <w:sz w:val="28"/>
      <w:szCs w:val="28"/>
    </w:rPr>
  </w:style>
  <w:style w:type="character" w:customStyle="1" w:styleId="101">
    <w:name w:val="HTML 预设格式 字符"/>
    <w:basedOn w:val="31"/>
    <w:link w:val="27"/>
    <w:qFormat/>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868</Words>
  <Characters>4952</Characters>
  <Lines>41</Lines>
  <Paragraphs>11</Paragraphs>
  <TotalTime>5</TotalTime>
  <ScaleCrop>false</ScaleCrop>
  <LinksUpToDate>false</LinksUpToDate>
  <CharactersWithSpaces>5809</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2024-01-24T02:50:00Z</dcterms:created>
  <dc:creator>AutoBVT</dc:creator>
  <cp:lastModifiedBy>李效乾</cp:lastModifiedBy>
  <dcterms:modified xsi:type="dcterms:W3CDTF">2024-01-24T06:18:50Z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