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firstLine="0" w:firstLineChars="0"/>
        <w:jc w:val="center"/>
        <w:textAlignment w:val="auto"/>
        <w:rPr>
          <w:rFonts w:hint="default" w:ascii="方正小标宋简体" w:hAnsi="黑体" w:eastAsia="方正小标宋简体" w:cs="文星简黑体"/>
          <w:b w:val="0"/>
          <w:bCs w:val="0"/>
          <w:snapToGrid/>
          <w:kern w:val="2"/>
          <w:sz w:val="44"/>
          <w:szCs w:val="44"/>
          <w:highlight w:val="none"/>
          <w:lang w:val="en-US" w:eastAsia="zh-CN"/>
        </w:rPr>
      </w:pPr>
      <w:bookmarkStart w:id="0" w:name="_Hlk55764629"/>
      <w:r>
        <w:rPr>
          <w:rFonts w:hint="eastAsia" w:ascii="方正小标宋简体" w:hAnsi="黑体" w:eastAsia="方正小标宋简体" w:cs="文星简黑体"/>
          <w:b w:val="0"/>
          <w:bCs w:val="0"/>
          <w:snapToGrid/>
          <w:kern w:val="2"/>
          <w:sz w:val="44"/>
          <w:szCs w:val="44"/>
          <w:highlight w:val="none"/>
          <w:lang w:val="en-US" w:eastAsia="zh-CN"/>
        </w:rPr>
        <w:t>2022年城市园林绿化管养经费项目支出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0" w:leftChars="0" w:firstLine="0" w:firstLineChars="0"/>
        <w:jc w:val="center"/>
        <w:textAlignment w:val="auto"/>
        <w:rPr>
          <w:rFonts w:hint="eastAsia" w:ascii="方正小标宋简体" w:hAnsi="黑体" w:eastAsia="方正小标宋简体" w:cs="文星简黑体"/>
          <w:b w:val="0"/>
          <w:bCs w:val="0"/>
          <w:snapToGrid/>
          <w:kern w:val="2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黑体" w:eastAsia="方正小标宋简体" w:cs="文星简黑体"/>
          <w:b w:val="0"/>
          <w:bCs w:val="0"/>
          <w:snapToGrid/>
          <w:kern w:val="2"/>
          <w:sz w:val="44"/>
          <w:szCs w:val="44"/>
          <w:highlight w:val="none"/>
          <w:lang w:val="en-US" w:eastAsia="zh-CN"/>
        </w:rPr>
        <w:t>绩效评价报告</w:t>
      </w:r>
      <w:bookmarkEnd w:id="0"/>
    </w:p>
    <w:p>
      <w:pPr>
        <w:kinsoku/>
        <w:jc w:val="center"/>
        <w:rPr>
          <w:highlight w:val="none"/>
        </w:rPr>
      </w:pP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项目概况</w:t>
      </w:r>
    </w:p>
    <w:p>
      <w:pPr>
        <w:pStyle w:val="3"/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项目主要内容及实施情况</w:t>
      </w:r>
    </w:p>
    <w:p>
      <w:pPr>
        <w:rPr>
          <w:rFonts w:hint="eastAsia" w:ascii="Times New Roman" w:hAnsi="Times New Roman" w:eastAsia="仿宋" w:cs="仿宋"/>
          <w:sz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lang w:val="en-US" w:eastAsia="zh-CN"/>
        </w:rPr>
        <w:t>本项目专项养护经费用于市管道路、公园广场绿化养护管理工作，具体养护工作由牡丹区园林服务中心、菏泽鲁西新区综合行政执法局园林管理办公室、菏泽城投园林工程有限公司负责，该项资金直接拨付至市城管局，由市城管局制定考核方案及考核标准，对各养护单位绿化养护结果进行考核打分，根据得分结果支付养护资金。</w:t>
      </w:r>
    </w:p>
    <w:p>
      <w:pPr>
        <w:pStyle w:val="3"/>
        <w:bidi w:val="0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项目预算安排和支出情况</w:t>
      </w:r>
    </w:p>
    <w:p>
      <w:pPr>
        <w:rPr>
          <w:rFonts w:hint="eastAsia" w:ascii="Times New Roman" w:hAnsi="Times New Roman" w:eastAsia="仿宋" w:cs="仿宋"/>
          <w:sz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lang w:val="en-US" w:eastAsia="zh-CN"/>
        </w:rPr>
        <w:t>2022年11月，市财政局下达城区绿化养护专项资金预算指标3000万元，专项用于城区绿化园林养护，资金来源为市级财政资金，资金性质为政府性基金预算。</w:t>
      </w:r>
    </w:p>
    <w:p>
      <w:pPr>
        <w:rPr>
          <w:rFonts w:hint="eastAsia" w:ascii="Times New Roman" w:hAnsi="Times New Roman" w:eastAsia="仿宋" w:cs="仿宋"/>
          <w:sz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lang w:val="en-US" w:eastAsia="zh-CN"/>
        </w:rPr>
        <w:t>2022年12月至2023年5月，市级绿化养护专项资金已全部支付，其中支付牡丹区园林服务中心1470万元，菏泽鲁西新区综合行政执法局园林管理办公室1230万元，菏泽城投园林工程有限公司300万元。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评价结论</w:t>
      </w:r>
    </w:p>
    <w:p>
      <w:pPr>
        <w:bidi w:val="0"/>
        <w:rPr>
          <w:rFonts w:hint="eastAsia" w:eastAsia="仿宋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lang w:val="en-US" w:eastAsia="zh-CN"/>
        </w:rPr>
        <w:t>通过评价，2022年城区园林绿化管养经费项目最终得分86.99分，评价等级为“良”。具体得分情况见下表：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/>
        <w:snapToGrid/>
        <w:spacing w:before="157" w:beforeLines="50" w:after="157" w:afterLines="50" w:line="580" w:lineRule="exact"/>
        <w:ind w:left="0" w:leftChars="0" w:firstLine="0" w:firstLineChars="0"/>
        <w:jc w:val="center"/>
        <w:textAlignment w:val="auto"/>
        <w:rPr>
          <w:rFonts w:hint="default" w:ascii="黑体" w:hAnsi="黑体" w:eastAsia="黑体" w:cs="黑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highlight w:val="none"/>
          <w:lang w:val="en-US" w:eastAsia="zh-CN"/>
        </w:rPr>
        <w:t>表1 2022年城区园林绿化养护项目绩效评价得分汇总表</w:t>
      </w:r>
    </w:p>
    <w:tbl>
      <w:tblPr>
        <w:tblStyle w:val="15"/>
        <w:tblW w:w="493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7"/>
        <w:gridCol w:w="2281"/>
        <w:gridCol w:w="2283"/>
        <w:gridCol w:w="21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  <w:jc w:val="center"/>
        </w:trPr>
        <w:tc>
          <w:tcPr>
            <w:tcW w:w="2187" w:type="dxa"/>
            <w:shd w:val="clear" w:color="auto" w:fill="DBE3F4" w:themeFill="accent1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评价指标</w:t>
            </w:r>
          </w:p>
        </w:tc>
        <w:tc>
          <w:tcPr>
            <w:tcW w:w="2280" w:type="dxa"/>
            <w:shd w:val="clear" w:color="auto" w:fill="DBE3F4" w:themeFill="accent1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权重</w:t>
            </w:r>
          </w:p>
        </w:tc>
        <w:tc>
          <w:tcPr>
            <w:tcW w:w="2282" w:type="dxa"/>
            <w:shd w:val="clear" w:color="auto" w:fill="DBE3F4" w:themeFill="accent1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  <w:tc>
          <w:tcPr>
            <w:tcW w:w="2189" w:type="dxa"/>
            <w:shd w:val="clear" w:color="auto" w:fill="DBE3F4" w:themeFill="accent1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21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1.决策</w:t>
            </w:r>
          </w:p>
        </w:tc>
        <w:tc>
          <w:tcPr>
            <w:tcW w:w="22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7.5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1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2.过程</w:t>
            </w:r>
          </w:p>
        </w:tc>
        <w:tc>
          <w:tcPr>
            <w:tcW w:w="22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14.6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1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3.产出</w:t>
            </w:r>
          </w:p>
        </w:tc>
        <w:tc>
          <w:tcPr>
            <w:tcW w:w="22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38.77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96.93%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18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4.效益</w:t>
            </w:r>
          </w:p>
        </w:tc>
        <w:tc>
          <w:tcPr>
            <w:tcW w:w="228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282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26.12</w:t>
            </w:r>
          </w:p>
        </w:tc>
        <w:tc>
          <w:tcPr>
            <w:tcW w:w="2189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87.07%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187" w:type="dxa"/>
            <w:shd w:val="clear" w:color="auto" w:fill="DBE3F4" w:themeFill="accent1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2280" w:type="dxa"/>
            <w:shd w:val="clear" w:color="auto" w:fill="DBE3F4" w:themeFill="accent1" w:themeFillTint="32"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2282" w:type="dxa"/>
            <w:shd w:val="clear" w:color="auto" w:fill="DBE3F4" w:themeFill="accent1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86.99</w:t>
            </w:r>
          </w:p>
        </w:tc>
        <w:tc>
          <w:tcPr>
            <w:tcW w:w="2189" w:type="dxa"/>
            <w:shd w:val="clear" w:color="auto" w:fill="DBE3F4" w:themeFill="accent1" w:themeFillTint="32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kinsoku w:val="0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86.99%</w:t>
            </w:r>
          </w:p>
        </w:tc>
      </w:tr>
    </w:tbl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项目绩效分析</w:t>
      </w:r>
    </w:p>
    <w:p>
      <w:pPr>
        <w:pStyle w:val="3"/>
        <w:numPr>
          <w:ilvl w:val="0"/>
          <w:numId w:val="6"/>
        </w:numPr>
        <w:bidi w:val="0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项目决策情况</w:t>
      </w:r>
    </w:p>
    <w:p>
      <w:pPr>
        <w:rPr>
          <w:rFonts w:hint="eastAsia" w:ascii="Times New Roman" w:hAnsi="Times New Roman" w:eastAsia="仿宋" w:cs="仿宋"/>
          <w:sz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lang w:val="en-US" w:eastAsia="zh-CN"/>
        </w:rPr>
        <w:t>绿化养护作为园林建设的后续配套维护工作，与园林建设相辅相成，其实施符合国家法律法规、国民经济发展规划和相关政策，与市城管局部门职责相符，立项依据充分；项目立项程序规范，立项材料符合相关要求。</w:t>
      </w:r>
    </w:p>
    <w:p>
      <w:pPr>
        <w:pStyle w:val="3"/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项目过程情况</w:t>
      </w:r>
    </w:p>
    <w:p>
      <w:pPr>
        <w:rPr>
          <w:rFonts w:hint="eastAsia" w:ascii="Times New Roman" w:hAnsi="Times New Roman" w:eastAsia="仿宋" w:cs="仿宋"/>
          <w:sz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lang w:val="en-US" w:eastAsia="zh-CN"/>
        </w:rPr>
        <w:t>项目资金使用符合国家财经法规和单位财务管理制度规定，资金的拨付和使用有完整的审批程序和手续，支出依据合规。各单位管理制度基本健全，为项目顺利实施提供了保障；项目组织领导机构完整，人员配置合理，分工明确，项目组织领导机构健全。</w:t>
      </w:r>
    </w:p>
    <w:p>
      <w:pPr>
        <w:pStyle w:val="3"/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项目产出</w:t>
      </w:r>
    </w:p>
    <w:p>
      <w:pPr>
        <w:rPr>
          <w:rFonts w:hint="eastAsia" w:ascii="Times New Roman" w:hAnsi="Times New Roman" w:eastAsia="仿宋" w:cs="仿宋"/>
          <w:sz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lang w:val="en-US" w:eastAsia="zh-CN"/>
        </w:rPr>
        <w:t>截至2022年12月底，牡丹区园林服务中心养护面积358.28万㎡，菏泽鲁西新区综合行政执法局园林办公室养护面积253.42万㎡，环堤公园养护面积241万㎡，共计852.7万㎡；牡丹区园林服务中心养护行道树43000棵，菏泽鲁西新区综合行政执法局园林办公室养护行道树19972棵，共计62972棵；实际完成养护内容与计划相符。</w:t>
      </w:r>
    </w:p>
    <w:p>
      <w:pPr>
        <w:pStyle w:val="3"/>
        <w:bidi w:val="0"/>
        <w:rPr>
          <w:rFonts w:hint="eastAsia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项目效益情况</w:t>
      </w:r>
    </w:p>
    <w:p>
      <w:pPr>
        <w:rPr>
          <w:rFonts w:hint="eastAsia" w:ascii="Times New Roman" w:hAnsi="Times New Roman" w:eastAsia="仿宋" w:cs="仿宋"/>
          <w:sz w:val="32"/>
          <w:lang w:val="en-US" w:eastAsia="zh-CN"/>
        </w:rPr>
      </w:pPr>
      <w:r>
        <w:rPr>
          <w:rFonts w:hint="eastAsia" w:ascii="Times New Roman" w:hAnsi="Times New Roman" w:eastAsia="仿宋" w:cs="仿宋"/>
          <w:sz w:val="32"/>
          <w:lang w:val="en-US" w:eastAsia="zh-CN"/>
        </w:rPr>
        <w:t>从收到的社会调查问卷反馈中看到，群众对城区的绿化总体效果比较满意；管理组织健全，职责明确，有效保障了项目的实施。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主要成效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default"/>
          <w:b w:val="0"/>
          <w:bCs/>
          <w:lang w:val="en-US" w:eastAsia="zh-CN"/>
        </w:rPr>
      </w:pPr>
      <w:bookmarkStart w:id="1" w:name="_Toc12453"/>
      <w:bookmarkStart w:id="2" w:name="_Toc1352"/>
      <w:bookmarkStart w:id="3" w:name="_Toc24086"/>
      <w:r>
        <w:rPr>
          <w:rFonts w:hint="eastAsia"/>
          <w:b w:val="0"/>
          <w:bCs/>
          <w:lang w:val="en-US" w:eastAsia="zh-CN"/>
        </w:rPr>
        <w:t>（一）推进园林绿化精细化管理</w:t>
      </w:r>
      <w:bookmarkEnd w:id="1"/>
      <w:bookmarkEnd w:id="2"/>
      <w:bookmarkEnd w:id="3"/>
    </w:p>
    <w:p>
      <w:pPr>
        <w:bidi w:val="0"/>
        <w:rPr>
          <w:rFonts w:hint="eastAsia" w:ascii="仿宋" w:hAnsi="仿宋" w:eastAsia="仿宋" w:cs="仿宋"/>
          <w:szCs w:val="32"/>
          <w:highlight w:val="none"/>
          <w:lang w:val="en-US" w:eastAsia="zh-CN"/>
        </w:rPr>
      </w:pPr>
      <w:r>
        <w:rPr>
          <w:rFonts w:hint="eastAsia"/>
          <w:lang w:val="en-US" w:eastAsia="zh-CN"/>
        </w:rPr>
        <w:t>一是全面加强园林绿化养护管理，市城管局制定养护年度计划、养护管理导则，督导园林管养单位积极开展绿地卫生保洁、清除死树枯枝和杂草等活动。二是落实一线工作法，市城管局坚持每周至少两次集中到绿化养护管理现场进行督导检查、现场开展技术指导服务。三是深入一线组织各县区园林部门积极防控病虫害，对园林绿化领域进行拉网式排查，有效巩固了绿化成果。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default"/>
          <w:b w:val="0"/>
          <w:bCs/>
          <w:highlight w:val="red"/>
          <w:lang w:val="en-US" w:eastAsia="zh-CN"/>
        </w:rPr>
      </w:pPr>
      <w:bookmarkStart w:id="4" w:name="_Toc6441"/>
      <w:bookmarkStart w:id="5" w:name="_Toc6413"/>
      <w:bookmarkStart w:id="6" w:name="_Toc6095"/>
      <w:r>
        <w:rPr>
          <w:rFonts w:hint="eastAsia"/>
          <w:b w:val="0"/>
          <w:bCs/>
          <w:lang w:val="en-US" w:eastAsia="zh-CN"/>
        </w:rPr>
        <w:t>（二）</w:t>
      </w:r>
      <w:bookmarkEnd w:id="4"/>
      <w:bookmarkEnd w:id="5"/>
      <w:r>
        <w:rPr>
          <w:rFonts w:hint="eastAsia"/>
          <w:b w:val="0"/>
          <w:bCs/>
          <w:highlight w:val="none"/>
          <w:lang w:val="en-US" w:eastAsia="zh-CN"/>
        </w:rPr>
        <w:t>为建设生态宜居城市助力</w:t>
      </w:r>
      <w:bookmarkEnd w:id="6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城市的绿化养护管理水平标志着城市的发展状况，随着菏泽市持续推进的老城区绿化提升、环堤公园、口袋公园的建设，项目实施单位在进行养护工作的同时，建立专业巡查队伍，确保绿化设施和植被不受破坏，切实保障城区绿化成果；在城区道路、公园、广场、街头绿地积极开展创城和爱绿护绿宣传活动，进一步提高全民爱护绿化意识，激发人们参与城市园林绿化工作的积极性，营造了“爱绿、护绿、兴绿”的舆论氛围，为菏泽“不断推进生态文明建设，共筑生态宜居家园”奠定基础。</w:t>
      </w:r>
    </w:p>
    <w:p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存在问题及原因分析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default"/>
          <w:b w:val="0"/>
          <w:bCs w:val="0"/>
          <w:lang w:val="en-US" w:eastAsia="zh-CN"/>
        </w:rPr>
      </w:pPr>
      <w:bookmarkStart w:id="7" w:name="_Toc24315"/>
      <w:bookmarkStart w:id="8" w:name="_Toc18566"/>
      <w:bookmarkStart w:id="9" w:name="_Toc22110"/>
      <w:r>
        <w:rPr>
          <w:rFonts w:hint="eastAsia"/>
          <w:b w:val="0"/>
          <w:bCs w:val="0"/>
        </w:rPr>
        <w:t>（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>）</w:t>
      </w:r>
      <w:bookmarkEnd w:id="7"/>
      <w:bookmarkStart w:id="10" w:name="_Toc10320"/>
      <w:r>
        <w:rPr>
          <w:rFonts w:hint="eastAsia"/>
          <w:b w:val="0"/>
          <w:bCs w:val="0"/>
          <w:lang w:val="en-US" w:eastAsia="zh-CN"/>
        </w:rPr>
        <w:t>项目资金未通过专户管理</w:t>
      </w:r>
      <w:bookmarkEnd w:id="8"/>
      <w:bookmarkEnd w:id="9"/>
      <w:bookmarkEnd w:id="10"/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两区园林在使用该专项财政资金时，未严格按照专款专用要求，市管区域绿化养护资金与两区园林区级养护资金账户混用，使用范围无法准确区分，对资金的监管有一定难度。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eastAsia" w:ascii="楷体" w:hAnsi="楷体" w:eastAsia="楷体" w:cs="楷体"/>
          <w:b w:val="0"/>
          <w:bCs w:val="0"/>
          <w:snapToGrid/>
          <w:sz w:val="32"/>
          <w:szCs w:val="32"/>
          <w:highlight w:val="none"/>
          <w:lang w:val="en-US" w:eastAsia="zh-CN"/>
        </w:rPr>
      </w:pPr>
      <w:bookmarkStart w:id="11" w:name="_Toc20679"/>
      <w:bookmarkStart w:id="12" w:name="_Toc26532"/>
      <w:bookmarkStart w:id="13" w:name="_Toc2787"/>
      <w:r>
        <w:rPr>
          <w:rFonts w:hint="eastAsia" w:ascii="楷体" w:hAnsi="楷体" w:eastAsia="楷体" w:cs="楷体"/>
          <w:b w:val="0"/>
          <w:bCs w:val="0"/>
          <w:snapToGrid/>
          <w:sz w:val="32"/>
          <w:szCs w:val="32"/>
          <w:highlight w:val="none"/>
          <w:lang w:val="en-US" w:eastAsia="zh-CN"/>
        </w:rPr>
        <w:t>（二）</w:t>
      </w:r>
      <w:bookmarkEnd w:id="11"/>
      <w:r>
        <w:rPr>
          <w:rFonts w:hint="eastAsia" w:ascii="楷体" w:hAnsi="楷体" w:eastAsia="楷体" w:cs="楷体"/>
          <w:b w:val="0"/>
          <w:bCs w:val="0"/>
          <w:snapToGrid/>
          <w:color w:val="000000"/>
          <w:kern w:val="0"/>
          <w:sz w:val="32"/>
          <w:szCs w:val="32"/>
          <w:highlight w:val="none"/>
          <w:lang w:val="en-US" w:eastAsia="zh-CN" w:bidi="ar-SA"/>
        </w:rPr>
        <w:t>整改资料未及时归档</w:t>
      </w:r>
      <w:bookmarkEnd w:id="12"/>
      <w:bookmarkEnd w:id="13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绿化养护方面书面资料较少，对市民通过公共平台反映的绿化养护问题未形成有效文字资料说明，整改效果后期无法进行验证，对核实实际养护效果带来一定的困难。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default" w:ascii="楷体" w:hAnsi="楷体" w:eastAsia="楷体" w:cs="楷体"/>
          <w:b w:val="0"/>
          <w:bCs w:val="0"/>
          <w:snapToGrid/>
          <w:color w:val="000000"/>
          <w:kern w:val="0"/>
          <w:sz w:val="32"/>
          <w:szCs w:val="32"/>
          <w:highlight w:val="none"/>
          <w:lang w:val="en-US" w:eastAsia="zh-CN" w:bidi="ar-SA"/>
        </w:rPr>
      </w:pPr>
      <w:bookmarkStart w:id="14" w:name="_Toc2672"/>
      <w:bookmarkStart w:id="15" w:name="_Toc6051"/>
      <w:bookmarkStart w:id="16" w:name="_Toc21074"/>
      <w:r>
        <w:rPr>
          <w:rFonts w:hint="eastAsia" w:ascii="楷体" w:hAnsi="楷体" w:eastAsia="楷体" w:cs="楷体"/>
          <w:b w:val="0"/>
          <w:bCs w:val="0"/>
          <w:snapToGrid/>
          <w:color w:val="000000"/>
          <w:kern w:val="0"/>
          <w:sz w:val="32"/>
          <w:szCs w:val="32"/>
          <w:highlight w:val="none"/>
          <w:lang w:val="en-US" w:eastAsia="zh-CN" w:bidi="ar-SA"/>
        </w:rPr>
        <w:t>（三）</w:t>
      </w:r>
      <w:bookmarkEnd w:id="14"/>
      <w:r>
        <w:rPr>
          <w:rFonts w:hint="eastAsia" w:ascii="楷体" w:hAnsi="楷体" w:eastAsia="楷体" w:cs="楷体"/>
          <w:b w:val="0"/>
          <w:bCs w:val="0"/>
          <w:snapToGrid/>
          <w:color w:val="000000"/>
          <w:kern w:val="0"/>
          <w:sz w:val="32"/>
          <w:szCs w:val="32"/>
          <w:highlight w:val="none"/>
          <w:lang w:val="en-US" w:eastAsia="zh-CN" w:bidi="ar-SA"/>
        </w:rPr>
        <w:t>养护标准不明确</w:t>
      </w:r>
      <w:bookmarkEnd w:id="15"/>
      <w:bookmarkEnd w:id="16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养护标准和养护资金不匹配。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default" w:ascii="楷体" w:hAnsi="楷体" w:eastAsia="楷体" w:cs="楷体"/>
          <w:b w:val="0"/>
          <w:bCs w:val="0"/>
          <w:color w:val="auto"/>
          <w:highlight w:val="none"/>
          <w:lang w:val="en-US" w:eastAsia="zh-CN"/>
        </w:rPr>
      </w:pPr>
      <w:bookmarkStart w:id="17" w:name="_Toc17142"/>
      <w:bookmarkStart w:id="18" w:name="_Toc1889"/>
      <w:bookmarkStart w:id="19" w:name="_Toc30055"/>
      <w:r>
        <w:rPr>
          <w:rFonts w:hint="eastAsia" w:ascii="楷体" w:hAnsi="楷体" w:eastAsia="楷体" w:cs="楷体"/>
          <w:b w:val="0"/>
          <w:bCs w:val="0"/>
          <w:color w:val="auto"/>
          <w:highlight w:val="none"/>
          <w:lang w:val="en-US" w:eastAsia="zh-CN"/>
        </w:rPr>
        <w:t>（四）绿化</w:t>
      </w:r>
      <w:r>
        <w:rPr>
          <w:rFonts w:hint="eastAsia" w:ascii="楷体" w:hAnsi="楷体" w:eastAsia="楷体" w:cs="楷体"/>
          <w:b w:val="0"/>
          <w:bCs w:val="0"/>
          <w:snapToGrid/>
          <w:color w:val="000000"/>
          <w:kern w:val="0"/>
          <w:sz w:val="32"/>
          <w:szCs w:val="32"/>
          <w:highlight w:val="none"/>
          <w:lang w:val="en-US" w:eastAsia="zh-CN" w:bidi="ar-SA"/>
        </w:rPr>
        <w:t>养护</w:t>
      </w:r>
      <w:r>
        <w:rPr>
          <w:rFonts w:hint="eastAsia" w:ascii="楷体" w:hAnsi="楷体" w:eastAsia="楷体" w:cs="楷体"/>
          <w:b w:val="0"/>
          <w:bCs w:val="0"/>
          <w:color w:val="auto"/>
          <w:highlight w:val="none"/>
          <w:lang w:val="en-US" w:eastAsia="zh-CN"/>
        </w:rPr>
        <w:t>考核办法制定不严谨</w:t>
      </w:r>
      <w:bookmarkEnd w:id="17"/>
      <w:bookmarkEnd w:id="18"/>
      <w:bookmarkEnd w:id="19"/>
    </w:p>
    <w:p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880"/>
        <w:textAlignment w:val="baseline"/>
        <w:rPr>
          <w:rFonts w:hint="default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市城管局制定的绿化养护考核办法个别内容需完善，譬如关于年终奖励，内容制定奖惩性不足，监督效果不明显。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eastAsia" w:ascii="楷体" w:hAnsi="楷体" w:eastAsia="楷体" w:cs="楷体"/>
          <w:b w:val="0"/>
          <w:bCs w:val="0"/>
          <w:color w:val="auto"/>
          <w:highlight w:val="none"/>
          <w:lang w:val="en-US" w:eastAsia="zh-CN"/>
        </w:rPr>
      </w:pPr>
      <w:bookmarkStart w:id="20" w:name="_Toc30561"/>
      <w:bookmarkStart w:id="21" w:name="_Toc28975"/>
      <w:bookmarkStart w:id="22" w:name="_Toc11474"/>
      <w:r>
        <w:rPr>
          <w:rFonts w:hint="eastAsia" w:ascii="楷体" w:hAnsi="楷体" w:eastAsia="楷体" w:cs="楷体"/>
          <w:b w:val="0"/>
          <w:bCs w:val="0"/>
          <w:color w:val="auto"/>
          <w:highlight w:val="none"/>
          <w:lang w:val="en-US" w:eastAsia="zh-CN"/>
        </w:rPr>
        <w:t>（五）养护</w:t>
      </w:r>
      <w:r>
        <w:rPr>
          <w:rFonts w:hint="eastAsia" w:ascii="楷体" w:hAnsi="楷体" w:eastAsia="楷体" w:cs="楷体"/>
          <w:b w:val="0"/>
          <w:bCs w:val="0"/>
          <w:snapToGrid/>
          <w:color w:val="000000"/>
          <w:kern w:val="0"/>
          <w:sz w:val="32"/>
          <w:szCs w:val="32"/>
          <w:highlight w:val="none"/>
          <w:lang w:val="en-US" w:eastAsia="zh-CN" w:bidi="ar-SA"/>
        </w:rPr>
        <w:t>技术</w:t>
      </w:r>
      <w:r>
        <w:rPr>
          <w:rFonts w:hint="eastAsia" w:ascii="楷体" w:hAnsi="楷体" w:eastAsia="楷体" w:cs="楷体"/>
          <w:b w:val="0"/>
          <w:bCs w:val="0"/>
          <w:color w:val="auto"/>
          <w:highlight w:val="none"/>
          <w:lang w:val="en-US" w:eastAsia="zh-CN"/>
        </w:rPr>
        <w:t>力量需进一步加强</w:t>
      </w:r>
      <w:bookmarkEnd w:id="20"/>
      <w:bookmarkEnd w:id="21"/>
      <w:bookmarkEnd w:id="22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880"/>
        <w:jc w:val="both"/>
        <w:textAlignment w:val="baseline"/>
        <w:rPr>
          <w:rFonts w:hint="eastAsia"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绿化养护单位工作在一线的职工</w:t>
      </w:r>
      <w:r>
        <w:rPr>
          <w:rFonts w:hint="eastAsia"/>
          <w:lang w:val="en-US" w:eastAsia="zh-CN"/>
        </w:rPr>
        <w:t>，</w:t>
      </w:r>
      <w:r>
        <w:rPr>
          <w:rFonts w:hint="eastAsia" w:ascii="Times New Roman" w:hAnsi="Times New Roman"/>
          <w:lang w:val="en-US" w:eastAsia="zh-CN"/>
        </w:rPr>
        <w:t>年龄在50岁以上的</w:t>
      </w:r>
      <w:r>
        <w:rPr>
          <w:rFonts w:hint="eastAsia"/>
          <w:lang w:val="en-US" w:eastAsia="zh-CN"/>
        </w:rPr>
        <w:t>占比</w:t>
      </w:r>
      <w:r>
        <w:rPr>
          <w:rFonts w:hint="eastAsia" w:ascii="Times New Roman" w:hAnsi="Times New Roman"/>
          <w:lang w:val="en-US" w:eastAsia="zh-CN"/>
        </w:rPr>
        <w:t>68%，高中以下学历占比89%，</w:t>
      </w:r>
      <w:r>
        <w:rPr>
          <w:rFonts w:hint="eastAsia"/>
          <w:lang w:val="en-US" w:eastAsia="zh-CN"/>
        </w:rPr>
        <w:t>存在</w:t>
      </w:r>
      <w:r>
        <w:rPr>
          <w:rFonts w:hint="eastAsia" w:ascii="Times New Roman" w:hAnsi="Times New Roman"/>
          <w:lang w:val="en-US" w:eastAsia="zh-CN"/>
        </w:rPr>
        <w:t>年龄偏大，文化水平偏低，养护管理水平不高，未经过专业的植物绿化养护培训，对修剪造型缺乏足够的认识，创新意识不强。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>有关建议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default"/>
          <w:b w:val="0"/>
          <w:bCs w:val="0"/>
          <w:lang w:val="en-US" w:eastAsia="zh-CN"/>
        </w:rPr>
      </w:pPr>
      <w:bookmarkStart w:id="23" w:name="_Toc27132"/>
      <w:bookmarkStart w:id="24" w:name="_Toc8154"/>
      <w:bookmarkStart w:id="25" w:name="_Toc26175"/>
      <w:r>
        <w:rPr>
          <w:rFonts w:hint="eastAsia"/>
          <w:b w:val="0"/>
          <w:bCs w:val="0"/>
          <w:lang w:val="en-US" w:eastAsia="zh-CN"/>
        </w:rPr>
        <w:t>（一）</w:t>
      </w:r>
      <w:bookmarkEnd w:id="23"/>
      <w:bookmarkStart w:id="26" w:name="_Toc7103"/>
      <w:r>
        <w:rPr>
          <w:rFonts w:hint="eastAsia"/>
          <w:b w:val="0"/>
          <w:bCs w:val="0"/>
          <w:lang w:val="en-US" w:eastAsia="zh-CN"/>
        </w:rPr>
        <w:t>加强财务管理，规范项目资金使用</w:t>
      </w:r>
      <w:bookmarkEnd w:id="24"/>
      <w:bookmarkEnd w:id="25"/>
      <w:bookmarkEnd w:id="26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建议严格执行相关财务管理规定，按照预算资金批复要求</w:t>
      </w:r>
      <w:bookmarkStart w:id="39" w:name="_GoBack"/>
      <w:bookmarkEnd w:id="39"/>
      <w:r>
        <w:rPr>
          <w:rFonts w:hint="eastAsia"/>
          <w:lang w:val="en-US" w:eastAsia="zh-CN"/>
        </w:rPr>
        <w:t>，实行专账核算，建立项目资金台账，对该专项资金的流向、使用内容作出明确标识，以便后期进行监督管理。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default"/>
          <w:b w:val="0"/>
          <w:bCs w:val="0"/>
          <w:lang w:val="en-US" w:eastAsia="zh-CN"/>
        </w:rPr>
      </w:pPr>
      <w:bookmarkStart w:id="27" w:name="_Toc4658"/>
      <w:bookmarkStart w:id="28" w:name="_Toc10349"/>
      <w:bookmarkStart w:id="29" w:name="_Toc14790"/>
      <w:r>
        <w:rPr>
          <w:rFonts w:hint="eastAsia"/>
          <w:b w:val="0"/>
          <w:bCs w:val="0"/>
        </w:rPr>
        <w:t>（</w:t>
      </w:r>
      <w:r>
        <w:rPr>
          <w:rFonts w:hint="eastAsia"/>
          <w:b w:val="0"/>
          <w:bCs w:val="0"/>
          <w:lang w:val="en-US" w:eastAsia="zh-CN"/>
        </w:rPr>
        <w:t>二</w:t>
      </w:r>
      <w:r>
        <w:rPr>
          <w:rFonts w:hint="eastAsia"/>
          <w:b w:val="0"/>
          <w:bCs w:val="0"/>
        </w:rPr>
        <w:t>）</w:t>
      </w:r>
      <w:bookmarkEnd w:id="27"/>
      <w:bookmarkEnd w:id="28"/>
      <w:r>
        <w:rPr>
          <w:rFonts w:hint="eastAsia"/>
          <w:b w:val="0"/>
          <w:bCs w:val="0"/>
          <w:lang w:val="en-US" w:eastAsia="zh-CN"/>
        </w:rPr>
        <w:t>完善整改过程可追溯性，提高资料归档及时性</w:t>
      </w:r>
      <w:bookmarkEnd w:id="29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建立问题整改登记簿，整改完成效果应形成文字资料并配备相应工作照片作为档案留存。严格遵守档案管理制度，对绿化养护管理工作文字资料、影像资料、图片资料及时收集归类，按照单位内控管理制度要求进行档案封存。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default"/>
          <w:b w:val="0"/>
          <w:bCs w:val="0"/>
          <w:lang w:val="en-US" w:eastAsia="zh-CN"/>
        </w:rPr>
      </w:pPr>
      <w:bookmarkStart w:id="30" w:name="_Toc9321"/>
      <w:bookmarkStart w:id="31" w:name="_Toc24495"/>
      <w:bookmarkStart w:id="32" w:name="_Toc5445"/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三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  <w:lang w:val="en-US" w:eastAsia="zh-CN"/>
        </w:rPr>
        <w:t>明确养护金额，保障资金到位</w:t>
      </w:r>
      <w:bookmarkEnd w:id="30"/>
      <w:bookmarkEnd w:id="31"/>
      <w:bookmarkEnd w:id="32"/>
    </w:p>
    <w:p>
      <w:pPr>
        <w:bidi w:val="0"/>
        <w:rPr>
          <w:rFonts w:hint="eastAsia" w:ascii="仿宋" w:hAnsi="仿宋" w:eastAsia="仿宋" w:cs="仿宋"/>
          <w:b w:val="0"/>
          <w:bCs w:val="0"/>
          <w:color w:val="auto"/>
          <w:szCs w:val="32"/>
          <w:highlight w:val="none"/>
          <w:lang w:val="en-US" w:eastAsia="zh-CN"/>
        </w:rPr>
      </w:pPr>
      <w:r>
        <w:rPr>
          <w:rFonts w:hint="eastAsia"/>
          <w:lang w:val="en-US" w:eastAsia="zh-CN"/>
        </w:rPr>
        <w:t>参照国家园林绿化技术标准，结合我市实际情况，制定准确、可行的园林绿化养护标准及相对应的定额标准，并委托专家进行科学论证，报财政部门审批确定资金总量。财政部门根据财政资金总量，预留绿化养护资金，按时拨付至绿化养护管理单位及养护单位，保障绿化养护项目的顺利实施。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eastAsia"/>
          <w:b w:val="0"/>
          <w:bCs w:val="0"/>
          <w:lang w:val="en-US" w:eastAsia="zh-CN"/>
        </w:rPr>
      </w:pPr>
      <w:bookmarkStart w:id="33" w:name="_Toc6265"/>
      <w:bookmarkStart w:id="34" w:name="_Toc27327"/>
      <w:bookmarkStart w:id="35" w:name="_Toc29433"/>
      <w:r>
        <w:rPr>
          <w:rFonts w:hint="eastAsia"/>
          <w:b w:val="0"/>
          <w:bCs w:val="0"/>
          <w:lang w:val="en-US" w:eastAsia="zh-CN"/>
        </w:rPr>
        <w:t>（四）完善考核标准，提高资金使用效益</w:t>
      </w:r>
      <w:bookmarkEnd w:id="33"/>
      <w:bookmarkEnd w:id="34"/>
      <w:bookmarkEnd w:id="35"/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建议市城管局召开内部会议，完善优化考核标准，严把奖惩质量，市财政局按照实际评分结果进行资金拨付，层层监控，落实监督管理单位职责，使财政资金发挥最大效益。</w:t>
      </w:r>
    </w:p>
    <w:p>
      <w:pPr>
        <w:pStyle w:val="3"/>
        <w:numPr>
          <w:ilvl w:val="0"/>
          <w:numId w:val="0"/>
        </w:numPr>
        <w:bidi w:val="0"/>
        <w:ind w:leftChars="200"/>
        <w:rPr>
          <w:rFonts w:hint="default" w:ascii="楷体" w:hAnsi="楷体" w:eastAsia="楷体" w:cs="楷体"/>
          <w:b w:val="0"/>
          <w:bCs w:val="0"/>
          <w:snapToGrid/>
          <w:sz w:val="32"/>
          <w:szCs w:val="32"/>
          <w:highlight w:val="none"/>
          <w:lang w:val="en-US" w:eastAsia="zh-CN"/>
        </w:rPr>
      </w:pPr>
      <w:bookmarkStart w:id="36" w:name="_Toc29186"/>
      <w:bookmarkStart w:id="37" w:name="_Toc12059"/>
      <w:bookmarkStart w:id="38" w:name="_Toc13994"/>
      <w:r>
        <w:rPr>
          <w:rFonts w:hint="eastAsia" w:ascii="楷体" w:hAnsi="楷体" w:eastAsia="楷体" w:cs="楷体"/>
          <w:b w:val="0"/>
          <w:bCs w:val="0"/>
          <w:snapToGrid/>
          <w:sz w:val="32"/>
          <w:szCs w:val="32"/>
          <w:highlight w:val="none"/>
        </w:rPr>
        <w:t>（</w:t>
      </w:r>
      <w:r>
        <w:rPr>
          <w:rFonts w:hint="eastAsia" w:ascii="楷体" w:hAnsi="楷体" w:eastAsia="楷体" w:cs="楷体"/>
          <w:b w:val="0"/>
          <w:bCs w:val="0"/>
          <w:snapToGrid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楷体" w:hAnsi="楷体" w:eastAsia="楷体" w:cs="楷体"/>
          <w:b w:val="0"/>
          <w:bCs w:val="0"/>
          <w:snapToGrid/>
          <w:sz w:val="32"/>
          <w:szCs w:val="32"/>
          <w:highlight w:val="none"/>
        </w:rPr>
        <w:t>）</w:t>
      </w:r>
      <w:r>
        <w:rPr>
          <w:rFonts w:hint="eastAsia" w:ascii="楷体" w:hAnsi="楷体" w:eastAsia="楷体" w:cs="楷体"/>
          <w:b w:val="0"/>
          <w:bCs w:val="0"/>
          <w:snapToGrid/>
          <w:sz w:val="32"/>
          <w:szCs w:val="32"/>
          <w:highlight w:val="none"/>
          <w:lang w:val="en-US" w:eastAsia="zh-CN"/>
        </w:rPr>
        <w:t>加强</w:t>
      </w:r>
      <w:r>
        <w:rPr>
          <w:rFonts w:hint="eastAsia" w:ascii="楷体" w:hAnsi="楷体" w:cs="楷体"/>
          <w:b w:val="0"/>
          <w:bCs w:val="0"/>
          <w:snapToGrid/>
          <w:sz w:val="32"/>
          <w:szCs w:val="32"/>
          <w:highlight w:val="none"/>
          <w:lang w:val="en-US" w:eastAsia="zh-CN"/>
        </w:rPr>
        <w:t>员工技能培训</w:t>
      </w:r>
      <w:r>
        <w:rPr>
          <w:rFonts w:hint="eastAsia" w:ascii="楷体" w:hAnsi="楷体" w:eastAsia="楷体" w:cs="楷体"/>
          <w:b w:val="0"/>
          <w:bCs w:val="0"/>
          <w:snapToGrid/>
          <w:sz w:val="32"/>
          <w:szCs w:val="32"/>
          <w:highlight w:val="none"/>
          <w:lang w:val="en-US" w:eastAsia="zh-CN"/>
        </w:rPr>
        <w:t>，</w:t>
      </w:r>
      <w:bookmarkEnd w:id="36"/>
      <w:bookmarkEnd w:id="37"/>
      <w:r>
        <w:rPr>
          <w:rFonts w:hint="eastAsia" w:ascii="楷体" w:hAnsi="楷体" w:cs="楷体"/>
          <w:b w:val="0"/>
          <w:bCs w:val="0"/>
          <w:snapToGrid/>
          <w:sz w:val="32"/>
          <w:szCs w:val="32"/>
          <w:highlight w:val="none"/>
          <w:lang w:val="en-US" w:eastAsia="zh-CN"/>
        </w:rPr>
        <w:t>注重人才培养</w:t>
      </w:r>
      <w:bookmarkEnd w:id="38"/>
    </w:p>
    <w:p>
      <w:pPr>
        <w:bidi w:val="0"/>
        <w:rPr>
          <w:rFonts w:hint="default" w:ascii="仿宋" w:hAnsi="仿宋" w:eastAsia="仿宋" w:cs="仿宋"/>
          <w:b w:val="0"/>
          <w:bCs w:val="0"/>
          <w:color w:val="auto"/>
          <w:sz w:val="36"/>
          <w:szCs w:val="36"/>
          <w:lang w:val="en-US" w:eastAsia="zh-CN"/>
        </w:rPr>
      </w:pPr>
      <w:r>
        <w:rPr>
          <w:rFonts w:hint="eastAsia"/>
          <w:lang w:val="en-US" w:eastAsia="zh-CN"/>
        </w:rPr>
        <w:t>建议各养护单位要重视对各养护组职工的业务技能培训，积极推动机械化养护管理，提高工作效率，注重对集修剪和造景于一身的复合型人才的培养，组织人员考察学习先进城市绿化养护管理经验，为更好地进行养护管理工作打下扎实的基础。</w:t>
      </w:r>
    </w:p>
    <w:p/>
    <w:sectPr>
      <w:headerReference r:id="rId5" w:type="default"/>
      <w:footerReference r:id="rId6" w:type="default"/>
      <w:pgSz w:w="11906" w:h="16838"/>
      <w:pgMar w:top="1701" w:right="1474" w:bottom="1701" w:left="1587" w:header="851" w:footer="1474" w:gutter="0"/>
      <w:pgNumType w:fmt="decimal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星简黑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360" w:firstLine="0" w:firstLineChars="0"/>
      <w:jc w:val="left"/>
      <w:textAlignment w:val="auto"/>
      <w:rPr>
        <w:rFonts w:ascii="仿宋" w:hAnsi="仿宋" w:eastAsia="仿宋" w:cs="仿宋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8EE934"/>
    <w:multiLevelType w:val="singleLevel"/>
    <w:tmpl w:val="948EE934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F1E78915"/>
    <w:multiLevelType w:val="singleLevel"/>
    <w:tmpl w:val="F1E78915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FFF70FAF"/>
    <w:multiLevelType w:val="multilevel"/>
    <w:tmpl w:val="FFF70FAF"/>
    <w:lvl w:ilvl="0" w:tentative="0">
      <w:start w:val="1"/>
      <w:numFmt w:val="decimalEnclosedCircleChinese"/>
      <w:pStyle w:val="6"/>
      <w:suff w:val="nothing"/>
      <w:lvlText w:val="%1"/>
      <w:lvlJc w:val="left"/>
      <w:pPr>
        <w:tabs>
          <w:tab w:val="left" w:pos="0"/>
        </w:tabs>
        <w:ind w:left="420" w:leftChars="0" w:hanging="23" w:firstLineChars="0"/>
      </w:pPr>
      <w:rPr>
        <w:rFonts w:hint="eastAsia"/>
      </w:rPr>
    </w:lvl>
    <w:lvl w:ilvl="1" w:tentative="0">
      <w:start w:val="1"/>
      <w:numFmt w:val="decimal"/>
      <w:lvlText w:val="%2)"/>
      <w:lvlJc w:val="left"/>
      <w:pPr>
        <w:tabs>
          <w:tab w:val="left" w:pos="840"/>
        </w:tabs>
        <w:ind w:left="1237" w:leftChars="0" w:hanging="420" w:firstLineChars="0"/>
      </w:pPr>
      <w:rPr>
        <w:rFonts w:hint="default"/>
      </w:rPr>
    </w:lvl>
    <w:lvl w:ilvl="2" w:tentative="0">
      <w:start w:val="1"/>
      <w:numFmt w:val="lowerLetter"/>
      <w:lvlText w:val="%3."/>
      <w:lvlJc w:val="left"/>
      <w:pPr>
        <w:tabs>
          <w:tab w:val="left" w:pos="1260"/>
        </w:tabs>
        <w:ind w:left="1657" w:leftChars="0" w:hanging="420" w:firstLineChars="0"/>
      </w:pPr>
      <w:rPr>
        <w:rFonts w:hint="default"/>
      </w:rPr>
    </w:lvl>
    <w:lvl w:ilvl="3" w:tentative="0">
      <w:start w:val="1"/>
      <w:numFmt w:val="lowerLetter"/>
      <w:lvlText w:val="%4)"/>
      <w:lvlJc w:val="left"/>
      <w:pPr>
        <w:tabs>
          <w:tab w:val="left" w:pos="1680"/>
        </w:tabs>
        <w:ind w:left="2077" w:leftChars="0" w:hanging="420" w:firstLineChars="0"/>
      </w:pPr>
      <w:rPr>
        <w:rFonts w:hint="default"/>
      </w:rPr>
    </w:lvl>
    <w:lvl w:ilvl="4" w:tentative="0">
      <w:start w:val="1"/>
      <w:numFmt w:val="lowerRoman"/>
      <w:lvlText w:val="%5."/>
      <w:lvlJc w:val="left"/>
      <w:pPr>
        <w:tabs>
          <w:tab w:val="left" w:pos="2100"/>
        </w:tabs>
        <w:ind w:left="2497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)"/>
      <w:lvlJc w:val="left"/>
      <w:pPr>
        <w:tabs>
          <w:tab w:val="left" w:pos="2520"/>
        </w:tabs>
        <w:ind w:left="2917" w:leftChars="0" w:hanging="420" w:firstLineChars="0"/>
      </w:pPr>
      <w:rPr>
        <w:rFonts w:hint="default"/>
      </w:rPr>
    </w:lvl>
    <w:lvl w:ilvl="6" w:tentative="0">
      <w:start w:val="1"/>
      <w:numFmt w:val="lowerLetter"/>
      <w:lvlText w:val="%7."/>
      <w:lvlJc w:val="left"/>
      <w:pPr>
        <w:tabs>
          <w:tab w:val="left" w:pos="2940"/>
        </w:tabs>
        <w:ind w:left="3337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757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4177" w:leftChars="0" w:hanging="420" w:firstLineChars="0"/>
      </w:pPr>
      <w:rPr>
        <w:rFonts w:hint="default"/>
      </w:rPr>
    </w:lvl>
  </w:abstractNum>
  <w:abstractNum w:abstractNumId="3">
    <w:nsid w:val="3018DB66"/>
    <w:multiLevelType w:val="singleLevel"/>
    <w:tmpl w:val="3018DB66"/>
    <w:lvl w:ilvl="0" w:tentative="0">
      <w:start w:val="1"/>
      <w:numFmt w:val="decimal"/>
      <w:pStyle w:val="5"/>
      <w:suff w:val="nothing"/>
      <w:lvlText w:val="(%1)"/>
      <w:lvlJc w:val="left"/>
      <w:pPr>
        <w:ind w:left="454" w:leftChars="0" w:hanging="454" w:firstLineChars="0"/>
      </w:pPr>
      <w:rPr>
        <w:rFonts w:hint="default"/>
      </w:rPr>
    </w:lvl>
  </w:abstractNum>
  <w:abstractNum w:abstractNumId="4">
    <w:nsid w:val="7BE67D49"/>
    <w:multiLevelType w:val="singleLevel"/>
    <w:tmpl w:val="7BE67D49"/>
    <w:lvl w:ilvl="0" w:tentative="0">
      <w:start w:val="1"/>
      <w:numFmt w:val="decimal"/>
      <w:pStyle w:val="4"/>
      <w:suff w:val="nothing"/>
      <w:lvlText w:val="%1.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wM2NmNjc2ZDBkN2JjNmRlNzllNTUwMzQ2OWJhYjAifQ=="/>
  </w:docVars>
  <w:rsids>
    <w:rsidRoot w:val="5B260952"/>
    <w:rsid w:val="02A91074"/>
    <w:rsid w:val="036E7EF6"/>
    <w:rsid w:val="04703638"/>
    <w:rsid w:val="07617329"/>
    <w:rsid w:val="0CB43C31"/>
    <w:rsid w:val="203C58F3"/>
    <w:rsid w:val="203F08F5"/>
    <w:rsid w:val="20C60DCF"/>
    <w:rsid w:val="246C2851"/>
    <w:rsid w:val="2649638A"/>
    <w:rsid w:val="271F6215"/>
    <w:rsid w:val="292F6A67"/>
    <w:rsid w:val="2BBC4989"/>
    <w:rsid w:val="2C2D37D8"/>
    <w:rsid w:val="3437612A"/>
    <w:rsid w:val="36AF43E8"/>
    <w:rsid w:val="373F11B0"/>
    <w:rsid w:val="388512B2"/>
    <w:rsid w:val="3D9B4C73"/>
    <w:rsid w:val="3DBA7995"/>
    <w:rsid w:val="429D798A"/>
    <w:rsid w:val="44623109"/>
    <w:rsid w:val="46CC1167"/>
    <w:rsid w:val="48414721"/>
    <w:rsid w:val="4B064F25"/>
    <w:rsid w:val="4D2678A8"/>
    <w:rsid w:val="52414F94"/>
    <w:rsid w:val="532F278B"/>
    <w:rsid w:val="535317BF"/>
    <w:rsid w:val="55122522"/>
    <w:rsid w:val="57336347"/>
    <w:rsid w:val="58540A6D"/>
    <w:rsid w:val="5B260952"/>
    <w:rsid w:val="63B20139"/>
    <w:rsid w:val="69134F49"/>
    <w:rsid w:val="6B667B99"/>
    <w:rsid w:val="6BD4493D"/>
    <w:rsid w:val="6DB33789"/>
    <w:rsid w:val="6F0A709D"/>
    <w:rsid w:val="74E1661C"/>
    <w:rsid w:val="74E346FF"/>
    <w:rsid w:val="75C53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kinsoku/>
      <w:autoSpaceDE w:val="0"/>
      <w:autoSpaceDN w:val="0"/>
      <w:adjustRightInd w:val="0"/>
      <w:snapToGrid w:val="0"/>
      <w:spacing w:line="580" w:lineRule="exact"/>
      <w:ind w:firstLine="880" w:firstLineChars="200"/>
      <w:jc w:val="both"/>
      <w:textAlignment w:val="baseline"/>
    </w:pPr>
    <w:rPr>
      <w:rFonts w:ascii="Times New Roman" w:hAnsi="Times New Roman" w:eastAsia="仿宋" w:cs="Arial"/>
      <w:snapToGrid w:val="0"/>
      <w:color w:val="000000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widowControl w:val="0"/>
      <w:numPr>
        <w:ilvl w:val="0"/>
        <w:numId w:val="1"/>
      </w:numPr>
      <w:overflowPunct w:val="0"/>
      <w:spacing w:line="580" w:lineRule="exact"/>
      <w:ind w:firstLine="200" w:firstLineChars="200"/>
      <w:outlineLvl w:val="0"/>
    </w:pPr>
    <w:rPr>
      <w:rFonts w:ascii="Arial" w:hAnsi="Arial" w:eastAsia="黑体" w:cs="Arial"/>
      <w:bCs/>
      <w:snapToGrid w:val="0"/>
      <w:color w:val="000000"/>
      <w:kern w:val="44"/>
      <w:sz w:val="32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beforeAutospacing="0" w:afterAutospacing="0" w:line="580" w:lineRule="exact"/>
      <w:outlineLvl w:val="1"/>
    </w:pPr>
    <w:rPr>
      <w:rFonts w:ascii="Arial" w:hAnsi="Arial" w:eastAsia="楷体"/>
      <w:b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580" w:lineRule="exact"/>
      <w:ind w:left="0" w:firstLine="643" w:firstLineChars="200"/>
      <w:outlineLvl w:val="2"/>
    </w:pPr>
    <w:rPr>
      <w:rFonts w:ascii="仿宋" w:hAnsi="仿宋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4"/>
      </w:numPr>
      <w:spacing w:beforeLines="0" w:beforeAutospacing="0" w:afterLines="0" w:afterAutospacing="0" w:line="580" w:lineRule="exact"/>
      <w:ind w:left="0" w:firstLine="562" w:firstLineChars="200"/>
      <w:outlineLvl w:val="3"/>
    </w:pPr>
    <w:rPr>
      <w:rFonts w:ascii="黑体" w:hAnsi="黑体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0"/>
        <w:numId w:val="5"/>
      </w:numPr>
      <w:spacing w:beforeLines="0" w:beforeAutospacing="0" w:afterLines="0" w:afterAutospacing="0" w:line="580" w:lineRule="exact"/>
      <w:ind w:left="0" w:firstLine="640" w:firstLineChars="200"/>
      <w:outlineLvl w:val="4"/>
    </w:pPr>
    <w:rPr>
      <w:rFonts w:ascii="仿宋" w:hAnsi="仿宋" w:eastAsia="仿宋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next w:val="8"/>
    <w:qFormat/>
    <w:uiPriority w:val="0"/>
    <w:pPr>
      <w:widowControl w:val="0"/>
      <w:overflowPunct w:val="0"/>
      <w:spacing w:line="580" w:lineRule="exact"/>
      <w:ind w:firstLine="200" w:firstLineChars="200"/>
      <w:jc w:val="both"/>
      <w:textAlignment w:val="auto"/>
    </w:pPr>
    <w:rPr>
      <w:rFonts w:ascii="仿宋_GB2312" w:hAnsi="仿宋_GB2312" w:eastAsia="仿宋_GB2312" w:cs="仿宋_GB2312"/>
      <w:kern w:val="2"/>
      <w:sz w:val="30"/>
      <w:szCs w:val="32"/>
      <w:lang w:val="zh-CN" w:bidi="zh-CN"/>
    </w:rPr>
  </w:style>
  <w:style w:type="paragraph" w:styleId="8">
    <w:name w:val="Body Text Indent 2"/>
    <w:basedOn w:val="1"/>
    <w:next w:val="1"/>
    <w:unhideWhenUsed/>
    <w:qFormat/>
    <w:uiPriority w:val="0"/>
    <w:pPr>
      <w:ind w:firstLine="560"/>
    </w:pPr>
    <w:rPr>
      <w:rFonts w:ascii="宋体" w:hAnsi="Times New Roman" w:eastAsia="宋体" w:cs="Times New Roman"/>
      <w:sz w:val="28"/>
      <w:szCs w:val="24"/>
    </w:rPr>
  </w:style>
  <w:style w:type="paragraph" w:styleId="9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1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ind w:firstLine="0" w:firstLineChars="0"/>
      <w:jc w:val="center"/>
    </w:pPr>
    <w:rPr>
      <w:rFonts w:ascii="Times New Roman" w:hAnsi="Times New Roman" w:eastAsia="楷体"/>
      <w:sz w:val="18"/>
      <w:szCs w:val="18"/>
    </w:rPr>
  </w:style>
  <w:style w:type="paragraph" w:styleId="12">
    <w:name w:val="toc 1"/>
    <w:basedOn w:val="13"/>
    <w:next w:val="13"/>
    <w:qFormat/>
    <w:uiPriority w:val="0"/>
  </w:style>
  <w:style w:type="paragraph" w:customStyle="1" w:styleId="13">
    <w:name w:val="闻政正文"/>
    <w:basedOn w:val="1"/>
    <w:qFormat/>
    <w:uiPriority w:val="3"/>
    <w:pPr>
      <w:spacing w:line="500" w:lineRule="exact"/>
    </w:pPr>
    <w:rPr>
      <w:rFonts w:ascii="Times New Roman" w:hAnsi="Times New Roman"/>
      <w:sz w:val="28"/>
      <w:szCs w:val="28"/>
      <w:lang w:val="zh-CN"/>
    </w:rPr>
  </w:style>
  <w:style w:type="paragraph" w:styleId="14">
    <w:name w:val="Body Text First Indent 2"/>
    <w:basedOn w:val="9"/>
    <w:qFormat/>
    <w:uiPriority w:val="0"/>
    <w:pPr>
      <w:ind w:firstLine="420"/>
    </w:pPr>
  </w:style>
  <w:style w:type="character" w:customStyle="1" w:styleId="17">
    <w:name w:val="标题 1 Char"/>
    <w:basedOn w:val="16"/>
    <w:link w:val="2"/>
    <w:qFormat/>
    <w:uiPriority w:val="9"/>
    <w:rPr>
      <w:rFonts w:ascii="Arial" w:hAnsi="Arial" w:eastAsia="黑体" w:cs="Arial"/>
      <w:bCs/>
      <w:snapToGrid w:val="0"/>
      <w:color w:val="000000"/>
      <w:kern w:val="44"/>
      <w:sz w:val="32"/>
      <w:szCs w:val="44"/>
    </w:rPr>
  </w:style>
  <w:style w:type="paragraph" w:customStyle="1" w:styleId="18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简体" w:hAnsi="Times New Roman" w:eastAsia="方正小标宋简体" w:cs="方正小标宋简体"/>
      <w:color w:val="000000"/>
      <w:sz w:val="24"/>
      <w:szCs w:val="24"/>
      <w:lang w:val="en-US" w:eastAsia="zh-CN" w:bidi="ar-SA"/>
    </w:rPr>
  </w:style>
  <w:style w:type="paragraph" w:customStyle="1" w:styleId="19">
    <w:name w:val="正文字体"/>
    <w:basedOn w:val="1"/>
    <w:qFormat/>
    <w:uiPriority w:val="0"/>
    <w:pPr>
      <w:widowControl w:val="0"/>
      <w:kinsoku/>
      <w:autoSpaceDE/>
      <w:autoSpaceDN/>
      <w:adjustRightInd/>
      <w:snapToGrid/>
      <w:spacing w:line="580" w:lineRule="exact"/>
      <w:ind w:firstLine="200" w:firstLineChars="200"/>
      <w:textAlignment w:val="auto"/>
    </w:pPr>
    <w:rPr>
      <w:rFonts w:ascii="仿宋" w:hAnsi="仿宋" w:eastAsia="仿宋_GB2312" w:cs="Times New Roman"/>
      <w:snapToGrid/>
      <w:color w:val="auto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2023-12-13T07:45:00Z</dcterms:created>
  <dc:creator>赵兴晨</dc:creator>
  <cp:lastModifiedBy>瑾王</cp:lastModifiedBy>
  <dcterms:modified xsi:type="dcterms:W3CDTF">2023-12-27T03:32:21Z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C6C1C10F104B4ABAAAD592D5DB1EADC7_13</vt:lpwstr>
  </property>
</Properties>
</file>