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720" w:lineRule="exact"/>
        <w:ind w:left="0" w:leftChars="0" w:right="0" w:firstLine="0" w:firstLineChars="0"/>
        <w:jc w:val="center"/>
        <w:textAlignment w:val="auto"/>
        <w:rPr>
          <w:rFonts w:hint="eastAsia" w:ascii="方正小标宋简体" w:hAnsi="方正小标宋简体" w:eastAsia="方正小标宋简体" w:cs="方正小标宋简体"/>
          <w:kern w:val="0"/>
          <w:sz w:val="44"/>
          <w:szCs w:val="44"/>
          <w:lang w:val="en-US" w:eastAsia="zh-CN" w:bidi="ar"/>
        </w:rPr>
      </w:pPr>
      <w:r>
        <w:rPr>
          <w:rFonts w:hint="eastAsia" w:ascii="方正小标宋简体" w:hAnsi="方正小标宋简体" w:eastAsia="方正小标宋简体" w:cs="方正小标宋简体"/>
          <w:kern w:val="0"/>
          <w:sz w:val="44"/>
          <w:szCs w:val="44"/>
          <w:lang w:val="en-US" w:eastAsia="zh-CN" w:bidi="ar"/>
        </w:rPr>
        <w:t>2022年度菏泽市工伤保险基金</w:t>
      </w:r>
    </w:p>
    <w:p>
      <w:pPr>
        <w:keepNext w:val="0"/>
        <w:keepLines w:val="0"/>
        <w:pageBreakBefore w:val="0"/>
        <w:widowControl w:val="0"/>
        <w:kinsoku/>
        <w:wordWrap/>
        <w:overflowPunct/>
        <w:topLinePunct w:val="0"/>
        <w:autoSpaceDE/>
        <w:autoSpaceDN/>
        <w:bidi w:val="0"/>
        <w:adjustRightInd/>
        <w:snapToGrid/>
        <w:spacing w:line="720" w:lineRule="exact"/>
        <w:ind w:left="0" w:leftChars="0" w:firstLine="0" w:firstLineChars="0"/>
        <w:jc w:val="center"/>
        <w:textAlignment w:val="auto"/>
        <w:rPr>
          <w:rFonts w:hint="eastAsia" w:ascii="方正小标宋简体" w:hAnsi="方正小标宋简体" w:eastAsia="方正小标宋简体" w:cs="方正小标宋简体"/>
          <w:kern w:val="0"/>
          <w:sz w:val="44"/>
          <w:szCs w:val="44"/>
          <w:lang w:val="en-US" w:eastAsia="zh-CN" w:bidi="ar"/>
        </w:rPr>
      </w:pPr>
      <w:r>
        <w:rPr>
          <w:rFonts w:hint="eastAsia" w:ascii="方正小标宋简体" w:hAnsi="方正小标宋简体" w:eastAsia="方正小标宋简体" w:cs="方正小标宋简体"/>
          <w:kern w:val="0"/>
          <w:sz w:val="44"/>
          <w:szCs w:val="44"/>
          <w:lang w:val="en-US" w:eastAsia="zh-CN" w:bidi="ar"/>
        </w:rPr>
        <w:t>项目支出绩效评价报告</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jc w:val="both"/>
        <w:textAlignment w:val="auto"/>
        <w:rPr>
          <w:rFonts w:hint="eastAsia" w:ascii="黑体" w:hAnsi="宋体" w:eastAsia="黑体" w:cs="黑体"/>
          <w:kern w:val="2"/>
          <w:sz w:val="32"/>
          <w:szCs w:val="32"/>
          <w:lang w:val="en-US" w:eastAsia="zh-CN" w:bidi="ar"/>
        </w:rPr>
      </w:pP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jc w:val="both"/>
        <w:textAlignment w:val="auto"/>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一、项目基本情况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outlineLvl w:val="1"/>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pPr>
      <w:bookmarkStart w:id="0" w:name="_Toc14584"/>
      <w:bookmarkStart w:id="1" w:name="_Toc11956"/>
      <w:bookmarkStart w:id="2" w:name="_Toc22223"/>
      <w:bookmarkStart w:id="3" w:name="_Toc22800"/>
      <w:bookmarkStart w:id="4" w:name="_Toc18192"/>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（一）</w:t>
      </w:r>
      <w:bookmarkEnd w:id="0"/>
      <w:bookmarkEnd w:id="1"/>
      <w:bookmarkEnd w:id="2"/>
      <w:bookmarkEnd w:id="3"/>
      <w:bookmarkEnd w:id="4"/>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项目概况</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3" w:firstLineChars="200"/>
        <w:textAlignment w:val="auto"/>
        <w:outlineLvl w:val="1"/>
        <w:rPr>
          <w:rFonts w:hint="default" w:ascii="仿宋" w:hAnsi="仿宋" w:eastAsia="仿宋" w:cs="仿宋"/>
          <w:b/>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1.实施内容</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outlineLvl w:val="1"/>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2022年度菏泽市工伤保险基金收入主要由用人单位缴纳的工伤保险费和工伤保险基金的利息构成，工伤保险基金按照“以支定收、收支平衡”的原则确定费率。根据《工伤保险条例》规定，国家按照不同行业的工伤风险程度确定行业的差别费率，并根据工伤保险费使用、工伤发生率等情况在每个行业内</w:t>
      </w:r>
      <w:bookmarkStart w:id="105" w:name="_GoBack"/>
      <w:bookmarkEnd w:id="105"/>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确定费率档次。工伤保险基金存入社会保障基金财政专户，用于该条例规定的工伤保险待遇、劳动能力鉴定、工伤预防宣传、培训等费用，以及法律法规规定的用于工伤保险的其他费用支出。工伤保险基金严格实行收支两条线管理，纳入财政专户管理，专款专用。任何单位和个人不得截留、挪用和坐收坐支基金，确保工伤保险“制度统一、机制健全、预防优先、分级管理、待遇公平、持续发展”。</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3" w:firstLineChars="200"/>
        <w:textAlignment w:val="auto"/>
        <w:outlineLvl w:val="1"/>
        <w:rPr>
          <w:rFonts w:hint="eastAsia" w:ascii="仿宋" w:hAnsi="仿宋" w:eastAsia="仿宋" w:cs="仿宋"/>
          <w:b/>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2.组织实施</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outlineLvl w:val="1"/>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菏泽市人力资源和社会保障局，作为市级的人力资源和社会保障行政部门，负责本市的工伤保险工作。其所属的社会保险事业服务中心，作为工伤保险经办机构，负责承办本地区具体工伤保险事务。</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outlineLvl w:val="1"/>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菏泽市税务局负责依法征收工伤保险费，并及时缴入国库后按规定转财政部门工伤保险基金财政专户；依法对缴费单位缴纳工伤保险费的检查、催报、清欠、处罚，依照规定将有关缴费情况反馈给社会保险经办机构，并做好相应的衔接工作。</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3" w:firstLineChars="200"/>
        <w:textAlignment w:val="auto"/>
        <w:outlineLvl w:val="1"/>
        <w:rPr>
          <w:rFonts w:hint="eastAsia" w:ascii="仿宋" w:hAnsi="仿宋" w:eastAsia="仿宋" w:cs="仿宋"/>
          <w:b/>
          <w:bCs/>
          <w:color w:val="000000" w:themeColor="text1"/>
          <w:sz w:val="32"/>
          <w:szCs w:val="32"/>
          <w:highlight w:val="none"/>
          <w:lang w:val="en-US" w:eastAsia="zh-CN"/>
          <w14:textFill>
            <w14:solidFill>
              <w14:schemeClr w14:val="tx1"/>
            </w14:solidFill>
          </w14:textFill>
        </w:rPr>
      </w:pPr>
      <w:r>
        <w:rPr>
          <w:rFonts w:hint="eastAsia" w:ascii="仿宋" w:hAnsi="仿宋" w:eastAsia="仿宋" w:cs="仿宋"/>
          <w:b/>
          <w:bCs/>
          <w:color w:val="000000" w:themeColor="text1"/>
          <w:sz w:val="32"/>
          <w:szCs w:val="32"/>
          <w:highlight w:val="none"/>
          <w:lang w:val="en-US" w:eastAsia="zh-CN"/>
          <w14:textFill>
            <w14:solidFill>
              <w14:schemeClr w14:val="tx1"/>
            </w14:solidFill>
          </w14:textFill>
        </w:rPr>
        <w:t>3.资金投入和使用情况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outlineLvl w:val="1"/>
        <w:rPr>
          <w:rFonts w:hint="default" w:ascii="仿宋" w:hAnsi="仿宋" w:eastAsia="仿宋" w:cs="仿宋"/>
          <w:b w:val="0"/>
          <w:bCs w:val="0"/>
          <w:color w:val="000000" w:themeColor="text1"/>
          <w:sz w:val="32"/>
          <w:szCs w:val="32"/>
          <w:highlight w:val="none"/>
          <w:lang w:val="en-US" w:eastAsia="zh-CN"/>
          <w14:textFill>
            <w14:solidFill>
              <w14:schemeClr w14:val="tx1"/>
            </w14:solidFill>
          </w14:textFill>
        </w:rPr>
      </w:pPr>
      <w:r>
        <w:rPr>
          <w:rFonts w:hint="eastAsia" w:ascii="仿宋" w:hAnsi="仿宋" w:eastAsia="仿宋" w:cs="仿宋"/>
          <w:b w:val="0"/>
          <w:bCs w:val="0"/>
          <w:color w:val="000000" w:themeColor="text1"/>
          <w:sz w:val="32"/>
          <w:szCs w:val="32"/>
          <w:highlight w:val="none"/>
          <w:lang w:val="en-US" w:eastAsia="zh-CN"/>
          <w14:textFill>
            <w14:solidFill>
              <w14:schemeClr w14:val="tx1"/>
            </w14:solidFill>
          </w14:textFill>
        </w:rPr>
        <w:t xml:space="preserve">2022年度菏泽市全年工伤保险基金总收入23,938.61万元，基金总支出20,958.66万元，截止2022年末，滚存结余30,176.42万元。 </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right="0" w:rightChars="0" w:firstLine="640" w:firstLineChars="200"/>
        <w:jc w:val="both"/>
        <w:textAlignment w:val="auto"/>
        <w:rPr>
          <w:rFonts w:hint="eastAsia" w:ascii="楷体" w:hAnsi="楷体" w:eastAsia="楷体" w:cs="楷体"/>
          <w:kern w:val="2"/>
          <w:sz w:val="32"/>
          <w:szCs w:val="32"/>
          <w:lang w:val="en-US" w:eastAsia="zh-CN" w:bidi="ar"/>
        </w:rPr>
      </w:pPr>
      <w:r>
        <w:rPr>
          <w:rFonts w:hint="eastAsia" w:ascii="楷体" w:hAnsi="楷体" w:eastAsia="楷体" w:cs="楷体"/>
          <w:kern w:val="2"/>
          <w:sz w:val="32"/>
          <w:szCs w:val="32"/>
          <w:lang w:val="en-US" w:eastAsia="zh-CN" w:bidi="ar"/>
        </w:rPr>
        <w:t>（二）绩效目标</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Chars="200" w:right="0" w:rightChars="0" w:firstLine="321" w:firstLineChars="100"/>
        <w:jc w:val="both"/>
        <w:textAlignment w:val="auto"/>
        <w:rPr>
          <w:rFonts w:hint="eastAsia" w:ascii="仿宋" w:hAnsi="仿宋" w:eastAsia="仿宋" w:cs="仿宋"/>
          <w:b/>
          <w:bCs/>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32"/>
          <w:szCs w:val="32"/>
          <w:highlight w:val="none"/>
          <w:lang w:val="en-US" w:eastAsia="zh-CN" w:bidi="ar-SA"/>
          <w14:textFill>
            <w14:solidFill>
              <w14:schemeClr w14:val="tx1"/>
            </w14:solidFill>
          </w14:textFill>
        </w:rPr>
        <w:t>1.总体绩效目标</w:t>
      </w:r>
    </w:p>
    <w:p>
      <w:pPr>
        <w:keepNext w:val="0"/>
        <w:keepLines w:val="0"/>
        <w:pageBreakBefore w:val="0"/>
        <w:widowControl w:val="0"/>
        <w:kinsoku/>
        <w:wordWrap/>
        <w:overflowPunct/>
        <w:topLinePunct w:val="0"/>
        <w:autoSpaceDE/>
        <w:autoSpaceDN/>
        <w:bidi w:val="0"/>
        <w:adjustRightInd/>
        <w:snapToGrid/>
        <w:spacing w:line="580" w:lineRule="exact"/>
        <w:ind w:right="0" w:firstLine="640" w:firstLineChars="200"/>
        <w:jc w:val="both"/>
        <w:textAlignment w:val="auto"/>
        <w:rPr>
          <w:rFonts w:hint="eastAsia" w:ascii="仿宋" w:hAnsi="仿宋" w:eastAsia="仿宋" w:cs="仿宋"/>
          <w:b w:val="0"/>
          <w:bCs w:val="0"/>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32"/>
          <w:szCs w:val="32"/>
          <w:highlight w:val="none"/>
          <w:lang w:val="en-US" w:eastAsia="zh-CN" w:bidi="ar-SA"/>
          <w14:textFill>
            <w14:solidFill>
              <w14:schemeClr w14:val="tx1"/>
            </w14:solidFill>
          </w14:textFill>
        </w:rPr>
        <w:t>严格落实《工伤保险条例》、国家及山东省相关法律法规，强化工伤保险扩面征缴、基金收支管理，促进精算平衡，确保基金可持续运行，维护群众参加工伤保险和享受工伤保险待遇的合法权益，使群众共享经济社会发展成果，促进社会和谐稳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rPr>
          <w:rFonts w:hint="eastAsia" w:ascii="仿宋" w:hAnsi="仿宋" w:eastAsia="仿宋" w:cs="仿宋"/>
          <w:b/>
          <w:bCs/>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b/>
          <w:bCs/>
          <w:color w:val="000000" w:themeColor="text1"/>
          <w:kern w:val="2"/>
          <w:sz w:val="32"/>
          <w:szCs w:val="32"/>
          <w:highlight w:val="none"/>
          <w:lang w:val="en-US" w:eastAsia="zh-CN" w:bidi="ar-SA"/>
          <w14:textFill>
            <w14:solidFill>
              <w14:schemeClr w14:val="tx1"/>
            </w14:solidFill>
          </w14:textFill>
        </w:rPr>
        <w:t>2.年度绩效目标</w:t>
      </w:r>
    </w:p>
    <w:p>
      <w:pPr>
        <w:numPr>
          <w:ilvl w:val="0"/>
          <w:numId w:val="0"/>
        </w:numPr>
        <w:ind w:firstLine="640" w:firstLineChars="200"/>
        <w:rPr>
          <w:rFonts w:hint="default" w:ascii="仿宋" w:hAnsi="仿宋" w:eastAsia="仿宋" w:cs="仿宋"/>
          <w:b w:val="0"/>
          <w:bCs w:val="0"/>
          <w:color w:val="000000" w:themeColor="text1"/>
          <w:kern w:val="2"/>
          <w:sz w:val="32"/>
          <w:szCs w:val="32"/>
          <w:highlight w:val="none"/>
          <w:lang w:val="en-US" w:eastAsia="zh-CN" w:bidi="ar-SA"/>
          <w14:textFill>
            <w14:solidFill>
              <w14:schemeClr w14:val="tx1"/>
            </w14:solidFill>
          </w14:textFill>
        </w:rPr>
      </w:pPr>
      <w:r>
        <w:rPr>
          <w:rFonts w:hint="eastAsia" w:ascii="仿宋" w:hAnsi="仿宋" w:eastAsia="仿宋" w:cs="仿宋"/>
          <w:b w:val="0"/>
          <w:bCs w:val="0"/>
          <w:color w:val="000000" w:themeColor="text1"/>
          <w:kern w:val="2"/>
          <w:sz w:val="32"/>
          <w:szCs w:val="32"/>
          <w:highlight w:val="none"/>
          <w:lang w:val="en-US" w:eastAsia="zh-CN" w:bidi="ar-SA"/>
          <w14:textFill>
            <w14:solidFill>
              <w14:schemeClr w14:val="tx1"/>
            </w14:solidFill>
          </w14:textFill>
        </w:rPr>
        <w:t>积极宣传落实工伤保险政策，全面完成年度参保扩面目标任务，按期足额发放参保人员工伤保险待遇，加强工伤保险基金和经办业务的稽核，以及待遇领取对象的认证工作，提高基金运行保障水平，确保参保人员工伤待遇保障，维护社会和谐稳定。</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color w:val="auto"/>
          <w:lang w:val="en-US" w:eastAsia="zh-CN"/>
        </w:rPr>
      </w:pPr>
      <w:r>
        <w:rPr>
          <w:rFonts w:hint="eastAsia" w:ascii="楷体_GB2312" w:eastAsia="楷体_GB2312" w:cs="楷体_GB2312"/>
          <w:kern w:val="2"/>
          <w:sz w:val="32"/>
          <w:szCs w:val="32"/>
          <w:lang w:val="en-US" w:eastAsia="zh-CN" w:bidi="ar"/>
        </w:rPr>
        <w:t>二、评价基本情况</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leftChars="0" w:firstLine="640" w:firstLineChars="200"/>
        <w:textAlignment w:val="auto"/>
        <w:outlineLvl w:val="1"/>
        <w:rPr>
          <w:rFonts w:hint="eastAsia" w:ascii="楷体" w:hAnsi="楷体" w:eastAsia="楷体" w:cs="楷体"/>
          <w:bCs w:val="0"/>
          <w:color w:val="auto"/>
          <w:kern w:val="2"/>
          <w:sz w:val="32"/>
          <w:szCs w:val="22"/>
          <w:highlight w:val="none"/>
          <w:lang w:val="en-US" w:eastAsia="zh-CN" w:bidi="ar-SA"/>
        </w:rPr>
      </w:pPr>
      <w:bookmarkStart w:id="5" w:name="_Toc12938"/>
      <w:bookmarkStart w:id="6" w:name="_Toc4605"/>
      <w:bookmarkStart w:id="7" w:name="_Toc7990"/>
      <w:bookmarkStart w:id="8" w:name="_Toc27539"/>
      <w:bookmarkStart w:id="9" w:name="_Toc9836"/>
      <w:r>
        <w:rPr>
          <w:rFonts w:hint="eastAsia" w:ascii="楷体" w:hAnsi="楷体" w:eastAsia="楷体" w:cs="楷体"/>
          <w:bCs w:val="0"/>
          <w:color w:val="auto"/>
          <w:kern w:val="2"/>
          <w:sz w:val="32"/>
          <w:szCs w:val="22"/>
          <w:highlight w:val="none"/>
          <w:lang w:val="en-US" w:eastAsia="zh-CN" w:bidi="ar-SA"/>
        </w:rPr>
        <w:t>（一）评价目的</w:t>
      </w:r>
      <w:bookmarkEnd w:id="5"/>
      <w:bookmarkEnd w:id="6"/>
      <w:bookmarkEnd w:id="7"/>
      <w:bookmarkEnd w:id="8"/>
      <w:bookmarkEnd w:id="9"/>
      <w:r>
        <w:rPr>
          <w:rFonts w:hint="eastAsia" w:ascii="楷体" w:hAnsi="楷体" w:eastAsia="楷体" w:cs="楷体"/>
          <w:bCs w:val="0"/>
          <w:color w:val="auto"/>
          <w:kern w:val="2"/>
          <w:sz w:val="32"/>
          <w:szCs w:val="22"/>
          <w:highlight w:val="none"/>
          <w:lang w:val="en-US" w:eastAsia="zh-CN" w:bidi="ar-SA"/>
        </w:rPr>
        <w:t>、对象和范围</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leftChars="0" w:firstLine="640" w:firstLineChars="200"/>
        <w:textAlignment w:val="auto"/>
        <w:outlineLvl w:val="1"/>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通过本次评价为后续项目实施提供借鉴和参考，促进预算管理、完善政策和改进管理措施，进而提高财政资源配置效率和使用效益发挥。</w:t>
      </w:r>
      <w:bookmarkStart w:id="10" w:name="_Toc17239"/>
      <w:bookmarkStart w:id="11" w:name="_Toc2586"/>
      <w:bookmarkStart w:id="12" w:name="_Toc5127"/>
      <w:bookmarkStart w:id="13" w:name="_Toc22103"/>
      <w:r>
        <w:rPr>
          <w:rFonts w:hint="eastAsia" w:ascii="仿宋" w:hAnsi="仿宋" w:eastAsia="仿宋" w:cs="仿宋"/>
          <w:bCs w:val="0"/>
          <w:color w:val="auto"/>
          <w:kern w:val="2"/>
          <w:sz w:val="32"/>
          <w:szCs w:val="22"/>
          <w:highlight w:val="none"/>
          <w:lang w:val="en-US" w:eastAsia="zh-CN" w:bidi="ar-SA"/>
        </w:rPr>
        <w:t>评价对</w:t>
      </w:r>
      <w:bookmarkEnd w:id="10"/>
      <w:bookmarkEnd w:id="11"/>
      <w:bookmarkEnd w:id="12"/>
      <w:bookmarkEnd w:id="13"/>
      <w:r>
        <w:rPr>
          <w:rFonts w:hint="eastAsia" w:ascii="仿宋" w:hAnsi="仿宋" w:eastAsia="仿宋" w:cs="仿宋"/>
          <w:bCs w:val="0"/>
          <w:color w:val="auto"/>
          <w:kern w:val="2"/>
          <w:sz w:val="32"/>
          <w:szCs w:val="22"/>
          <w:highlight w:val="none"/>
          <w:lang w:val="en-US" w:eastAsia="zh-CN" w:bidi="ar-SA"/>
        </w:rPr>
        <w:t>象为</w:t>
      </w:r>
      <w:r>
        <w:rPr>
          <w:rFonts w:hint="eastAsia" w:ascii="仿宋" w:hAnsi="仿宋" w:eastAsia="仿宋" w:cs="仿宋"/>
          <w:bCs w:val="0"/>
          <w:color w:val="auto"/>
          <w:kern w:val="2"/>
          <w:sz w:val="32"/>
          <w:szCs w:val="22"/>
          <w:highlight w:val="none"/>
          <w:lang w:val="zh-CN" w:eastAsia="zh-CN" w:bidi="ar-SA"/>
        </w:rPr>
        <w:t>202</w:t>
      </w:r>
      <w:r>
        <w:rPr>
          <w:rFonts w:hint="eastAsia" w:ascii="仿宋" w:hAnsi="仿宋" w:eastAsia="仿宋" w:cs="仿宋"/>
          <w:bCs w:val="0"/>
          <w:color w:val="auto"/>
          <w:kern w:val="2"/>
          <w:sz w:val="32"/>
          <w:szCs w:val="22"/>
          <w:highlight w:val="none"/>
          <w:lang w:val="en-US" w:eastAsia="zh-CN" w:bidi="ar-SA"/>
        </w:rPr>
        <w:t>2</w:t>
      </w:r>
      <w:r>
        <w:rPr>
          <w:rFonts w:hint="eastAsia" w:ascii="仿宋" w:hAnsi="仿宋" w:eastAsia="仿宋" w:cs="仿宋"/>
          <w:bCs w:val="0"/>
          <w:color w:val="auto"/>
          <w:kern w:val="2"/>
          <w:sz w:val="32"/>
          <w:szCs w:val="22"/>
          <w:highlight w:val="none"/>
          <w:lang w:val="zh-CN" w:eastAsia="zh-CN" w:bidi="ar-SA"/>
        </w:rPr>
        <w:t>年度</w:t>
      </w:r>
      <w:r>
        <w:rPr>
          <w:rFonts w:hint="eastAsia" w:ascii="仿宋" w:hAnsi="仿宋" w:eastAsia="仿宋" w:cs="仿宋"/>
          <w:bCs w:val="0"/>
          <w:color w:val="auto"/>
          <w:kern w:val="2"/>
          <w:sz w:val="32"/>
          <w:szCs w:val="22"/>
          <w:highlight w:val="none"/>
          <w:lang w:val="en-US" w:eastAsia="zh-CN" w:bidi="ar-SA"/>
        </w:rPr>
        <w:t>菏泽市</w:t>
      </w:r>
      <w:r>
        <w:rPr>
          <w:rFonts w:hint="eastAsia" w:ascii="仿宋" w:hAnsi="仿宋" w:eastAsia="仿宋" w:cs="仿宋"/>
          <w:bCs w:val="0"/>
          <w:color w:val="auto"/>
          <w:kern w:val="2"/>
          <w:sz w:val="32"/>
          <w:szCs w:val="22"/>
          <w:highlight w:val="none"/>
          <w:lang w:val="zh-CN" w:eastAsia="zh-CN" w:bidi="ar-SA"/>
        </w:rPr>
        <w:t>工伤保险基金。</w:t>
      </w:r>
      <w:r>
        <w:rPr>
          <w:rFonts w:hint="eastAsia" w:ascii="仿宋" w:hAnsi="仿宋" w:eastAsia="仿宋" w:cs="仿宋"/>
          <w:bCs w:val="0"/>
          <w:color w:val="auto"/>
          <w:kern w:val="2"/>
          <w:sz w:val="32"/>
          <w:szCs w:val="22"/>
          <w:highlight w:val="none"/>
          <w:lang w:val="en-US" w:eastAsia="zh-CN" w:bidi="ar-SA"/>
        </w:rPr>
        <w:t>本次绩效评价范围包括工伤保险基金预算管理工作开展、社会保险基金管理相关政策落实、社会保险基金可持续运行等方面情况。</w:t>
      </w:r>
    </w:p>
    <w:p>
      <w:pPr>
        <w:pStyle w:val="2"/>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ascii="楷体" w:hAnsi="楷体" w:eastAsia="楷体" w:cs="楷体"/>
          <w:kern w:val="2"/>
          <w:sz w:val="32"/>
          <w:szCs w:val="32"/>
          <w:lang w:val="en-US" w:eastAsia="zh-CN" w:bidi="ar"/>
        </w:rPr>
      </w:pPr>
      <w:r>
        <w:rPr>
          <w:rFonts w:hint="eastAsia" w:ascii="楷体" w:hAnsi="楷体" w:eastAsia="楷体" w:cs="楷体"/>
          <w:kern w:val="2"/>
          <w:sz w:val="32"/>
          <w:szCs w:val="32"/>
          <w:lang w:val="en-US" w:eastAsia="zh-CN" w:bidi="ar"/>
        </w:rPr>
        <w:t>（二）绩效评价指标体系</w:t>
      </w:r>
    </w:p>
    <w:p>
      <w:pPr>
        <w:keepNext w:val="0"/>
        <w:keepLines w:val="0"/>
        <w:pageBreakBefore w:val="0"/>
        <w:widowControl w:val="0"/>
        <w:kinsoku/>
        <w:wordWrap/>
        <w:overflowPunct/>
        <w:topLinePunct w:val="0"/>
        <w:autoSpaceDE/>
        <w:autoSpaceDN/>
        <w:bidi w:val="0"/>
        <w:adjustRightInd/>
        <w:snapToGrid/>
        <w:spacing w:line="580" w:lineRule="exact"/>
        <w:ind w:right="0" w:firstLine="640" w:firstLineChars="200"/>
        <w:jc w:val="both"/>
        <w:textAlignment w:val="auto"/>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绩效评价指标体系从决策、过程、产出、效益四个方面，作为一级指标，对工伤保险基金进行全面绩效评价。</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三、绩效评价结论</w:t>
      </w:r>
    </w:p>
    <w:p>
      <w:pPr>
        <w:keepNext w:val="0"/>
        <w:keepLines w:val="0"/>
        <w:pageBreakBefore w:val="0"/>
        <w:widowControl w:val="0"/>
        <w:kinsoku/>
        <w:wordWrap/>
        <w:overflowPunct/>
        <w:topLinePunct w:val="0"/>
        <w:autoSpaceDE/>
        <w:autoSpaceDN/>
        <w:bidi w:val="0"/>
        <w:adjustRightInd/>
        <w:snapToGrid/>
        <w:spacing w:line="580" w:lineRule="exact"/>
        <w:ind w:right="0" w:firstLine="640" w:firstLineChars="200"/>
        <w:jc w:val="both"/>
        <w:textAlignment w:val="auto"/>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通过现场和非现场评价，结合基础数据填报、问卷调查和访谈等方式获取的数据信息，2022年度菏泽市工伤保险基金项目最终评价得分为91.5分，评价结论为“优”。（见下表）</w:t>
      </w:r>
    </w:p>
    <w:p>
      <w:pPr>
        <w:pStyle w:val="6"/>
        <w:keepNext w:val="0"/>
        <w:keepLines w:val="0"/>
        <w:pageBreakBefore w:val="0"/>
        <w:numPr>
          <w:ilvl w:val="0"/>
          <w:numId w:val="0"/>
        </w:numPr>
        <w:kinsoku/>
        <w:wordWrap/>
        <w:overflowPunct/>
        <w:topLinePunct w:val="0"/>
        <w:autoSpaceDE/>
        <w:autoSpaceDN/>
        <w:bidi w:val="0"/>
        <w:adjustRightInd/>
        <w:snapToGrid/>
        <w:spacing w:line="580" w:lineRule="exact"/>
        <w:jc w:val="center"/>
        <w:rPr>
          <w:rFonts w:hint="eastAsia"/>
          <w:lang w:val="en-US" w:eastAsia="zh-CN"/>
        </w:rPr>
      </w:pPr>
      <w:r>
        <w:rPr>
          <w:rFonts w:hint="eastAsia" w:ascii="黑体" w:hAnsi="黑体" w:eastAsia="黑体" w:cs="黑体"/>
          <w:color w:val="auto"/>
          <w:sz w:val="24"/>
          <w:szCs w:val="24"/>
          <w:lang w:val="zh-CN" w:eastAsia="zh-CN"/>
        </w:rPr>
        <w:t>2022年度</w:t>
      </w:r>
      <w:r>
        <w:rPr>
          <w:rFonts w:hint="eastAsia" w:ascii="黑体" w:hAnsi="黑体" w:eastAsia="黑体" w:cs="黑体"/>
          <w:color w:val="auto"/>
          <w:sz w:val="24"/>
          <w:szCs w:val="24"/>
          <w:lang w:val="en-US" w:eastAsia="zh-CN"/>
        </w:rPr>
        <w:t>菏泽市</w:t>
      </w:r>
      <w:r>
        <w:rPr>
          <w:rFonts w:hint="eastAsia" w:ascii="黑体" w:hAnsi="黑体" w:eastAsia="黑体" w:cs="黑体"/>
          <w:color w:val="auto"/>
          <w:sz w:val="24"/>
          <w:szCs w:val="24"/>
          <w:lang w:val="zh-CN" w:eastAsia="zh-CN"/>
        </w:rPr>
        <w:t>工伤保险基金项目绩效评价得分情况表</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color w:val="auto"/>
                <w:kern w:val="2"/>
                <w:sz w:val="21"/>
                <w:szCs w:val="21"/>
                <w:vertAlign w:val="baseline"/>
                <w:lang w:val="zh-CN" w:eastAsia="zh-CN" w:bidi="ar-SA"/>
              </w:rPr>
            </w:pPr>
            <w:r>
              <w:rPr>
                <w:rFonts w:hint="eastAsia" w:ascii="宋体" w:hAnsi="宋体" w:eastAsia="宋体" w:cs="宋体"/>
                <w:b/>
                <w:bCs/>
                <w:color w:val="auto"/>
                <w:kern w:val="2"/>
                <w:sz w:val="21"/>
                <w:szCs w:val="21"/>
                <w:vertAlign w:val="baseline"/>
                <w:lang w:val="zh-CN" w:eastAsia="zh-CN" w:bidi="ar-SA"/>
              </w:rPr>
              <w:t>评价指标</w:t>
            </w:r>
          </w:p>
        </w:tc>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color w:val="auto"/>
                <w:kern w:val="2"/>
                <w:sz w:val="21"/>
                <w:szCs w:val="21"/>
                <w:vertAlign w:val="baseline"/>
                <w:lang w:val="zh-CN" w:eastAsia="zh-CN" w:bidi="ar-SA"/>
              </w:rPr>
            </w:pPr>
            <w:r>
              <w:rPr>
                <w:rFonts w:hint="eastAsia" w:ascii="宋体" w:hAnsi="宋体" w:eastAsia="宋体" w:cs="宋体"/>
                <w:b/>
                <w:bCs/>
                <w:color w:val="auto"/>
                <w:kern w:val="2"/>
                <w:sz w:val="21"/>
                <w:szCs w:val="21"/>
                <w:vertAlign w:val="baseline"/>
                <w:lang w:val="zh-CN" w:eastAsia="zh-CN" w:bidi="ar-SA"/>
              </w:rPr>
              <w:t>权重</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color w:val="auto"/>
                <w:kern w:val="2"/>
                <w:sz w:val="21"/>
                <w:szCs w:val="21"/>
                <w:vertAlign w:val="baseline"/>
                <w:lang w:val="zh-CN" w:eastAsia="zh-CN" w:bidi="ar-SA"/>
              </w:rPr>
            </w:pPr>
            <w:r>
              <w:rPr>
                <w:rFonts w:hint="eastAsia" w:ascii="宋体" w:hAnsi="宋体" w:eastAsia="宋体" w:cs="宋体"/>
                <w:b/>
                <w:bCs/>
                <w:color w:val="auto"/>
                <w:kern w:val="2"/>
                <w:sz w:val="21"/>
                <w:szCs w:val="21"/>
                <w:vertAlign w:val="baseline"/>
                <w:lang w:val="zh-CN" w:eastAsia="zh-CN" w:bidi="ar-SA"/>
              </w:rPr>
              <w:t>评价得分</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bCs/>
                <w:color w:val="auto"/>
                <w:kern w:val="2"/>
                <w:sz w:val="21"/>
                <w:szCs w:val="21"/>
                <w:vertAlign w:val="baseline"/>
                <w:lang w:val="zh-CN" w:eastAsia="zh-CN" w:bidi="ar-SA"/>
              </w:rPr>
            </w:pPr>
            <w:r>
              <w:rPr>
                <w:rFonts w:hint="eastAsia" w:ascii="宋体" w:hAnsi="宋体" w:eastAsia="宋体" w:cs="宋体"/>
                <w:b/>
                <w:bCs/>
                <w:color w:val="auto"/>
                <w:kern w:val="2"/>
                <w:sz w:val="21"/>
                <w:szCs w:val="21"/>
                <w:vertAlign w:val="baseline"/>
                <w:lang w:val="zh-CN" w:eastAsia="zh-CN" w:bidi="ar-SA"/>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1.决策</w:t>
            </w:r>
          </w:p>
        </w:tc>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10</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9</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2.过程</w:t>
            </w:r>
          </w:p>
        </w:tc>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35</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31.5</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3.产出</w:t>
            </w:r>
          </w:p>
        </w:tc>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25</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23</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4.效益</w:t>
            </w:r>
          </w:p>
        </w:tc>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30</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28</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93.33%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eastAsia" w:ascii="宋体" w:hAnsi="宋体" w:eastAsia="宋体" w:cs="宋体"/>
                <w:b w:val="0"/>
                <w:bCs/>
                <w:color w:val="auto"/>
                <w:sz w:val="21"/>
                <w:szCs w:val="21"/>
                <w:vertAlign w:val="baseline"/>
                <w:lang w:val="zh-CN" w:eastAsia="zh-CN"/>
              </w:rPr>
            </w:pPr>
            <w:r>
              <w:rPr>
                <w:rFonts w:hint="eastAsia" w:ascii="宋体" w:hAnsi="宋体" w:eastAsia="宋体" w:cs="宋体"/>
                <w:b w:val="0"/>
                <w:bCs/>
                <w:color w:val="auto"/>
                <w:sz w:val="21"/>
                <w:szCs w:val="21"/>
                <w:vertAlign w:val="baseline"/>
                <w:lang w:val="zh-CN" w:eastAsia="zh-CN"/>
              </w:rPr>
              <w:t>合</w:t>
            </w:r>
            <w:r>
              <w:rPr>
                <w:rFonts w:hint="eastAsia" w:ascii="宋体" w:hAnsi="宋体" w:eastAsia="宋体" w:cs="宋体"/>
                <w:b w:val="0"/>
                <w:bCs/>
                <w:color w:val="auto"/>
                <w:sz w:val="21"/>
                <w:szCs w:val="21"/>
                <w:vertAlign w:val="baseline"/>
                <w:lang w:val="en-US" w:eastAsia="zh-CN"/>
              </w:rPr>
              <w:t xml:space="preserve"> </w:t>
            </w:r>
            <w:r>
              <w:rPr>
                <w:rFonts w:hint="eastAsia" w:ascii="宋体" w:hAnsi="宋体" w:eastAsia="宋体" w:cs="宋体"/>
                <w:b w:val="0"/>
                <w:bCs/>
                <w:color w:val="auto"/>
                <w:sz w:val="21"/>
                <w:szCs w:val="21"/>
                <w:vertAlign w:val="baseline"/>
                <w:lang w:val="zh-CN" w:eastAsia="zh-CN"/>
              </w:rPr>
              <w:t>计</w:t>
            </w:r>
          </w:p>
        </w:tc>
        <w:tc>
          <w:tcPr>
            <w:tcW w:w="2130"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100</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vertAlign w:val="baseline"/>
                <w:lang w:val="en-US" w:eastAsia="zh-CN"/>
              </w:rPr>
              <w:t>91.5</w:t>
            </w:r>
          </w:p>
        </w:tc>
        <w:tc>
          <w:tcPr>
            <w:tcW w:w="2131" w:type="dxa"/>
            <w:vAlign w:val="center"/>
          </w:tcPr>
          <w:p>
            <w:pPr>
              <w:pStyle w:val="15"/>
              <w:keepNext w:val="0"/>
              <w:keepLines w:val="0"/>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宋体" w:hAnsi="宋体" w:eastAsia="宋体" w:cs="宋体"/>
                <w:b w:val="0"/>
                <w:bCs/>
                <w:color w:val="auto"/>
                <w:sz w:val="21"/>
                <w:szCs w:val="21"/>
                <w:vertAlign w:val="baseline"/>
                <w:lang w:val="en-US" w:eastAsia="zh-CN"/>
              </w:rPr>
            </w:pPr>
            <w:r>
              <w:rPr>
                <w:rFonts w:hint="eastAsia" w:ascii="宋体" w:hAnsi="宋体" w:eastAsia="宋体" w:cs="宋体"/>
                <w:b w:val="0"/>
                <w:bCs/>
                <w:color w:val="auto"/>
                <w:sz w:val="21"/>
                <w:szCs w:val="21"/>
                <w:highlight w:val="none"/>
                <w:vertAlign w:val="baseline"/>
                <w:lang w:val="en-US" w:eastAsia="zh-CN"/>
              </w:rPr>
              <w:t>91.50%</w:t>
            </w:r>
          </w:p>
        </w:tc>
      </w:tr>
    </w:tbl>
    <w:p>
      <w:pPr>
        <w:keepNext w:val="0"/>
        <w:keepLines w:val="0"/>
        <w:pageBreakBefore w:val="0"/>
        <w:widowControl w:val="0"/>
        <w:kinsoku/>
        <w:wordWrap/>
        <w:overflowPunct/>
        <w:topLinePunct w:val="0"/>
        <w:autoSpaceDE/>
        <w:autoSpaceDN/>
        <w:bidi w:val="0"/>
        <w:adjustRightInd/>
        <w:snapToGrid/>
        <w:spacing w:line="580" w:lineRule="exact"/>
        <w:ind w:right="0" w:firstLine="640" w:firstLineChars="200"/>
        <w:jc w:val="both"/>
        <w:textAlignment w:val="auto"/>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从绩效评价的得分情况来看，本项目基本完成了相应工作内容，实现了预期效益。</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leftChars="200" w:right="0" w:rightChars="0"/>
        <w:jc w:val="both"/>
        <w:textAlignment w:val="auto"/>
        <w:rPr>
          <w:rFonts w:hint="default" w:ascii="楷体_GB2312" w:hAnsi="Times New Roman" w:eastAsia="楷体_GB2312" w:cs="楷体_GB2312"/>
          <w:kern w:val="2"/>
          <w:sz w:val="32"/>
          <w:szCs w:val="32"/>
          <w:lang w:val="en-US" w:eastAsia="zh-CN" w:bidi="ar"/>
        </w:rPr>
      </w:pPr>
      <w:r>
        <w:rPr>
          <w:rFonts w:hint="eastAsia" w:ascii="楷体_GB2312" w:eastAsia="楷体_GB2312" w:cs="楷体_GB2312"/>
          <w:kern w:val="2"/>
          <w:sz w:val="32"/>
          <w:szCs w:val="32"/>
          <w:lang w:val="en-US" w:eastAsia="zh-CN" w:bidi="ar"/>
        </w:rPr>
        <w:t>四、项目主要绩效、存在问题及原因分析</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580" w:lineRule="exact"/>
        <w:ind w:right="0" w:rightChars="0"/>
        <w:jc w:val="both"/>
        <w:textAlignment w:val="auto"/>
        <w:rPr>
          <w:rFonts w:hint="default" w:ascii="楷体_GB2312" w:hAnsi="Times New Roman" w:eastAsia="楷体_GB2312" w:cs="楷体_GB2312"/>
          <w:kern w:val="2"/>
          <w:sz w:val="32"/>
          <w:szCs w:val="32"/>
          <w:lang w:val="en-US" w:eastAsia="zh-CN" w:bidi="ar"/>
        </w:rPr>
      </w:pPr>
      <w:r>
        <w:rPr>
          <w:rFonts w:hint="eastAsia" w:ascii="楷体_GB2312" w:eastAsia="楷体_GB2312" w:cs="楷体_GB2312"/>
          <w:kern w:val="2"/>
          <w:sz w:val="32"/>
          <w:szCs w:val="32"/>
          <w:lang w:val="en-US" w:eastAsia="zh-CN" w:bidi="ar"/>
        </w:rPr>
        <w:t xml:space="preserve">   （一）项目主要绩效</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bookmarkStart w:id="14" w:name="_Toc661"/>
      <w:bookmarkStart w:id="15" w:name="_Toc6568"/>
      <w:bookmarkStart w:id="16" w:name="_Toc31195"/>
      <w:bookmarkStart w:id="17" w:name="_Toc11587"/>
      <w:bookmarkStart w:id="18" w:name="_Toc30386"/>
      <w:r>
        <w:rPr>
          <w:rFonts w:hint="eastAsia" w:ascii="仿宋" w:hAnsi="仿宋" w:eastAsia="仿宋" w:cs="仿宋"/>
          <w:b/>
          <w:bCs/>
          <w:color w:val="auto"/>
          <w:kern w:val="2"/>
          <w:sz w:val="32"/>
          <w:szCs w:val="22"/>
          <w:highlight w:val="none"/>
          <w:lang w:val="en-US" w:eastAsia="zh-CN" w:bidi="ar-SA"/>
        </w:rPr>
        <w:t>1.</w:t>
      </w:r>
      <w:bookmarkEnd w:id="14"/>
      <w:bookmarkEnd w:id="15"/>
      <w:bookmarkEnd w:id="16"/>
      <w:bookmarkEnd w:id="17"/>
      <w:bookmarkEnd w:id="18"/>
      <w:bookmarkStart w:id="19" w:name="_Toc6698"/>
      <w:bookmarkStart w:id="20" w:name="_Toc10866"/>
      <w:bookmarkStart w:id="21" w:name="_Toc5564"/>
      <w:bookmarkStart w:id="22" w:name="_Toc5193"/>
      <w:r>
        <w:rPr>
          <w:rFonts w:hint="eastAsia" w:ascii="仿宋" w:hAnsi="仿宋" w:eastAsia="仿宋" w:cs="仿宋"/>
          <w:b/>
          <w:bCs/>
          <w:color w:val="auto"/>
          <w:kern w:val="2"/>
          <w:sz w:val="32"/>
          <w:szCs w:val="22"/>
          <w:highlight w:val="none"/>
          <w:lang w:val="en-US" w:eastAsia="zh-CN" w:bidi="ar-SA"/>
        </w:rPr>
        <w:t>深入调研把准需求</w:t>
      </w:r>
      <w:bookmarkEnd w:id="19"/>
      <w:bookmarkEnd w:id="20"/>
      <w:bookmarkEnd w:id="21"/>
      <w:bookmarkEnd w:id="22"/>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为未纳入《工伤保险条例》参保范围的人员提供职业伤害保障，弥补了菏泽市政策空白。目前已参保3.6万人，完成理赔2.6万元，发挥了“小补充大保障”作用，为“非标从业人员”提供了坚实的职业伤害保障。</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bookmarkStart w:id="23" w:name="_Toc25035"/>
      <w:bookmarkStart w:id="24" w:name="_Toc28242"/>
      <w:bookmarkStart w:id="25" w:name="_Toc23097"/>
      <w:bookmarkStart w:id="26" w:name="_Toc4005"/>
      <w:bookmarkStart w:id="27" w:name="_Toc23820"/>
      <w:r>
        <w:rPr>
          <w:rFonts w:hint="eastAsia" w:ascii="仿宋" w:hAnsi="仿宋" w:eastAsia="仿宋" w:cs="仿宋"/>
          <w:b/>
          <w:bCs/>
          <w:color w:val="auto"/>
          <w:kern w:val="2"/>
          <w:sz w:val="32"/>
          <w:szCs w:val="22"/>
          <w:highlight w:val="none"/>
          <w:lang w:val="en-US" w:eastAsia="zh-CN" w:bidi="ar-SA"/>
        </w:rPr>
        <w:t>2.创新服务供给，提升工伤服务精准</w:t>
      </w:r>
      <w:bookmarkEnd w:id="23"/>
      <w:r>
        <w:rPr>
          <w:rFonts w:hint="eastAsia" w:ascii="仿宋" w:hAnsi="仿宋" w:eastAsia="仿宋" w:cs="仿宋"/>
          <w:b/>
          <w:bCs/>
          <w:color w:val="auto"/>
          <w:kern w:val="2"/>
          <w:sz w:val="32"/>
          <w:szCs w:val="22"/>
          <w:highlight w:val="none"/>
          <w:lang w:val="en-US" w:eastAsia="zh-CN" w:bidi="ar-SA"/>
        </w:rPr>
        <w:t>度</w:t>
      </w:r>
      <w:bookmarkEnd w:id="24"/>
      <w:bookmarkEnd w:id="25"/>
      <w:bookmarkEnd w:id="26"/>
      <w:bookmarkEnd w:id="27"/>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推行个人全生命周期集成服务工伤保险“一件事一次办”，整合工伤认定、劳动能力鉴定、工伤待遇申领等业务，提供“一次告知、一窗受理、系统共享、联动办理”主题式、套餐式服务。同时，线上共享工伤认定系统、劳动能力鉴定系统、社会保险信息管理系统数据，线下内部流转有关材料，真正实现“让数据多跑路、群众少跑腿”。</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bookmarkStart w:id="28" w:name="_Toc32652"/>
      <w:bookmarkStart w:id="29" w:name="_Toc17267"/>
      <w:bookmarkStart w:id="30" w:name="_Toc6233"/>
      <w:bookmarkStart w:id="31" w:name="_Toc21967"/>
      <w:bookmarkStart w:id="32" w:name="_Toc7411"/>
      <w:r>
        <w:rPr>
          <w:rFonts w:hint="eastAsia" w:ascii="仿宋" w:hAnsi="仿宋" w:eastAsia="仿宋" w:cs="仿宋"/>
          <w:b/>
          <w:bCs/>
          <w:color w:val="auto"/>
          <w:kern w:val="2"/>
          <w:sz w:val="32"/>
          <w:szCs w:val="22"/>
          <w:highlight w:val="none"/>
          <w:lang w:val="en-US" w:eastAsia="zh-CN" w:bidi="ar-SA"/>
        </w:rPr>
        <w:t>3.创新宣传供给，增强工伤预防实效</w:t>
      </w:r>
      <w:bookmarkEnd w:id="28"/>
      <w:r>
        <w:rPr>
          <w:rFonts w:hint="eastAsia" w:ascii="仿宋" w:hAnsi="仿宋" w:eastAsia="仿宋" w:cs="仿宋"/>
          <w:b/>
          <w:bCs/>
          <w:color w:val="auto"/>
          <w:kern w:val="2"/>
          <w:sz w:val="32"/>
          <w:szCs w:val="22"/>
          <w:highlight w:val="none"/>
          <w:lang w:val="en-US" w:eastAsia="zh-CN" w:bidi="ar-SA"/>
        </w:rPr>
        <w:t>性</w:t>
      </w:r>
      <w:bookmarkEnd w:id="29"/>
      <w:bookmarkEnd w:id="30"/>
      <w:bookmarkEnd w:id="31"/>
      <w:bookmarkEnd w:id="32"/>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聚焦群众关切，创新宣传方式，制作动漫视频和“工伤预防‘菏’护安康”工伤预防小剧场15个、开展工伤预防知识大讲堂10期、刊发政策问答30条、推行“工伤预防 一路同行”公交车工伤预防“流动课堂”，以群众喜闻乐见的形式推介政策、答疑解惑，让工伤保险政策和工伤预防知识“飞入寻常百姓家”。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bookmarkStart w:id="33" w:name="_Toc9532"/>
      <w:bookmarkStart w:id="34" w:name="_Toc2496"/>
      <w:bookmarkStart w:id="35" w:name="_Toc31206"/>
      <w:bookmarkStart w:id="36" w:name="_Toc4900"/>
      <w:bookmarkStart w:id="37" w:name="_Toc20610"/>
      <w:r>
        <w:rPr>
          <w:rFonts w:hint="eastAsia" w:ascii="仿宋" w:hAnsi="仿宋" w:eastAsia="仿宋" w:cs="仿宋"/>
          <w:b/>
          <w:bCs/>
          <w:color w:val="auto"/>
          <w:kern w:val="2"/>
          <w:sz w:val="32"/>
          <w:szCs w:val="22"/>
          <w:highlight w:val="none"/>
          <w:lang w:val="en-US" w:eastAsia="zh-CN" w:bidi="ar-SA"/>
        </w:rPr>
        <w:t>4.创新监管方式，增强工伤基金安全</w:t>
      </w:r>
      <w:bookmarkEnd w:id="33"/>
      <w:r>
        <w:rPr>
          <w:rFonts w:hint="eastAsia" w:ascii="仿宋" w:hAnsi="仿宋" w:eastAsia="仿宋" w:cs="仿宋"/>
          <w:b/>
          <w:bCs/>
          <w:color w:val="auto"/>
          <w:kern w:val="2"/>
          <w:sz w:val="32"/>
          <w:szCs w:val="22"/>
          <w:highlight w:val="none"/>
          <w:lang w:val="en-US" w:eastAsia="zh-CN" w:bidi="ar-SA"/>
        </w:rPr>
        <w:t>性</w:t>
      </w:r>
      <w:bookmarkEnd w:id="34"/>
      <w:bookmarkEnd w:id="35"/>
      <w:bookmarkEnd w:id="36"/>
      <w:bookmarkEnd w:id="37"/>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组织全市县区交叉互查，围绕制度落实情况、系统风控情况等重点内容，排查短板弱项、堵塞管理漏洞，检验经办规程是否规范执行。通过日常检查、及时反馈、定期考核等方式，加强对工伤保险协议机构监管，确保基金使用高效。将基金监督举报电话统一纳入12333，在人社局门户网站公布市县两级监督举报电话和举报邮箱，积极鼓励和支持社会各界参与基金监督。</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楷体" w:hAnsi="楷体" w:eastAsia="楷体" w:cs="楷体"/>
          <w:kern w:val="2"/>
          <w:sz w:val="32"/>
          <w:szCs w:val="32"/>
          <w:lang w:val="en-US" w:eastAsia="zh-CN" w:bidi="ar"/>
        </w:rPr>
      </w:pPr>
      <w:r>
        <w:rPr>
          <w:rFonts w:hint="eastAsia" w:ascii="楷体" w:hAnsi="楷体" w:eastAsia="楷体" w:cs="楷体"/>
          <w:kern w:val="2"/>
          <w:sz w:val="32"/>
          <w:szCs w:val="32"/>
          <w:lang w:val="en-US" w:eastAsia="zh-CN" w:bidi="ar"/>
        </w:rPr>
        <w:t>（二）存在问题及原因分析</w:t>
      </w:r>
      <w:bookmarkStart w:id="38" w:name="_Toc29850"/>
      <w:bookmarkStart w:id="39" w:name="_Toc27302"/>
      <w:bookmarkStart w:id="40" w:name="_Toc26751"/>
    </w:p>
    <w:bookmarkEnd w:id="38"/>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r>
        <w:rPr>
          <w:rFonts w:hint="eastAsia" w:ascii="仿宋" w:hAnsi="仿宋" w:eastAsia="仿宋" w:cs="仿宋"/>
          <w:b/>
          <w:bCs/>
          <w:color w:val="auto"/>
          <w:kern w:val="2"/>
          <w:sz w:val="32"/>
          <w:szCs w:val="22"/>
          <w:highlight w:val="none"/>
          <w:lang w:val="en-US" w:eastAsia="zh-CN" w:bidi="ar-SA"/>
        </w:rPr>
        <w:t>1.项目支出</w:t>
      </w:r>
      <w:bookmarkStart w:id="41" w:name="_Toc9939"/>
      <w:r>
        <w:rPr>
          <w:rFonts w:hint="eastAsia" w:ascii="仿宋" w:hAnsi="仿宋" w:eastAsia="仿宋" w:cs="仿宋"/>
          <w:b/>
          <w:bCs/>
          <w:color w:val="auto"/>
          <w:kern w:val="2"/>
          <w:sz w:val="32"/>
          <w:szCs w:val="22"/>
          <w:highlight w:val="none"/>
          <w:lang w:val="en-US" w:eastAsia="zh-CN" w:bidi="ar-SA"/>
        </w:rPr>
        <w:t>缺少绩效评估</w:t>
      </w:r>
      <w:bookmarkEnd w:id="39"/>
      <w:bookmarkEnd w:id="40"/>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default" w:ascii="仿宋" w:hAnsi="仿宋" w:eastAsia="仿宋" w:cs="仿宋"/>
          <w:bCs w:val="0"/>
          <w:color w:val="auto"/>
          <w:kern w:val="2"/>
          <w:sz w:val="32"/>
          <w:szCs w:val="22"/>
          <w:highlight w:val="none"/>
          <w:lang w:val="en-US" w:eastAsia="zh-CN" w:bidi="ar-SA"/>
        </w:rPr>
        <w:t>《山东省工伤预防费使用管理实施办法》</w:t>
      </w:r>
      <w:r>
        <w:rPr>
          <w:rFonts w:hint="eastAsia" w:ascii="仿宋" w:hAnsi="仿宋" w:eastAsia="仿宋" w:cs="仿宋"/>
          <w:bCs w:val="0"/>
          <w:color w:val="auto"/>
          <w:kern w:val="2"/>
          <w:sz w:val="32"/>
          <w:szCs w:val="22"/>
          <w:highlight w:val="none"/>
          <w:lang w:val="en-US" w:eastAsia="zh-CN" w:bidi="ar-SA"/>
        </w:rPr>
        <w:t>（鲁人社规〔2018〕3号）第二十三条规定：“</w:t>
      </w:r>
      <w:r>
        <w:rPr>
          <w:rFonts w:hint="default" w:ascii="仿宋" w:hAnsi="仿宋" w:eastAsia="仿宋" w:cs="仿宋"/>
          <w:bCs w:val="0"/>
          <w:color w:val="auto"/>
          <w:kern w:val="2"/>
          <w:sz w:val="32"/>
          <w:szCs w:val="22"/>
          <w:highlight w:val="none"/>
          <w:lang w:val="en-US" w:eastAsia="zh-CN" w:bidi="ar-SA"/>
        </w:rPr>
        <w:t>设区的市人力资源社会保障部门会同工伤预防相关部门，制定工伤预防效果评估标准，研究建立工伤预防绩效评估体系</w:t>
      </w:r>
      <w:r>
        <w:rPr>
          <w:rFonts w:hint="eastAsia" w:ascii="仿宋" w:hAnsi="仿宋" w:eastAsia="仿宋" w:cs="仿宋"/>
          <w:bCs w:val="0"/>
          <w:color w:val="auto"/>
          <w:kern w:val="2"/>
          <w:sz w:val="32"/>
          <w:szCs w:val="22"/>
          <w:highlight w:val="none"/>
          <w:lang w:val="en-US" w:eastAsia="zh-CN" w:bidi="ar-SA"/>
        </w:rPr>
        <w:t>”。菏泽市作为设区的市，应该按要求</w:t>
      </w:r>
      <w:r>
        <w:rPr>
          <w:rFonts w:hint="default" w:ascii="仿宋" w:hAnsi="仿宋" w:eastAsia="仿宋" w:cs="仿宋"/>
          <w:bCs w:val="0"/>
          <w:color w:val="auto"/>
          <w:kern w:val="2"/>
          <w:sz w:val="32"/>
          <w:szCs w:val="22"/>
          <w:highlight w:val="none"/>
          <w:lang w:val="en-US" w:eastAsia="zh-CN" w:bidi="ar-SA"/>
        </w:rPr>
        <w:t>制定工伤预防效果评估标准，研究建立工伤预防绩效评估体系</w:t>
      </w:r>
      <w:r>
        <w:rPr>
          <w:rFonts w:hint="eastAsia" w:ascii="仿宋" w:hAnsi="仿宋" w:eastAsia="仿宋" w:cs="仿宋"/>
          <w:bCs w:val="0"/>
          <w:color w:val="auto"/>
          <w:kern w:val="2"/>
          <w:sz w:val="32"/>
          <w:szCs w:val="22"/>
          <w:highlight w:val="none"/>
          <w:lang w:val="en-US" w:eastAsia="zh-CN" w:bidi="ar-SA"/>
        </w:rPr>
        <w:t>。但各县（区）在工伤预防项目工作完成后，均没有对宣传和培训效果进行持续关注，没有对项目支出进行绩效评估。全市范围内没有按照上述实施办法的要求建立</w:t>
      </w:r>
      <w:r>
        <w:rPr>
          <w:rFonts w:hint="default" w:ascii="仿宋" w:hAnsi="仿宋" w:eastAsia="仿宋" w:cs="仿宋"/>
          <w:bCs w:val="0"/>
          <w:color w:val="auto"/>
          <w:kern w:val="2"/>
          <w:sz w:val="32"/>
          <w:szCs w:val="22"/>
          <w:highlight w:val="none"/>
          <w:lang w:val="en-US" w:eastAsia="zh-CN" w:bidi="ar-SA"/>
        </w:rPr>
        <w:t>工伤预防绩效评估体系</w:t>
      </w:r>
      <w:r>
        <w:rPr>
          <w:rFonts w:hint="eastAsia" w:ascii="仿宋" w:hAnsi="仿宋" w:eastAsia="仿宋" w:cs="仿宋"/>
          <w:bCs w:val="0"/>
          <w:color w:val="auto"/>
          <w:kern w:val="2"/>
          <w:sz w:val="32"/>
          <w:szCs w:val="22"/>
          <w:highlight w:val="none"/>
          <w:lang w:val="en-US" w:eastAsia="zh-CN" w:bidi="ar-SA"/>
        </w:rPr>
        <w:t>。</w:t>
      </w:r>
    </w:p>
    <w:bookmarkEnd w:id="41"/>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bookmarkStart w:id="42" w:name="_Toc19552"/>
      <w:bookmarkStart w:id="43" w:name="_Toc21007"/>
      <w:r>
        <w:rPr>
          <w:rFonts w:hint="eastAsia" w:ascii="仿宋" w:hAnsi="仿宋" w:eastAsia="仿宋" w:cs="仿宋"/>
          <w:b/>
          <w:bCs/>
          <w:color w:val="auto"/>
          <w:kern w:val="2"/>
          <w:sz w:val="32"/>
          <w:szCs w:val="22"/>
          <w:highlight w:val="none"/>
          <w:lang w:val="en-US" w:eastAsia="zh-CN" w:bidi="ar-SA"/>
        </w:rPr>
        <w:t>2.</w:t>
      </w:r>
      <w:bookmarkEnd w:id="42"/>
      <w:bookmarkEnd w:id="43"/>
      <w:bookmarkStart w:id="44" w:name="_Toc26383"/>
      <w:bookmarkStart w:id="45" w:name="_Toc17141"/>
      <w:bookmarkStart w:id="46" w:name="_Toc987"/>
      <w:r>
        <w:rPr>
          <w:rFonts w:hint="eastAsia" w:ascii="仿宋" w:hAnsi="仿宋" w:eastAsia="仿宋" w:cs="仿宋"/>
          <w:b/>
          <w:bCs/>
          <w:color w:val="auto"/>
          <w:kern w:val="2"/>
          <w:sz w:val="32"/>
          <w:szCs w:val="22"/>
          <w:highlight w:val="none"/>
          <w:lang w:val="en-US" w:eastAsia="zh-CN" w:bidi="ar-SA"/>
        </w:rPr>
        <w:t>基金使用财务监督管理工作不到位</w:t>
      </w:r>
      <w:bookmarkEnd w:id="44"/>
      <w:bookmarkEnd w:id="45"/>
      <w:bookmarkEnd w:id="46"/>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bookmarkStart w:id="47" w:name="_Toc21147"/>
      <w:r>
        <w:rPr>
          <w:rFonts w:hint="eastAsia" w:ascii="仿宋" w:hAnsi="仿宋" w:eastAsia="仿宋" w:cs="仿宋"/>
          <w:bCs w:val="0"/>
          <w:color w:val="auto"/>
          <w:kern w:val="2"/>
          <w:sz w:val="32"/>
          <w:szCs w:val="22"/>
          <w:highlight w:val="none"/>
          <w:lang w:val="en-US" w:eastAsia="zh-CN" w:bidi="ar-SA"/>
        </w:rPr>
        <w:t>一是所有辅助器具配置支出发票均要素不全，缺少产品关键信息，如产品的规格型号。</w:t>
      </w:r>
      <w:bookmarkEnd w:id="47"/>
      <w:bookmarkStart w:id="48" w:name="_Toc11883"/>
      <w:bookmarkStart w:id="49" w:name="_Toc2850"/>
      <w:bookmarkStart w:id="50" w:name="_Toc6789"/>
      <w:bookmarkStart w:id="51" w:name="_Toc7015"/>
      <w:bookmarkStart w:id="52" w:name="_Toc7099"/>
      <w:r>
        <w:rPr>
          <w:rFonts w:hint="eastAsia" w:ascii="仿宋" w:hAnsi="仿宋" w:eastAsia="仿宋" w:cs="仿宋"/>
          <w:bCs w:val="0"/>
          <w:color w:val="auto"/>
          <w:kern w:val="2"/>
          <w:sz w:val="32"/>
          <w:szCs w:val="22"/>
          <w:highlight w:val="none"/>
          <w:lang w:val="en-US" w:eastAsia="zh-CN" w:bidi="ar-SA"/>
        </w:rPr>
        <w:t>二是没有按规定履行必要的审核</w:t>
      </w:r>
      <w:bookmarkEnd w:id="48"/>
      <w:bookmarkEnd w:id="49"/>
      <w:bookmarkEnd w:id="50"/>
      <w:bookmarkEnd w:id="51"/>
      <w:bookmarkEnd w:id="52"/>
      <w:bookmarkStart w:id="53" w:name="_Toc23653"/>
      <w:r>
        <w:rPr>
          <w:rFonts w:hint="eastAsia" w:ascii="仿宋" w:hAnsi="仿宋" w:eastAsia="仿宋" w:cs="仿宋"/>
          <w:bCs w:val="0"/>
          <w:color w:val="auto"/>
          <w:kern w:val="2"/>
          <w:sz w:val="32"/>
          <w:szCs w:val="22"/>
          <w:highlight w:val="none"/>
          <w:lang w:val="en-US" w:eastAsia="zh-CN" w:bidi="ar-SA"/>
        </w:rPr>
        <w:t>程序，菏泽市工伤保险经办机构包括各县（区）均未按规定审核报销人员的“配置服务记录”，因而对实际配置费用、配置器具产品信息等重要信息缺少监管，审核程序不完整。</w:t>
      </w:r>
      <w:bookmarkEnd w:id="53"/>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bookmarkStart w:id="54" w:name="_Toc27277"/>
      <w:bookmarkStart w:id="55" w:name="_Toc13493"/>
      <w:bookmarkStart w:id="56" w:name="_Toc9826"/>
      <w:bookmarkStart w:id="57" w:name="_Toc27781"/>
      <w:bookmarkStart w:id="58" w:name="_Toc11102"/>
      <w:r>
        <w:rPr>
          <w:rFonts w:hint="eastAsia" w:ascii="仿宋" w:hAnsi="仿宋" w:eastAsia="仿宋" w:cs="仿宋"/>
          <w:b/>
          <w:bCs/>
          <w:color w:val="auto"/>
          <w:kern w:val="2"/>
          <w:sz w:val="32"/>
          <w:szCs w:val="22"/>
          <w:highlight w:val="none"/>
          <w:lang w:val="en-US" w:eastAsia="zh-CN" w:bidi="ar-SA"/>
        </w:rPr>
        <w:t>3.重要风险岗位轮换制度执行不到位</w:t>
      </w:r>
      <w:bookmarkEnd w:id="54"/>
      <w:bookmarkEnd w:id="55"/>
      <w:bookmarkEnd w:id="56"/>
      <w:bookmarkEnd w:id="57"/>
      <w:bookmarkEnd w:id="58"/>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行政事业单位内部控制规范（试行）》（财会〔2012〕21号）第十五条规定：“单位应当实行内部控制关键岗位工作人员的轮岗制度，明确轮岗周期。不具备轮岗条件的单位应当采取专项审计等控制措施”，评价小组通过座谈了解和实地勘察，菏泽市各县（区）工伤保险经办机构均建立了岗位轮换制度，但在实际工作中，由于编制和人员的不足，导致存在个别关键岗位长期一人在岗情况，没有严格按照“不具备轮岗条件的单位应当采取专项审计等控制措施”的要求进行专项审计。</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bookmarkStart w:id="59" w:name="_Toc15787"/>
      <w:bookmarkStart w:id="60" w:name="_Toc7694"/>
      <w:bookmarkStart w:id="61" w:name="_Toc1239"/>
      <w:bookmarkStart w:id="62" w:name="_Toc32474"/>
      <w:r>
        <w:rPr>
          <w:rFonts w:hint="eastAsia" w:ascii="仿宋" w:hAnsi="仿宋" w:eastAsia="仿宋" w:cs="仿宋"/>
          <w:b/>
          <w:bCs/>
          <w:color w:val="auto"/>
          <w:kern w:val="2"/>
          <w:sz w:val="32"/>
          <w:szCs w:val="22"/>
          <w:highlight w:val="none"/>
          <w:lang w:val="en-US" w:eastAsia="zh-CN" w:bidi="ar-SA"/>
        </w:rPr>
        <w:t>4.工伤预防服务机构的确定程序不规范</w:t>
      </w:r>
      <w:bookmarkEnd w:id="59"/>
      <w:bookmarkEnd w:id="60"/>
      <w:bookmarkEnd w:id="61"/>
      <w:bookmarkEnd w:id="62"/>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default" w:ascii="仿宋" w:hAnsi="仿宋" w:eastAsia="仿宋" w:cs="仿宋"/>
          <w:bCs w:val="0"/>
          <w:color w:val="auto"/>
          <w:kern w:val="2"/>
          <w:sz w:val="32"/>
          <w:szCs w:val="22"/>
          <w:highlight w:val="none"/>
          <w:lang w:val="en-US" w:eastAsia="zh-CN" w:bidi="ar-SA"/>
        </w:rPr>
        <w:t>《山东省工伤预防费使用管理实施办法》</w:t>
      </w:r>
      <w:r>
        <w:rPr>
          <w:rFonts w:hint="eastAsia" w:ascii="仿宋" w:hAnsi="仿宋" w:eastAsia="仿宋" w:cs="仿宋"/>
          <w:bCs w:val="0"/>
          <w:color w:val="auto"/>
          <w:kern w:val="2"/>
          <w:sz w:val="32"/>
          <w:szCs w:val="22"/>
          <w:highlight w:val="none"/>
          <w:lang w:val="en-US" w:eastAsia="zh-CN" w:bidi="ar-SA"/>
        </w:rPr>
        <w:t>（鲁人社规〔2018〕3号）第十一条规定：“</w:t>
      </w:r>
      <w:r>
        <w:rPr>
          <w:rFonts w:hint="default" w:ascii="仿宋" w:hAnsi="仿宋" w:eastAsia="仿宋" w:cs="仿宋"/>
          <w:bCs w:val="0"/>
          <w:color w:val="auto"/>
          <w:kern w:val="2"/>
          <w:sz w:val="32"/>
          <w:szCs w:val="22"/>
          <w:highlight w:val="none"/>
          <w:lang w:val="en-US" w:eastAsia="zh-CN" w:bidi="ar-SA"/>
        </w:rPr>
        <w:t>参照政府采购法实施的工伤预防项目，其费用低于采购限额标准的，可协议确定服务机构。具体办法由设区的市人力资源社会保障部门会同财政部门确定</w:t>
      </w:r>
      <w:r>
        <w:rPr>
          <w:rFonts w:hint="eastAsia" w:ascii="仿宋" w:hAnsi="仿宋" w:eastAsia="仿宋" w:cs="仿宋"/>
          <w:bCs w:val="0"/>
          <w:color w:val="auto"/>
          <w:kern w:val="2"/>
          <w:sz w:val="32"/>
          <w:szCs w:val="22"/>
          <w:highlight w:val="none"/>
          <w:lang w:val="en-US" w:eastAsia="zh-CN" w:bidi="ar-SA"/>
        </w:rPr>
        <w:t>”</w:t>
      </w:r>
      <w:r>
        <w:rPr>
          <w:rFonts w:hint="default" w:ascii="仿宋" w:hAnsi="仿宋" w:eastAsia="仿宋" w:cs="仿宋"/>
          <w:bCs w:val="0"/>
          <w:color w:val="auto"/>
          <w:kern w:val="2"/>
          <w:sz w:val="32"/>
          <w:szCs w:val="22"/>
          <w:highlight w:val="none"/>
          <w:lang w:val="en-US" w:eastAsia="zh-CN" w:bidi="ar-SA"/>
        </w:rPr>
        <w:t>。</w:t>
      </w:r>
      <w:r>
        <w:rPr>
          <w:rFonts w:hint="eastAsia" w:ascii="仿宋" w:hAnsi="仿宋" w:eastAsia="仿宋" w:cs="仿宋"/>
          <w:bCs w:val="0"/>
          <w:color w:val="auto"/>
          <w:kern w:val="2"/>
          <w:sz w:val="32"/>
          <w:szCs w:val="22"/>
          <w:highlight w:val="none"/>
          <w:lang w:val="en-US" w:eastAsia="zh-CN" w:bidi="ar-SA"/>
        </w:rPr>
        <w:t>评价小组通过实地调查和座谈了解，2022年全市各县（区）</w:t>
      </w:r>
      <w:r>
        <w:rPr>
          <w:rFonts w:hint="default" w:ascii="仿宋" w:hAnsi="仿宋" w:eastAsia="仿宋" w:cs="仿宋"/>
          <w:bCs w:val="0"/>
          <w:color w:val="auto"/>
          <w:kern w:val="2"/>
          <w:sz w:val="32"/>
          <w:szCs w:val="22"/>
          <w:highlight w:val="none"/>
          <w:lang w:val="en-US" w:eastAsia="zh-CN" w:bidi="ar-SA"/>
        </w:rPr>
        <w:t>工伤预防服务机构</w:t>
      </w:r>
      <w:r>
        <w:rPr>
          <w:rFonts w:hint="eastAsia" w:ascii="仿宋" w:hAnsi="仿宋" w:eastAsia="仿宋" w:cs="仿宋"/>
          <w:bCs w:val="0"/>
          <w:color w:val="auto"/>
          <w:kern w:val="2"/>
          <w:sz w:val="32"/>
          <w:szCs w:val="22"/>
          <w:highlight w:val="none"/>
          <w:lang w:val="en-US" w:eastAsia="zh-CN" w:bidi="ar-SA"/>
        </w:rPr>
        <w:t>的确定，均由各县区人社部门自行确定，市</w:t>
      </w:r>
      <w:r>
        <w:rPr>
          <w:rFonts w:hint="default" w:ascii="仿宋" w:hAnsi="仿宋" w:eastAsia="仿宋" w:cs="仿宋"/>
          <w:bCs w:val="0"/>
          <w:color w:val="auto"/>
          <w:kern w:val="2"/>
          <w:sz w:val="32"/>
          <w:szCs w:val="22"/>
          <w:highlight w:val="none"/>
          <w:lang w:val="en-US" w:eastAsia="zh-CN" w:bidi="ar-SA"/>
        </w:rPr>
        <w:t>人力资源社会保障部门</w:t>
      </w:r>
      <w:r>
        <w:rPr>
          <w:rFonts w:hint="eastAsia" w:ascii="仿宋" w:hAnsi="仿宋" w:eastAsia="仿宋" w:cs="仿宋"/>
          <w:bCs w:val="0"/>
          <w:color w:val="auto"/>
          <w:kern w:val="2"/>
          <w:sz w:val="32"/>
          <w:szCs w:val="22"/>
          <w:highlight w:val="none"/>
          <w:lang w:val="en-US" w:eastAsia="zh-CN" w:bidi="ar-SA"/>
        </w:rPr>
        <w:t>没有按照实施办法的要求，</w:t>
      </w:r>
      <w:r>
        <w:rPr>
          <w:rFonts w:hint="default" w:ascii="仿宋" w:hAnsi="仿宋" w:eastAsia="仿宋" w:cs="仿宋"/>
          <w:bCs w:val="0"/>
          <w:color w:val="auto"/>
          <w:kern w:val="2"/>
          <w:sz w:val="32"/>
          <w:szCs w:val="22"/>
          <w:highlight w:val="none"/>
          <w:lang w:val="en-US" w:eastAsia="zh-CN" w:bidi="ar-SA"/>
        </w:rPr>
        <w:t>参照政府采购法</w:t>
      </w:r>
      <w:r>
        <w:rPr>
          <w:rFonts w:hint="eastAsia" w:ascii="仿宋" w:hAnsi="仿宋" w:eastAsia="仿宋" w:cs="仿宋"/>
          <w:bCs w:val="0"/>
          <w:color w:val="auto"/>
          <w:kern w:val="2"/>
          <w:sz w:val="32"/>
          <w:szCs w:val="22"/>
          <w:highlight w:val="none"/>
          <w:lang w:val="en-US" w:eastAsia="zh-CN" w:bidi="ar-SA"/>
        </w:rPr>
        <w:t>并</w:t>
      </w:r>
      <w:r>
        <w:rPr>
          <w:rFonts w:hint="default" w:ascii="仿宋" w:hAnsi="仿宋" w:eastAsia="仿宋" w:cs="仿宋"/>
          <w:bCs w:val="0"/>
          <w:color w:val="auto"/>
          <w:kern w:val="2"/>
          <w:sz w:val="32"/>
          <w:szCs w:val="22"/>
          <w:highlight w:val="none"/>
          <w:lang w:val="en-US" w:eastAsia="zh-CN" w:bidi="ar-SA"/>
        </w:rPr>
        <w:t>会同财政部门</w:t>
      </w:r>
      <w:r>
        <w:rPr>
          <w:rFonts w:hint="eastAsia" w:ascii="仿宋" w:hAnsi="仿宋" w:eastAsia="仿宋" w:cs="仿宋"/>
          <w:bCs w:val="0"/>
          <w:color w:val="auto"/>
          <w:kern w:val="2"/>
          <w:sz w:val="32"/>
          <w:szCs w:val="22"/>
          <w:highlight w:val="none"/>
          <w:lang w:val="en-US" w:eastAsia="zh-CN" w:bidi="ar-SA"/>
        </w:rPr>
        <w:t>制定具体办法。</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3" w:firstLineChars="200"/>
        <w:textAlignment w:val="auto"/>
        <w:outlineLvl w:val="9"/>
        <w:rPr>
          <w:rFonts w:hint="eastAsia" w:ascii="仿宋" w:hAnsi="仿宋" w:eastAsia="仿宋" w:cs="仿宋"/>
          <w:b/>
          <w:bCs/>
          <w:color w:val="auto"/>
          <w:kern w:val="2"/>
          <w:sz w:val="32"/>
          <w:szCs w:val="22"/>
          <w:highlight w:val="none"/>
          <w:lang w:val="en-US" w:eastAsia="zh-CN" w:bidi="ar-SA"/>
        </w:rPr>
      </w:pPr>
      <w:bookmarkStart w:id="63" w:name="_Toc12944"/>
      <w:bookmarkStart w:id="64" w:name="_Toc6445"/>
      <w:r>
        <w:rPr>
          <w:rFonts w:hint="eastAsia" w:ascii="仿宋" w:hAnsi="仿宋" w:eastAsia="仿宋" w:cs="仿宋"/>
          <w:b/>
          <w:bCs/>
          <w:color w:val="auto"/>
          <w:kern w:val="2"/>
          <w:sz w:val="32"/>
          <w:szCs w:val="22"/>
          <w:highlight w:val="none"/>
          <w:lang w:val="en-US" w:eastAsia="zh-CN" w:bidi="ar-SA"/>
        </w:rPr>
        <w:t>5.信息共享机制需进一步完善</w:t>
      </w:r>
      <w:bookmarkEnd w:id="63"/>
      <w:bookmarkEnd w:id="64"/>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bookmarkStart w:id="65" w:name="_Toc29755"/>
      <w:bookmarkStart w:id="66" w:name="_Toc21648"/>
      <w:bookmarkStart w:id="67" w:name="_Toc13995"/>
      <w:bookmarkStart w:id="68" w:name="_Toc20366"/>
      <w:r>
        <w:rPr>
          <w:rFonts w:hint="eastAsia" w:ascii="仿宋" w:hAnsi="仿宋" w:eastAsia="仿宋" w:cs="仿宋"/>
          <w:bCs w:val="0"/>
          <w:color w:val="auto"/>
          <w:kern w:val="2"/>
          <w:sz w:val="32"/>
          <w:szCs w:val="22"/>
          <w:highlight w:val="none"/>
          <w:lang w:val="en-US" w:eastAsia="zh-CN" w:bidi="ar-SA"/>
        </w:rPr>
        <w:t>《工伤保险经办规程》（人社厅发〔2022〕24号）第一百一十九条：“经办机构通过信息共享机制获取的各类信息，可作为社会保险登记工伤待遇审核与社会保险稽核等工作的信息比对依据</w:t>
      </w:r>
      <w:bookmarkEnd w:id="65"/>
      <w:bookmarkEnd w:id="66"/>
      <w:bookmarkEnd w:id="67"/>
      <w:bookmarkEnd w:id="68"/>
      <w:bookmarkStart w:id="69" w:name="_Toc29660"/>
      <w:bookmarkStart w:id="70" w:name="_Toc23367"/>
      <w:bookmarkStart w:id="71" w:name="_Toc23236"/>
      <w:bookmarkStart w:id="72" w:name="_Toc24612"/>
      <w:r>
        <w:rPr>
          <w:rFonts w:hint="eastAsia" w:ascii="仿宋" w:hAnsi="仿宋" w:eastAsia="仿宋" w:cs="仿宋"/>
          <w:bCs w:val="0"/>
          <w:color w:val="auto"/>
          <w:kern w:val="2"/>
          <w:sz w:val="32"/>
          <w:szCs w:val="22"/>
          <w:highlight w:val="none"/>
          <w:lang w:val="en-US" w:eastAsia="zh-CN" w:bidi="ar-SA"/>
        </w:rPr>
        <w:t>”。在实际工作中，工伤待遇如遗属补助，领取人在死亡后，根据规定应从下月起停止待遇支付，但由于目前各部门间信息共享机制还不完善，经办机构有时会出现不能第一时间得到相关信息，直到年度核查时才能发现，造成工伤待遇多领、冒领现象。</w:t>
      </w:r>
      <w:bookmarkEnd w:id="69"/>
      <w:bookmarkEnd w:id="70"/>
      <w:bookmarkEnd w:id="71"/>
      <w:bookmarkEnd w:id="72"/>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80" w:lineRule="exact"/>
        <w:ind w:left="0" w:right="0" w:firstLine="640" w:firstLineChars="200"/>
        <w:jc w:val="both"/>
        <w:textAlignment w:val="auto"/>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五、相关建议</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leftChars="0" w:firstLine="640" w:firstLineChars="200"/>
        <w:textAlignment w:val="auto"/>
        <w:outlineLvl w:val="1"/>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pPr>
      <w:bookmarkStart w:id="73" w:name="_Toc2458"/>
      <w:bookmarkStart w:id="74" w:name="_Toc20805"/>
      <w:bookmarkStart w:id="75" w:name="_Toc25759"/>
      <w:bookmarkStart w:id="76" w:name="_Toc9744"/>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（一）研究建立工伤预防绩效评估体系，提高工伤预防项目支出绩效</w:t>
      </w:r>
      <w:bookmarkEnd w:id="73"/>
      <w:bookmarkEnd w:id="74"/>
      <w:bookmarkEnd w:id="75"/>
      <w:bookmarkEnd w:id="76"/>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lang w:val="en-US" w:eastAsia="zh-CN"/>
        </w:rPr>
      </w:pPr>
      <w:r>
        <w:rPr>
          <w:rFonts w:hint="eastAsia" w:ascii="仿宋" w:hAnsi="仿宋" w:eastAsia="仿宋" w:cs="仿宋"/>
          <w:bCs w:val="0"/>
          <w:color w:val="auto"/>
          <w:kern w:val="2"/>
          <w:sz w:val="32"/>
          <w:szCs w:val="22"/>
          <w:highlight w:val="none"/>
          <w:lang w:val="en-US" w:eastAsia="zh-CN" w:bidi="ar-SA"/>
        </w:rPr>
        <w:t>建议按照</w:t>
      </w:r>
      <w:r>
        <w:rPr>
          <w:rFonts w:hint="default" w:ascii="仿宋" w:hAnsi="仿宋" w:eastAsia="仿宋" w:cs="仿宋"/>
          <w:bCs w:val="0"/>
          <w:color w:val="auto"/>
          <w:kern w:val="2"/>
          <w:sz w:val="32"/>
          <w:szCs w:val="22"/>
          <w:highlight w:val="none"/>
          <w:lang w:val="en-US" w:eastAsia="zh-CN" w:bidi="ar-SA"/>
        </w:rPr>
        <w:t>《山东省工伤预防费使用管理实施办法》</w:t>
      </w:r>
      <w:r>
        <w:rPr>
          <w:rFonts w:hint="eastAsia" w:ascii="仿宋" w:hAnsi="仿宋" w:eastAsia="仿宋" w:cs="仿宋"/>
          <w:bCs w:val="0"/>
          <w:color w:val="auto"/>
          <w:kern w:val="2"/>
          <w:sz w:val="32"/>
          <w:szCs w:val="22"/>
          <w:highlight w:val="none"/>
          <w:lang w:val="en-US" w:eastAsia="zh-CN" w:bidi="ar-SA"/>
        </w:rPr>
        <w:t>（鲁人社规〔2018〕3号）第二十三条规定：“</w:t>
      </w:r>
      <w:r>
        <w:rPr>
          <w:rFonts w:hint="default" w:ascii="仿宋" w:hAnsi="仿宋" w:eastAsia="仿宋" w:cs="仿宋"/>
          <w:bCs w:val="0"/>
          <w:color w:val="auto"/>
          <w:kern w:val="2"/>
          <w:sz w:val="32"/>
          <w:szCs w:val="22"/>
          <w:highlight w:val="none"/>
          <w:lang w:val="en-US" w:eastAsia="zh-CN" w:bidi="ar-SA"/>
        </w:rPr>
        <w:t>设区的市人力资源社会保障部门会同工伤预防相关部门，制定工伤预防效果评估标准，研究建立工伤预防绩效评估体系</w:t>
      </w:r>
      <w:r>
        <w:rPr>
          <w:rFonts w:hint="eastAsia" w:ascii="仿宋" w:hAnsi="仿宋" w:eastAsia="仿宋" w:cs="仿宋"/>
          <w:bCs w:val="0"/>
          <w:color w:val="auto"/>
          <w:kern w:val="2"/>
          <w:sz w:val="32"/>
          <w:szCs w:val="22"/>
          <w:highlight w:val="none"/>
          <w:lang w:val="en-US" w:eastAsia="zh-CN" w:bidi="ar-SA"/>
        </w:rPr>
        <w:t>”等相关要求，制定</w:t>
      </w:r>
      <w:r>
        <w:rPr>
          <w:rFonts w:hint="default" w:ascii="仿宋" w:hAnsi="仿宋" w:eastAsia="仿宋" w:cs="仿宋"/>
          <w:bCs w:val="0"/>
          <w:color w:val="auto"/>
          <w:kern w:val="2"/>
          <w:sz w:val="32"/>
          <w:szCs w:val="22"/>
          <w:highlight w:val="none"/>
          <w:lang w:val="en-US" w:eastAsia="zh-CN" w:bidi="ar-SA"/>
        </w:rPr>
        <w:t>工伤预防效果评估标准</w:t>
      </w:r>
      <w:r>
        <w:rPr>
          <w:rFonts w:hint="eastAsia" w:ascii="仿宋" w:hAnsi="仿宋" w:eastAsia="仿宋" w:cs="仿宋"/>
          <w:bCs w:val="0"/>
          <w:color w:val="auto"/>
          <w:kern w:val="2"/>
          <w:sz w:val="32"/>
          <w:szCs w:val="22"/>
          <w:highlight w:val="none"/>
          <w:lang w:val="en-US" w:eastAsia="zh-CN" w:bidi="ar-SA"/>
        </w:rPr>
        <w:t>，对项目执行效果进行评估，提高</w:t>
      </w:r>
      <w:r>
        <w:rPr>
          <w:rFonts w:hint="default" w:ascii="仿宋" w:hAnsi="仿宋" w:eastAsia="仿宋" w:cs="仿宋"/>
          <w:bCs w:val="0"/>
          <w:color w:val="auto"/>
          <w:kern w:val="2"/>
          <w:sz w:val="32"/>
          <w:szCs w:val="22"/>
          <w:highlight w:val="none"/>
          <w:lang w:val="en-US" w:eastAsia="zh-CN" w:bidi="ar-SA"/>
        </w:rPr>
        <w:t>工伤预防绩效</w:t>
      </w:r>
      <w:r>
        <w:rPr>
          <w:rFonts w:hint="eastAsia" w:ascii="仿宋" w:hAnsi="仿宋" w:eastAsia="仿宋" w:cs="仿宋"/>
          <w:bCs w:val="0"/>
          <w:color w:val="auto"/>
          <w:kern w:val="2"/>
          <w:sz w:val="32"/>
          <w:szCs w:val="22"/>
          <w:highlight w:val="none"/>
          <w:lang w:val="en-US" w:eastAsia="zh-CN" w:bidi="ar-SA"/>
        </w:rPr>
        <w:t>水平。</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楷体" w:hAnsi="楷体" w:eastAsia="楷体" w:cs="楷体"/>
          <w:b/>
          <w:bCs/>
          <w:color w:val="auto"/>
          <w:sz w:val="32"/>
          <w:highlight w:val="none"/>
          <w:lang w:val="en-US" w:eastAsia="zh-CN"/>
        </w:rPr>
      </w:pPr>
      <w:bookmarkStart w:id="77" w:name="_Toc12091"/>
      <w:bookmarkStart w:id="78" w:name="_Toc16666"/>
      <w:bookmarkStart w:id="79" w:name="_Toc9723"/>
      <w:bookmarkStart w:id="80" w:name="_Toc23787"/>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（二）</w:t>
      </w:r>
      <w:bookmarkEnd w:id="77"/>
      <w:bookmarkEnd w:id="78"/>
      <w:bookmarkEnd w:id="79"/>
      <w:bookmarkEnd w:id="80"/>
      <w:bookmarkStart w:id="81" w:name="_Toc9015"/>
      <w:bookmarkStart w:id="82" w:name="_Toc16971"/>
      <w:bookmarkStart w:id="83" w:name="_Toc13437"/>
      <w:bookmarkStart w:id="84" w:name="_Toc8399"/>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加强基金使用的财务监督管理</w:t>
      </w:r>
      <w:bookmarkEnd w:id="81"/>
      <w:bookmarkEnd w:id="82"/>
      <w:bookmarkEnd w:id="83"/>
      <w:bookmarkEnd w:id="84"/>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建议严格按照《</w:t>
      </w:r>
      <w:r>
        <w:rPr>
          <w:rFonts w:hint="default" w:ascii="仿宋" w:hAnsi="仿宋" w:eastAsia="仿宋" w:cs="仿宋"/>
          <w:bCs w:val="0"/>
          <w:color w:val="auto"/>
          <w:kern w:val="2"/>
          <w:sz w:val="32"/>
          <w:szCs w:val="22"/>
          <w:highlight w:val="none"/>
          <w:lang w:val="en-US" w:eastAsia="zh-CN" w:bidi="ar-SA"/>
        </w:rPr>
        <w:t>工伤保险辅助器具配置管理办法</w:t>
      </w:r>
      <w:r>
        <w:rPr>
          <w:rFonts w:hint="eastAsia" w:ascii="仿宋" w:hAnsi="仿宋" w:eastAsia="仿宋" w:cs="仿宋"/>
          <w:bCs w:val="0"/>
          <w:color w:val="auto"/>
          <w:kern w:val="2"/>
          <w:sz w:val="32"/>
          <w:szCs w:val="22"/>
          <w:highlight w:val="none"/>
          <w:lang w:val="en-US" w:eastAsia="zh-CN" w:bidi="ar-SA"/>
        </w:rPr>
        <w:t>》要求执行相关审核程序。协议机构或者工伤职工与经办机构结算配置费用时，应当出具配置服务记录；经办机构按照工伤保险辅助器具配置目录有关规定审核的同时，也要审核配置服务记录。</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outlineLvl w:val="1"/>
        <w:rPr>
          <w:rFonts w:hint="eastAsia" w:ascii="楷体" w:hAnsi="楷体" w:eastAsia="楷体" w:cs="楷体"/>
          <w:b/>
          <w:bCs/>
          <w:color w:val="auto"/>
          <w:sz w:val="32"/>
          <w:highlight w:val="none"/>
          <w:lang w:val="en-US" w:eastAsia="zh-CN"/>
        </w:rPr>
      </w:pPr>
      <w:bookmarkStart w:id="85" w:name="_Toc8392"/>
      <w:bookmarkStart w:id="86" w:name="_Toc12009"/>
      <w:bookmarkStart w:id="87" w:name="_Toc10969"/>
      <w:bookmarkStart w:id="88" w:name="_Toc28731"/>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（三）严格执行重要岗位定期轮换制度</w:t>
      </w:r>
      <w:bookmarkEnd w:id="85"/>
      <w:bookmarkEnd w:id="86"/>
      <w:bookmarkEnd w:id="87"/>
      <w:bookmarkEnd w:id="88"/>
    </w:p>
    <w:p>
      <w:pPr>
        <w:pStyle w:val="2"/>
        <w:keepNext w:val="0"/>
        <w:keepLines w:val="0"/>
        <w:pageBreakBefore w:val="0"/>
        <w:widowControl w:val="0"/>
        <w:numPr>
          <w:ilvl w:val="0"/>
          <w:numId w:val="0"/>
        </w:numPr>
        <w:kinsoku/>
        <w:wordWrap/>
        <w:overflowPunct/>
        <w:topLinePunct w:val="0"/>
        <w:autoSpaceDE/>
        <w:autoSpaceDN/>
        <w:bidi w:val="0"/>
        <w:adjustRightInd/>
        <w:snapToGrid/>
        <w:spacing w:after="0" w:line="580" w:lineRule="exact"/>
        <w:ind w:firstLine="640" w:firstLineChars="200"/>
        <w:textAlignment w:val="auto"/>
        <w:outlineLvl w:val="9"/>
        <w:rPr>
          <w:rFonts w:hint="eastAsia" w:ascii="仿宋" w:hAnsi="仿宋" w:eastAsia="仿宋" w:cs="仿宋"/>
          <w:bCs w:val="0"/>
          <w:color w:val="auto"/>
          <w:kern w:val="2"/>
          <w:sz w:val="32"/>
          <w:szCs w:val="22"/>
          <w:highlight w:val="none"/>
          <w:lang w:val="en-US" w:eastAsia="zh-CN" w:bidi="ar-SA"/>
        </w:rPr>
      </w:pPr>
      <w:r>
        <w:rPr>
          <w:rFonts w:hint="eastAsia" w:ascii="仿宋" w:hAnsi="仿宋" w:eastAsia="仿宋" w:cs="仿宋"/>
          <w:bCs w:val="0"/>
          <w:color w:val="auto"/>
          <w:kern w:val="2"/>
          <w:sz w:val="32"/>
          <w:szCs w:val="22"/>
          <w:highlight w:val="none"/>
          <w:lang w:val="en-US" w:eastAsia="zh-CN" w:bidi="ar-SA"/>
        </w:rPr>
        <w:t>建议严格按照《山东省社会保险机构内部控制管理办法》《山东省人力资源和社会保障厅 山东省财政厅 山东省审计厅关于进一步加强社会保险基金管理监督工作的意见》（鲁人社发〔2014〕19号）文件要求，落实轮岗制度。不具备轮岗条件的，按规定进行专项审计，确保风险控制制度落实到位，全面防范资金和管理风险。</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outlineLvl w:val="1"/>
        <w:rPr>
          <w:rFonts w:hint="eastAsia" w:ascii="楷体" w:hAnsi="楷体" w:eastAsia="楷体" w:cs="楷体"/>
          <w:b/>
          <w:bCs/>
          <w:color w:val="auto"/>
          <w:sz w:val="32"/>
          <w:highlight w:val="none"/>
          <w:lang w:val="en-US" w:eastAsia="zh-CN"/>
        </w:rPr>
      </w:pPr>
      <w:bookmarkStart w:id="89" w:name="_Toc10796"/>
      <w:bookmarkStart w:id="90" w:name="_Toc2035"/>
      <w:bookmarkStart w:id="91" w:name="_Toc29352"/>
      <w:bookmarkStart w:id="92" w:name="_Toc6294"/>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（四）工伤预防服务机构的确定</w:t>
      </w:r>
      <w:bookmarkEnd w:id="89"/>
      <w:bookmarkEnd w:id="90"/>
      <w:bookmarkEnd w:id="91"/>
      <w:bookmarkEnd w:id="92"/>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firstLine="640" w:firstLineChars="200"/>
        <w:textAlignment w:val="auto"/>
        <w:outlineLvl w:val="1"/>
        <w:rPr>
          <w:rFonts w:hint="eastAsia" w:ascii="楷体" w:hAnsi="楷体" w:eastAsia="楷体" w:cs="楷体"/>
          <w:b/>
          <w:bCs/>
          <w:color w:val="auto"/>
          <w:sz w:val="32"/>
          <w:highlight w:val="none"/>
          <w:lang w:val="en-US" w:eastAsia="zh-CN"/>
        </w:rPr>
      </w:pPr>
      <w:bookmarkStart w:id="93" w:name="_Toc13281"/>
      <w:bookmarkStart w:id="94" w:name="_Toc28414"/>
      <w:bookmarkStart w:id="95" w:name="_Toc8906"/>
      <w:bookmarkStart w:id="96" w:name="_Toc29941"/>
      <w:r>
        <w:rPr>
          <w:rFonts w:hint="eastAsia" w:ascii="仿宋" w:hAnsi="仿宋" w:eastAsia="仿宋" w:cs="仿宋"/>
          <w:bCs w:val="0"/>
          <w:color w:val="auto"/>
          <w:kern w:val="2"/>
          <w:sz w:val="32"/>
          <w:szCs w:val="22"/>
          <w:highlight w:val="none"/>
          <w:lang w:val="en-US" w:eastAsia="zh-CN" w:bidi="ar-SA"/>
        </w:rPr>
        <w:t>建议按照</w:t>
      </w:r>
      <w:r>
        <w:rPr>
          <w:rFonts w:hint="default" w:ascii="仿宋" w:hAnsi="仿宋" w:eastAsia="仿宋" w:cs="仿宋"/>
          <w:bCs w:val="0"/>
          <w:color w:val="auto"/>
          <w:kern w:val="2"/>
          <w:sz w:val="32"/>
          <w:szCs w:val="22"/>
          <w:highlight w:val="none"/>
          <w:lang w:val="en-US" w:eastAsia="zh-CN" w:bidi="ar-SA"/>
        </w:rPr>
        <w:t>《山东省工伤预防费使用管理实施办法》</w:t>
      </w:r>
      <w:r>
        <w:rPr>
          <w:rFonts w:hint="eastAsia" w:ascii="仿宋" w:hAnsi="仿宋" w:eastAsia="仿宋" w:cs="仿宋"/>
          <w:bCs w:val="0"/>
          <w:color w:val="auto"/>
          <w:kern w:val="2"/>
          <w:sz w:val="32"/>
          <w:szCs w:val="22"/>
          <w:highlight w:val="none"/>
          <w:lang w:val="en-US" w:eastAsia="zh-CN" w:bidi="ar-SA"/>
        </w:rPr>
        <w:t>（鲁人社规〔2018〕3号），</w:t>
      </w:r>
      <w:r>
        <w:rPr>
          <w:rFonts w:hint="default" w:ascii="仿宋" w:hAnsi="仿宋" w:eastAsia="仿宋" w:cs="仿宋"/>
          <w:bCs w:val="0"/>
          <w:color w:val="auto"/>
          <w:kern w:val="2"/>
          <w:sz w:val="32"/>
          <w:szCs w:val="22"/>
          <w:highlight w:val="none"/>
          <w:lang w:val="en-US" w:eastAsia="zh-CN" w:bidi="ar-SA"/>
        </w:rPr>
        <w:t>由人力资源社会保障部门会同财政、卫生计生、安全监管部门参照政府采购法等相关规定，从具备相应资质条件的社会、经济组织以及医疗卫生机构中选定</w:t>
      </w:r>
      <w:r>
        <w:rPr>
          <w:rFonts w:hint="eastAsia" w:ascii="仿宋" w:hAnsi="仿宋" w:eastAsia="仿宋" w:cs="仿宋"/>
          <w:bCs w:val="0"/>
          <w:color w:val="auto"/>
          <w:kern w:val="2"/>
          <w:sz w:val="32"/>
          <w:szCs w:val="22"/>
          <w:highlight w:val="none"/>
          <w:lang w:val="en-US" w:eastAsia="zh-CN" w:bidi="ar-SA"/>
        </w:rPr>
        <w:t>，</w:t>
      </w:r>
      <w:r>
        <w:rPr>
          <w:rFonts w:hint="default" w:ascii="仿宋" w:hAnsi="仿宋" w:eastAsia="仿宋" w:cs="仿宋"/>
          <w:bCs w:val="0"/>
          <w:color w:val="auto"/>
          <w:kern w:val="2"/>
          <w:sz w:val="32"/>
          <w:szCs w:val="22"/>
          <w:highlight w:val="none"/>
          <w:lang w:val="en-US" w:eastAsia="zh-CN" w:bidi="ar-SA"/>
        </w:rPr>
        <w:t>其费用低于采购限额标准的</w:t>
      </w:r>
      <w:r>
        <w:rPr>
          <w:rFonts w:hint="eastAsia" w:ascii="仿宋" w:hAnsi="仿宋" w:eastAsia="仿宋" w:cs="仿宋"/>
          <w:bCs w:val="0"/>
          <w:color w:val="auto"/>
          <w:kern w:val="2"/>
          <w:sz w:val="32"/>
          <w:szCs w:val="22"/>
          <w:highlight w:val="none"/>
          <w:lang w:val="en-US" w:eastAsia="zh-CN" w:bidi="ar-SA"/>
        </w:rPr>
        <w:t>，由</w:t>
      </w:r>
      <w:r>
        <w:rPr>
          <w:rFonts w:hint="default" w:ascii="仿宋" w:hAnsi="仿宋" w:eastAsia="仿宋" w:cs="仿宋"/>
          <w:bCs w:val="0"/>
          <w:color w:val="auto"/>
          <w:kern w:val="2"/>
          <w:sz w:val="32"/>
          <w:szCs w:val="22"/>
          <w:highlight w:val="none"/>
          <w:lang w:val="en-US" w:eastAsia="zh-CN" w:bidi="ar-SA"/>
        </w:rPr>
        <w:t>市人力资源社会保障部门会同财政部门确定</w:t>
      </w:r>
      <w:r>
        <w:rPr>
          <w:rFonts w:hint="eastAsia" w:ascii="仿宋" w:hAnsi="仿宋" w:eastAsia="仿宋" w:cs="仿宋"/>
          <w:bCs w:val="0"/>
          <w:color w:val="auto"/>
          <w:kern w:val="2"/>
          <w:sz w:val="32"/>
          <w:szCs w:val="22"/>
          <w:highlight w:val="none"/>
          <w:lang w:val="en-US" w:eastAsia="zh-CN" w:bidi="ar-SA"/>
        </w:rPr>
        <w:t>具体办法，然后再</w:t>
      </w:r>
      <w:r>
        <w:rPr>
          <w:rFonts w:hint="default" w:ascii="仿宋" w:hAnsi="仿宋" w:eastAsia="仿宋" w:cs="仿宋"/>
          <w:bCs w:val="0"/>
          <w:color w:val="auto"/>
          <w:kern w:val="2"/>
          <w:sz w:val="32"/>
          <w:szCs w:val="22"/>
          <w:highlight w:val="none"/>
          <w:lang w:val="en-US" w:eastAsia="zh-CN" w:bidi="ar-SA"/>
        </w:rPr>
        <w:t>协议确定服务机构。</w:t>
      </w:r>
      <w:bookmarkEnd w:id="93"/>
      <w:bookmarkEnd w:id="94"/>
      <w:bookmarkEnd w:id="95"/>
      <w:bookmarkEnd w:id="96"/>
    </w:p>
    <w:p>
      <w:pPr>
        <w:pStyle w:val="2"/>
        <w:keepNext w:val="0"/>
        <w:keepLines w:val="0"/>
        <w:pageBreakBefore w:val="0"/>
        <w:widowControl w:val="0"/>
        <w:numPr>
          <w:ilvl w:val="0"/>
          <w:numId w:val="0"/>
        </w:numPr>
        <w:kinsoku/>
        <w:wordWrap/>
        <w:overflowPunct/>
        <w:topLinePunct w:val="0"/>
        <w:autoSpaceDE/>
        <w:autoSpaceDN/>
        <w:bidi w:val="0"/>
        <w:adjustRightInd/>
        <w:snapToGrid/>
        <w:spacing w:after="0" w:afterLines="0" w:line="580" w:lineRule="exact"/>
        <w:ind w:leftChars="0" w:firstLine="640" w:firstLineChars="200"/>
        <w:textAlignment w:val="auto"/>
        <w:outlineLvl w:val="1"/>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pPr>
      <w:bookmarkStart w:id="97" w:name="_Toc8004"/>
      <w:bookmarkStart w:id="98" w:name="_Toc6866"/>
      <w:bookmarkStart w:id="99" w:name="_Toc21244"/>
      <w:bookmarkStart w:id="100" w:name="_Toc11083"/>
      <w:r>
        <w:rPr>
          <w:rFonts w:hint="eastAsia" w:ascii="楷体" w:hAnsi="楷体" w:eastAsia="楷体" w:cs="楷体"/>
          <w:b w:val="0"/>
          <w:bCs w:val="0"/>
          <w:color w:val="000000" w:themeColor="text1"/>
          <w:sz w:val="32"/>
          <w:szCs w:val="32"/>
          <w:highlight w:val="none"/>
          <w:lang w:val="en-US" w:eastAsia="zh-CN"/>
          <w14:textFill>
            <w14:solidFill>
              <w14:schemeClr w14:val="tx1"/>
            </w14:solidFill>
          </w14:textFill>
        </w:rPr>
        <w:t>（五）建议加强信息系统建设，完善部门间信息共享机制</w:t>
      </w:r>
      <w:bookmarkEnd w:id="97"/>
      <w:bookmarkEnd w:id="98"/>
      <w:bookmarkEnd w:id="99"/>
      <w:bookmarkEnd w:id="100"/>
    </w:p>
    <w:p>
      <w:pPr>
        <w:pStyle w:val="5"/>
        <w:keepNext w:val="0"/>
        <w:keepLines w:val="0"/>
        <w:pageBreakBefore w:val="0"/>
        <w:widowControl w:val="0"/>
        <w:numPr>
          <w:ilvl w:val="0"/>
          <w:numId w:val="0"/>
        </w:numPr>
        <w:kinsoku/>
        <w:wordWrap/>
        <w:overflowPunct/>
        <w:topLinePunct w:val="0"/>
        <w:autoSpaceDE/>
        <w:autoSpaceDN/>
        <w:bidi w:val="0"/>
        <w:adjustRightInd/>
        <w:snapToGrid/>
        <w:spacing w:before="0" w:after="0" w:line="580" w:lineRule="exact"/>
        <w:ind w:firstLine="640" w:firstLineChars="200"/>
        <w:textAlignment w:val="auto"/>
        <w:rPr>
          <w:rFonts w:hint="eastAsia" w:ascii="仿宋" w:hAnsi="仿宋" w:eastAsia="仿宋" w:cs="仿宋"/>
          <w:bCs w:val="0"/>
          <w:color w:val="auto"/>
          <w:kern w:val="2"/>
          <w:sz w:val="32"/>
          <w:szCs w:val="22"/>
          <w:highlight w:val="none"/>
          <w:lang w:val="en-US" w:eastAsia="zh-CN" w:bidi="ar-SA"/>
        </w:rPr>
      </w:pPr>
      <w:bookmarkStart w:id="101" w:name="_Toc30473"/>
      <w:bookmarkStart w:id="102" w:name="_Toc214"/>
      <w:bookmarkStart w:id="103" w:name="_Toc31374"/>
      <w:bookmarkStart w:id="104" w:name="_Toc9309"/>
      <w:r>
        <w:rPr>
          <w:rFonts w:hint="eastAsia" w:ascii="仿宋" w:hAnsi="仿宋" w:eastAsia="仿宋" w:cs="仿宋"/>
          <w:bCs w:val="0"/>
          <w:color w:val="auto"/>
          <w:kern w:val="2"/>
          <w:sz w:val="32"/>
          <w:szCs w:val="22"/>
          <w:highlight w:val="none"/>
          <w:lang w:val="en-US" w:eastAsia="zh-CN" w:bidi="ar-SA"/>
        </w:rPr>
        <w:t>根据《工伤保险经办规程》的相关要求，加强信息系统建设，进一步完善部门间信息系统共享机制，减少工伤待遇多领、冒领现象的发生。同时，加强疑点数据筛查，增强多领、冒领追回工作力度，最大限度减少工伤基金损失。</w:t>
      </w:r>
      <w:bookmarkEnd w:id="101"/>
      <w:bookmarkEnd w:id="102"/>
      <w:bookmarkEnd w:id="103"/>
      <w:bookmarkEnd w:id="104"/>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eastAsia"/>
          <w:lang w:val="en-US" w:eastAsia="zh-CN"/>
        </w:rPr>
      </w:pPr>
    </w:p>
    <w:sectPr>
      <w:footerReference r:id="rId3" w:type="default"/>
      <w:pgSz w:w="11906" w:h="16838"/>
      <w:pgMar w:top="1701" w:right="1474" w:bottom="1701" w:left="1587" w:header="851" w:footer="1474" w:gutter="0"/>
      <w:paperSrc/>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3E4878-BD52-45DE-94E2-5848893FCA2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30293219-87A6-4E3E-8C24-BA2F2822BA7C}"/>
  </w:font>
  <w:font w:name="华康简标题宋">
    <w:altName w:val="宋体"/>
    <w:panose1 w:val="02010609000101010101"/>
    <w:charset w:val="86"/>
    <w:family w:val="modern"/>
    <w:pitch w:val="default"/>
    <w:sig w:usb0="00000000" w:usb1="00000000" w:usb2="0000001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embedRegular r:id="rId3" w:fontKey="{DE7DC7E9-00B8-4775-B177-E9C96AB98974}"/>
  </w:font>
  <w:font w:name="楷体">
    <w:panose1 w:val="02010609060101010101"/>
    <w:charset w:val="86"/>
    <w:family w:val="auto"/>
    <w:pitch w:val="default"/>
    <w:sig w:usb0="800002BF" w:usb1="38CF7CFA" w:usb2="00000016" w:usb3="00000000" w:csb0="00040001" w:csb1="00000000"/>
    <w:embedRegular r:id="rId4" w:fontKey="{B6D78EC9-5FD6-4C07-8588-26DF67C98648}"/>
  </w:font>
  <w:font w:name="仿宋">
    <w:panose1 w:val="02010609060101010101"/>
    <w:charset w:val="86"/>
    <w:family w:val="auto"/>
    <w:pitch w:val="default"/>
    <w:sig w:usb0="800002BF" w:usb1="38CF7CFA" w:usb2="00000016" w:usb3="00000000" w:csb0="00040001" w:csb1="00000000"/>
    <w:embedRegular r:id="rId5" w:fontKey="{63DDEABE-6FFF-403A-AB36-E1050927DABF}"/>
  </w:font>
  <w:font w:name="楷体_GB2312">
    <w:altName w:val="楷体"/>
    <w:panose1 w:val="00000000000000000000"/>
    <w:charset w:val="00"/>
    <w:family w:val="auto"/>
    <w:pitch w:val="default"/>
    <w:sig w:usb0="00000000" w:usb1="00000000" w:usb2="00000000" w:usb3="00000000" w:csb0="00040001" w:csb1="00000000"/>
    <w:embedRegular r:id="rId6" w:fontKey="{366E9ED0-39D4-4122-AFC2-E341BBD2111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19050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5pt;height:144pt;width:144pt;mso-position-horizontal:outside;mso-position-horizontal-relative:margin;mso-wrap-style:none;z-index:251659264;mso-width-relative:page;mso-height-relative:page;" filled="f" stroked="f" coordsize="21600,21600" o:gfxdata="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KS87j7TAAAABgEAAA8AAAAAAAAAAQAgAAAAIgAAAGRycy9kb3ducmV2LnhtbFBLAQIU&#10;ABQAAAAIAIdO4kAkgka0MQIAAGEEAAAOAAAAAAAAAAEAIAAAACIBAABkcnMvZTJvRG9jLnhtbFBL&#10;BQYAAAAABgAGAFkBAADFBQAAAAA=&#10;">
              <v:fill on="f" focussize="0,0"/>
              <v:stroke on="f" weight="0.5pt"/>
              <v:imagedata o:title=""/>
              <o:lock v:ext="edit" aspectratio="f"/>
              <v:textbox inset="0mm,0mm,0mm,0mm" style="mso-fit-shape-to-text:t;">
                <w:txbxContent>
                  <w:p>
                    <w:pPr>
                      <w:pStyle w:val="7"/>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PAGE  \* MERGEFORMAT </w:instrText>
                    </w:r>
                    <w:r>
                      <w:rPr>
                        <w:rFonts w:hint="eastAsia" w:ascii="仿宋" w:hAnsi="仿宋" w:eastAsia="仿宋" w:cs="仿宋"/>
                        <w:sz w:val="24"/>
                        <w:szCs w:val="24"/>
                      </w:rPr>
                      <w:fldChar w:fldCharType="separate"/>
                    </w:r>
                    <w:r>
                      <w:rPr>
                        <w:rFonts w:hint="eastAsia" w:ascii="仿宋" w:hAnsi="仿宋" w:eastAsia="仿宋" w:cs="仿宋"/>
                        <w:sz w:val="24"/>
                        <w:szCs w:val="24"/>
                      </w:rPr>
                      <w:t>1</w:t>
                    </w:r>
                    <w:r>
                      <w:rPr>
                        <w:rFonts w:hint="eastAsia" w:ascii="仿宋" w:hAnsi="仿宋" w:eastAsia="仿宋" w:cs="仿宋"/>
                        <w:sz w:val="24"/>
                        <w:szCs w:val="24"/>
                      </w:rPr>
                      <w:fldChar w:fldCharType="end"/>
                    </w:r>
                    <w:r>
                      <w:rPr>
                        <w:rFonts w:hint="eastAsia" w:ascii="仿宋" w:hAnsi="仿宋" w:eastAsia="仿宋" w:cs="仿宋"/>
                        <w:sz w:val="24"/>
                        <w:szCs w:val="24"/>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671B8"/>
    <w:multiLevelType w:val="multilevel"/>
    <w:tmpl w:val="610671B8"/>
    <w:lvl w:ilvl="0" w:tentative="0">
      <w:start w:val="1"/>
      <w:numFmt w:val="chineseCountingThousand"/>
      <w:pStyle w:val="5"/>
      <w:suff w:val="nothing"/>
      <w:lvlText w:val="%1、"/>
      <w:lvlJc w:val="left"/>
      <w:pPr>
        <w:ind w:left="415" w:hanging="425"/>
      </w:pPr>
      <w:rPr>
        <w:rFonts w:hint="eastAsia"/>
      </w:rPr>
    </w:lvl>
    <w:lvl w:ilvl="1" w:tentative="0">
      <w:start w:val="1"/>
      <w:numFmt w:val="chineseCountingThousand"/>
      <w:suff w:val="nothing"/>
      <w:lvlText w:val="（%2）"/>
      <w:lvlJc w:val="left"/>
      <w:pPr>
        <w:ind w:left="1399" w:hanging="567"/>
      </w:pPr>
      <w:rPr>
        <w:rFonts w:hint="eastAsia"/>
      </w:rPr>
    </w:lvl>
    <w:lvl w:ilvl="2" w:tentative="0">
      <w:start w:val="1"/>
      <w:numFmt w:val="decimal"/>
      <w:suff w:val="nothing"/>
      <w:lvlText w:val="%3. "/>
      <w:lvlJc w:val="left"/>
      <w:pPr>
        <w:ind w:left="992" w:hanging="567"/>
      </w:pPr>
      <w:rPr>
        <w:rFonts w:hint="eastAsia"/>
      </w:rPr>
    </w:lvl>
    <w:lvl w:ilvl="3" w:tentative="0">
      <w:start w:val="1"/>
      <w:numFmt w:val="decimal"/>
      <w:suff w:val="nothing"/>
      <w:lvlText w:val="（%4）"/>
      <w:lvlJc w:val="left"/>
      <w:pPr>
        <w:ind w:left="992" w:hanging="425"/>
      </w:pPr>
      <w:rPr>
        <w:rFonts w:hint="eastAsia"/>
      </w:rPr>
    </w:lvl>
    <w:lvl w:ilvl="4" w:tentative="0">
      <w:start w:val="1"/>
      <w:numFmt w:val="decimal"/>
      <w:suff w:val="nothing"/>
      <w:lvlText w:val="%5）"/>
      <w:lvlJc w:val="left"/>
      <w:pPr>
        <w:ind w:left="992" w:hanging="113"/>
      </w:pPr>
      <w:rPr>
        <w:rFonts w:hint="eastAsia"/>
      </w:rPr>
    </w:lvl>
    <w:lvl w:ilvl="5" w:tentative="0">
      <w:start w:val="1"/>
      <w:numFmt w:val="decimal"/>
      <w:suff w:val="nothing"/>
      <w:lvlText w:val="附件%6 "/>
      <w:lvlJc w:val="left"/>
      <w:pPr>
        <w:ind w:left="0" w:firstLine="0"/>
      </w:pPr>
      <w:rPr>
        <w:rFonts w:hint="eastAsia"/>
      </w:rPr>
    </w:lvl>
    <w:lvl w:ilvl="6" w:tentative="0">
      <w:start w:val="1"/>
      <w:numFmt w:val="chineseCountingThousand"/>
      <w:suff w:val="nothing"/>
      <w:lvlText w:val="%7、"/>
      <w:lvlJc w:val="left"/>
      <w:pPr>
        <w:ind w:left="992" w:hanging="567"/>
      </w:pPr>
      <w:rPr>
        <w:rFonts w:hint="eastAsia"/>
      </w:rPr>
    </w:lvl>
    <w:lvl w:ilvl="7" w:tentative="0">
      <w:start w:val="1"/>
      <w:numFmt w:val="chineseCountingThousand"/>
      <w:suff w:val="nothing"/>
      <w:lvlText w:val="（%8）"/>
      <w:lvlJc w:val="left"/>
      <w:pPr>
        <w:ind w:left="992" w:hanging="567"/>
      </w:pPr>
      <w:rPr>
        <w:rFonts w:hint="eastAsia"/>
      </w:rPr>
    </w:lvl>
    <w:lvl w:ilvl="8" w:tentative="0">
      <w:start w:val="1"/>
      <w:numFmt w:val="decimal"/>
      <w:suff w:val="nothing"/>
      <w:lvlText w:val="%9. "/>
      <w:lvlJc w:val="left"/>
      <w:pPr>
        <w:ind w:left="992" w:hanging="567"/>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wM2NmNjc2ZDBkN2JjNmRlNzllNTUwMzQ2OWJhYjAifQ=="/>
  </w:docVars>
  <w:rsids>
    <w:rsidRoot w:val="71DD2304"/>
    <w:rsid w:val="02D20C1F"/>
    <w:rsid w:val="0E194F31"/>
    <w:rsid w:val="10CF355A"/>
    <w:rsid w:val="1A202E49"/>
    <w:rsid w:val="1DB7139E"/>
    <w:rsid w:val="260418AB"/>
    <w:rsid w:val="2C7C2409"/>
    <w:rsid w:val="2EE91DDD"/>
    <w:rsid w:val="2FD666A7"/>
    <w:rsid w:val="35325A82"/>
    <w:rsid w:val="3B870ABB"/>
    <w:rsid w:val="53A51EBD"/>
    <w:rsid w:val="676168B0"/>
    <w:rsid w:val="6B080AA9"/>
    <w:rsid w:val="6FD7297A"/>
    <w:rsid w:val="711C41C0"/>
    <w:rsid w:val="71DD2304"/>
    <w:rsid w:val="7EBD6D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numPr>
        <w:ilvl w:val="0"/>
        <w:numId w:val="1"/>
      </w:numPr>
      <w:spacing w:before="120" w:after="60"/>
      <w:ind w:left="0" w:firstLine="200"/>
      <w:jc w:val="left"/>
      <w:outlineLvl w:val="0"/>
    </w:pPr>
    <w:rPr>
      <w:rFonts w:eastAsia="黑体"/>
      <w:bCs/>
      <w:kern w:val="44"/>
      <w:sz w:val="32"/>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ind w:firstLine="420" w:firstLineChars="200"/>
    </w:pPr>
  </w:style>
  <w:style w:type="paragraph" w:styleId="3">
    <w:name w:val="Body Text Indent"/>
    <w:basedOn w:val="1"/>
    <w:next w:val="4"/>
    <w:qFormat/>
    <w:uiPriority w:val="0"/>
    <w:pPr>
      <w:ind w:firstLine="4840" w:firstLineChars="1100"/>
    </w:pPr>
    <w:rPr>
      <w:rFonts w:eastAsia="华康简标题宋"/>
      <w:sz w:val="44"/>
    </w:rPr>
  </w:style>
  <w:style w:type="paragraph" w:styleId="4">
    <w:name w:val="Normal Indent"/>
    <w:basedOn w:val="1"/>
    <w:next w:val="1"/>
    <w:qFormat/>
    <w:uiPriority w:val="0"/>
    <w:pPr>
      <w:ind w:firstLine="420" w:firstLineChars="200"/>
    </w:pPr>
    <w:rPr>
      <w:rFonts w:ascii="Times New Roman" w:hAnsi="Times New Roman"/>
    </w:rPr>
  </w:style>
  <w:style w:type="paragraph" w:styleId="6">
    <w:name w:val="List 2"/>
    <w:basedOn w:val="1"/>
    <w:qFormat/>
    <w:uiPriority w:val="0"/>
    <w:pPr>
      <w:ind w:left="100" w:leftChars="200" w:hanging="200" w:hangingChars="2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11">
    <w:name w:val="Table Grid"/>
    <w:basedOn w:val="10"/>
    <w:qFormat/>
    <w:uiPriority w:val="99"/>
    <w:pPr>
      <w:spacing w:line="300" w:lineRule="exact"/>
      <w:jc w:val="center"/>
    </w:pPr>
    <w:rPr>
      <w:rFonts w:eastAsia="仿宋_GB231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blHeader/>
    </w:trPr>
    <w:tcPr>
      <w:vAlign w:val="center"/>
    </w:tcPr>
  </w:style>
  <w:style w:type="paragraph" w:customStyle="1" w:styleId="13">
    <w:name w:val="闻政正文"/>
    <w:basedOn w:val="1"/>
    <w:qFormat/>
    <w:uiPriority w:val="3"/>
    <w:pPr>
      <w:spacing w:line="500" w:lineRule="exact"/>
      <w:ind w:firstLine="200" w:firstLineChars="200"/>
    </w:pPr>
    <w:rPr>
      <w:rFonts w:ascii="Times New Roman" w:hAnsi="Times New Roman" w:eastAsia="仿宋_GB2312" w:cs="Times New Roman"/>
      <w:kern w:val="0"/>
      <w:sz w:val="28"/>
      <w:szCs w:val="28"/>
      <w:lang w:val="zh-CN"/>
    </w:rPr>
  </w:style>
  <w:style w:type="table" w:customStyle="1" w:styleId="14">
    <w:name w:val="Table Normal"/>
    <w:unhideWhenUsed/>
    <w:qFormat/>
    <w:uiPriority w:val="0"/>
    <w:tblPr>
      <w:tblCellMar>
        <w:top w:w="0" w:type="dxa"/>
        <w:left w:w="0" w:type="dxa"/>
        <w:bottom w:w="0" w:type="dxa"/>
        <w:right w:w="0" w:type="dxa"/>
      </w:tblCellMar>
    </w:tblPr>
  </w:style>
  <w:style w:type="paragraph" w:customStyle="1" w:styleId="15">
    <w:name w:val="闻政图表名"/>
    <w:basedOn w:val="1"/>
    <w:qFormat/>
    <w:uiPriority w:val="4"/>
    <w:pPr>
      <w:spacing w:before="60" w:after="60"/>
      <w:jc w:val="center"/>
    </w:pPr>
    <w:rPr>
      <w:rFonts w:ascii="Times New Roman" w:hAnsi="Times New Roman" w:eastAsia="仿宋_GB2312" w:cs="Times New Roman"/>
      <w:b/>
      <w:kern w:val="0"/>
      <w:sz w:val="24"/>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2023-12-27T00:28:00Z</dcterms:created>
  <dc:creator>最长的故事</dc:creator>
  <cp:lastModifiedBy>瑾王</cp:lastModifiedBy>
  <dcterms:modified xsi:type="dcterms:W3CDTF">2023-12-27T09:33:39Z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FC4B20F6A7734D7282972BE922EB0F37_13</vt:lpwstr>
  </property>
</Properties>
</file>