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20" w:lineRule="auto"/>
        <w:jc w:val="center"/>
        <w:rPr>
          <w:rFonts w:hint="eastAsia" w:ascii="方正小标宋简体" w:hAnsi="方正小标宋简体" w:eastAsia="方正小标宋简体" w:cs="方正小标宋简体"/>
          <w:b w:val="0"/>
          <w:bCs/>
          <w:sz w:val="44"/>
          <w:szCs w:val="44"/>
          <w:lang w:val="en-US"/>
        </w:rPr>
      </w:pPr>
      <w:r>
        <w:rPr>
          <w:rFonts w:hint="eastAsia" w:ascii="方正小标宋简体" w:hAnsi="方正小标宋简体" w:eastAsia="方正小标宋简体" w:cs="方正小标宋简体"/>
          <w:b w:val="0"/>
          <w:bCs/>
          <w:sz w:val="44"/>
          <w:szCs w:val="44"/>
          <w:lang w:val="en-US" w:eastAsia="zh-CN"/>
        </w:rPr>
        <w:t>2022年度菏泽市电子商务发展政策</w:t>
      </w:r>
    </w:p>
    <w:p>
      <w:pPr>
        <w:adjustRightInd w:val="0"/>
        <w:snapToGrid w:val="0"/>
        <w:spacing w:line="0" w:lineRule="atLeast"/>
        <w:jc w:val="center"/>
      </w:pPr>
      <w:r>
        <w:rPr>
          <w:rFonts w:hint="eastAsia" w:ascii="方正小标宋简体" w:hAnsi="方正小标宋简体" w:eastAsia="方正小标宋简体" w:cs="方正小标宋简体"/>
          <w:b w:val="0"/>
          <w:bCs/>
          <w:sz w:val="44"/>
          <w:szCs w:val="44"/>
          <w:lang w:val="zh-CN"/>
        </w:rPr>
        <w:t>绩效评价报告</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textAlignment w:val="auto"/>
        <w:rPr>
          <w:rFonts w:hint="eastAsia" w:ascii="黑体" w:hAnsi="黑体" w:eastAsia="黑体" w:cs="黑体"/>
          <w:bCs/>
          <w:sz w:val="32"/>
          <w:szCs w:val="32"/>
          <w:lang w:val="en-US" w:eastAsia="zh-CN"/>
        </w:rPr>
      </w:pPr>
    </w:p>
    <w:p>
      <w:pPr>
        <w:keepNext w:val="0"/>
        <w:keepLines w:val="0"/>
        <w:pageBreakBefore w:val="0"/>
        <w:widowControl w:val="0"/>
        <w:numPr>
          <w:ilvl w:val="0"/>
          <w:numId w:val="1"/>
        </w:numPr>
        <w:kinsoku/>
        <w:wordWrap/>
        <w:overflowPunct/>
        <w:topLinePunct w:val="0"/>
        <w:autoSpaceDE/>
        <w:autoSpaceDN/>
        <w:bidi w:val="0"/>
        <w:adjustRightInd w:val="0"/>
        <w:snapToGrid w:val="0"/>
        <w:spacing w:line="560" w:lineRule="exact"/>
        <w:ind w:left="-10" w:leftChars="0" w:firstLine="640" w:firstLineChars="0"/>
        <w:textAlignment w:val="auto"/>
        <w:outlineLvl w:val="0"/>
        <w:rPr>
          <w:rFonts w:hint="eastAsia" w:ascii="黑体" w:hAnsi="黑体" w:eastAsia="黑体" w:cs="黑体"/>
          <w:bCs/>
          <w:sz w:val="32"/>
          <w:szCs w:val="32"/>
          <w:lang w:val="en-US" w:eastAsia="zh-CN"/>
        </w:rPr>
      </w:pPr>
      <w:r>
        <w:rPr>
          <w:rFonts w:hint="eastAsia" w:ascii="黑体" w:hAnsi="黑体" w:eastAsia="黑体" w:cs="黑体"/>
          <w:sz w:val="32"/>
          <w:szCs w:val="32"/>
          <w:lang w:val="en-US" w:eastAsia="zh-CN"/>
        </w:rPr>
        <w:t>政策</w:t>
      </w:r>
      <w:r>
        <w:rPr>
          <w:rFonts w:hint="eastAsia" w:ascii="黑体" w:hAnsi="黑体" w:eastAsia="黑体" w:cs="黑体"/>
          <w:bCs/>
          <w:sz w:val="32"/>
          <w:szCs w:val="32"/>
          <w:lang w:val="en-US" w:eastAsia="zh-CN"/>
        </w:rPr>
        <w:t>基本情况</w:t>
      </w:r>
    </w:p>
    <w:p>
      <w:pPr>
        <w:pStyle w:val="12"/>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outlineLvl w:val="1"/>
        <w:rPr>
          <w:rFonts w:hint="eastAsia"/>
          <w:lang w:val="en-US" w:eastAsia="zh-CN"/>
        </w:rPr>
      </w:pPr>
      <w:r>
        <w:rPr>
          <w:rFonts w:hint="eastAsia" w:ascii="楷体" w:hAnsi="楷体" w:eastAsia="楷体" w:cs="楷体"/>
          <w:lang w:val="en-US" w:eastAsia="zh-CN"/>
        </w:rPr>
        <w:t>（一）政策概况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outlineLvl w:val="2"/>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1.政策立项背景</w:t>
      </w:r>
    </w:p>
    <w:p>
      <w:pPr>
        <w:pStyle w:val="12"/>
        <w:keepNext w:val="0"/>
        <w:keepLines w:val="0"/>
        <w:pageBreakBefore w:val="0"/>
        <w:widowControl w:val="0"/>
        <w:kinsoku/>
        <w:wordWrap/>
        <w:overflowPunct/>
        <w:topLinePunct w:val="0"/>
        <w:autoSpaceDE/>
        <w:autoSpaceDN/>
        <w:bidi w:val="0"/>
        <w:spacing w:line="560" w:lineRule="exact"/>
        <w:outlineLvl w:val="9"/>
        <w:rPr>
          <w:rFonts w:hint="eastAsia" w:ascii="仿宋_GB2312" w:hAnsi="仿宋_GB2312" w:eastAsia="仿宋_GB2312" w:cs="仿宋_GB2312"/>
          <w:lang w:val="en-US" w:eastAsia="zh-CN"/>
        </w:rPr>
      </w:pPr>
      <w:r>
        <w:rPr>
          <w:rFonts w:hint="eastAsia" w:ascii="仿宋_GB2312" w:hAnsi="仿宋_GB2312" w:eastAsia="仿宋_GB2312" w:cs="仿宋_GB2312"/>
          <w:sz w:val="32"/>
          <w:szCs w:val="32"/>
          <w:lang w:val="en-US" w:eastAsia="zh-CN"/>
        </w:rPr>
        <w:t>为进一步贯彻落实《山东省人民政府办公厅关于推进电子商务与快递物流协同发展的实施意见》</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鲁政办发</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36</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val="en-US" w:eastAsia="zh-CN"/>
        </w:rPr>
        <w:t>和《中共菏泽市委 菏泽市人民政府关于实施新旧动能转换“十大工程”加快推动菏泽后来居上的意见》</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菏发</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18</w:t>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2019年3月21日，菏泽市人民政府办公室印发《关于支持电子商务发展的实施意见》（菏政办发</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19</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val="en-US" w:eastAsia="zh-CN"/>
        </w:rPr>
        <w:t>）（以下简称《实施意见》），目的在于加快菏泽市电子商务产业转型升级，继续推进电商村镇培育工作、推动电商产品品牌化建设、支持产业园区发展、推动传统行业与电商深度融合、鼓励跨境电商发展、支持新零售全面发展。同年7月，菏泽市商务局和市财政局联合印发《菏泽市商务局 市财政局关于印发&lt;菏泽市电子商务发展专项资金管理暂行办法&gt;的通知》（菏商务</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19</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rPr>
        <w:t>号</w:t>
      </w:r>
      <w:r>
        <w:rPr>
          <w:rFonts w:hint="eastAsia" w:ascii="仿宋_GB2312" w:hAnsi="仿宋_GB2312" w:eastAsia="仿宋_GB2312" w:cs="仿宋_GB2312"/>
          <w:sz w:val="32"/>
          <w:szCs w:val="32"/>
          <w:lang w:val="en-US" w:eastAsia="zh-CN"/>
        </w:rPr>
        <w:t>）（以下简称《专项资金管理办法》），作为《实施意见</w:t>
      </w:r>
      <w:bookmarkStart w:id="105" w:name="_GoBack"/>
      <w:bookmarkEnd w:id="105"/>
      <w:r>
        <w:rPr>
          <w:rFonts w:hint="eastAsia" w:ascii="仿宋_GB2312" w:hAnsi="仿宋_GB2312" w:eastAsia="仿宋_GB2312" w:cs="仿宋_GB2312"/>
          <w:sz w:val="32"/>
          <w:szCs w:val="32"/>
          <w:lang w:val="en-US" w:eastAsia="zh-CN"/>
        </w:rPr>
        <w:t>》的政策实施工具，进一步明确电子商务发展专项资金的支持方式、方向和标准，以及项目申报条件及申报程序。该政策自2019年3月21日起开始施行，政策未列明有效期限。</w:t>
      </w:r>
    </w:p>
    <w:p>
      <w:pPr>
        <w:pStyle w:val="12"/>
        <w:keepNext w:val="0"/>
        <w:keepLines w:val="0"/>
        <w:pageBreakBefore w:val="0"/>
        <w:widowControl w:val="0"/>
        <w:kinsoku/>
        <w:wordWrap/>
        <w:overflowPunct/>
        <w:topLinePunct w:val="0"/>
        <w:autoSpaceDE/>
        <w:autoSpaceDN/>
        <w:bidi w:val="0"/>
        <w:adjustRightInd w:val="0"/>
        <w:snapToGrid w:val="0"/>
        <w:spacing w:line="560" w:lineRule="exact"/>
        <w:textAlignment w:val="auto"/>
        <w:outlineLvl w:val="2"/>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2.实施内容</w:t>
      </w:r>
    </w:p>
    <w:p>
      <w:pPr>
        <w:spacing w:line="560" w:lineRule="exact"/>
        <w:ind w:firstLine="640" w:firstLineChars="200"/>
        <w:textAlignment w:val="center"/>
        <w:rPr>
          <w:rFonts w:hint="eastAsia" w:eastAsia="仿宋_GB2312" w:cs="仿宋_GB2312"/>
          <w:sz w:val="32"/>
          <w:szCs w:val="32"/>
          <w:lang w:val="en-US" w:eastAsia="zh-CN"/>
        </w:rPr>
      </w:pPr>
      <w:r>
        <w:rPr>
          <w:rFonts w:hint="eastAsia" w:eastAsia="仿宋_GB2312" w:cs="仿宋_GB2312"/>
          <w:sz w:val="32"/>
          <w:szCs w:val="32"/>
          <w:lang w:val="en-US" w:eastAsia="zh-CN"/>
        </w:rPr>
        <w:t>为加快菏泽市电子商务产业转型升级，市人民政府办公室制定如下《实施意见》：</w:t>
      </w:r>
    </w:p>
    <w:p>
      <w:pPr>
        <w:pStyle w:val="2"/>
        <w:keepNext w:val="0"/>
        <w:keepLines w:val="0"/>
        <w:pageBreakBefore w:val="0"/>
        <w:widowControl w:val="0"/>
        <w:kinsoku/>
        <w:wordWrap/>
        <w:overflowPunct/>
        <w:topLinePunct w:val="0"/>
        <w:autoSpaceDE/>
        <w:autoSpaceDN/>
        <w:bidi w:val="0"/>
        <w:adjustRightInd/>
        <w:snapToGrid/>
        <w:spacing w:before="0" w:after="0" w:afterAutospacing="0" w:line="560" w:lineRule="exact"/>
        <w:jc w:val="center"/>
        <w:textAlignment w:val="auto"/>
        <w:rPr>
          <w:rFonts w:hint="eastAsia" w:eastAsia="黑体" w:cs="黑体"/>
          <w:sz w:val="24"/>
        </w:rPr>
      </w:pPr>
      <w:r>
        <w:rPr>
          <w:rFonts w:hint="default" w:ascii="Times New Roman" w:hAnsi="Times New Roman" w:eastAsia="黑体" w:cs="Times New Roman"/>
          <w:sz w:val="24"/>
        </w:rPr>
        <w:t>表1</w:t>
      </w:r>
      <w:r>
        <w:rPr>
          <w:rFonts w:hint="default" w:ascii="Times New Roman" w:hAnsi="Times New Roman" w:eastAsia="黑体" w:cs="Times New Roman"/>
          <w:sz w:val="24"/>
          <w:lang w:val="en-US" w:eastAsia="zh-CN"/>
        </w:rPr>
        <w:t>-1</w:t>
      </w:r>
      <w:r>
        <w:rPr>
          <w:rFonts w:hint="default" w:ascii="Times New Roman" w:hAnsi="Times New Roman" w:eastAsia="黑体" w:cs="Times New Roman"/>
          <w:sz w:val="24"/>
        </w:rPr>
        <w:t xml:space="preserve"> </w:t>
      </w:r>
      <w:r>
        <w:rPr>
          <w:rFonts w:hint="eastAsia" w:ascii="Times New Roman" w:hAnsi="Times New Roman" w:eastAsia="黑体" w:cs="Times New Roman"/>
          <w:sz w:val="24"/>
          <w:lang w:eastAsia="zh-CN"/>
        </w:rPr>
        <w:t>《</w:t>
      </w:r>
      <w:r>
        <w:rPr>
          <w:rFonts w:hint="eastAsia" w:ascii="Times New Roman" w:hAnsi="Times New Roman" w:eastAsia="黑体" w:cs="Times New Roman"/>
          <w:sz w:val="24"/>
          <w:lang w:val="en-US" w:eastAsia="zh-CN"/>
        </w:rPr>
        <w:t>实施意见</w:t>
      </w:r>
      <w:r>
        <w:rPr>
          <w:rFonts w:hint="eastAsia" w:ascii="Times New Roman" w:hAnsi="Times New Roman" w:eastAsia="黑体" w:cs="Times New Roman"/>
          <w:sz w:val="24"/>
          <w:lang w:eastAsia="zh-CN"/>
        </w:rPr>
        <w:t>》</w:t>
      </w:r>
      <w:r>
        <w:rPr>
          <w:rFonts w:hint="eastAsia" w:ascii="Times New Roman" w:hAnsi="Times New Roman" w:eastAsia="黑体" w:cs="Times New Roman"/>
          <w:sz w:val="24"/>
          <w:lang w:val="en-US" w:eastAsia="zh-CN"/>
        </w:rPr>
        <w:t>内容明细</w:t>
      </w:r>
      <w:r>
        <w:rPr>
          <w:rFonts w:hint="eastAsia" w:eastAsia="黑体" w:cs="黑体"/>
          <w:sz w:val="24"/>
        </w:rPr>
        <w:t>表</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1640"/>
        <w:gridCol w:w="4462"/>
        <w:gridCol w:w="22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91" w:type="dxa"/>
            <w:shd w:val="clear" w:color="auto" w:fill="BEBEBE"/>
            <w:noWrap w:val="0"/>
            <w:vAlign w:val="center"/>
          </w:tcPr>
          <w:p>
            <w:pPr>
              <w:pStyle w:val="2"/>
              <w:jc w:val="center"/>
              <w:rPr>
                <w:rFonts w:hint="default" w:ascii="Times New Roman" w:hAnsi="Times New Roman" w:eastAsia="宋体" w:cs="Times New Roman"/>
                <w:b/>
                <w:bCs/>
                <w:sz w:val="21"/>
                <w:szCs w:val="21"/>
                <w:vertAlign w:val="baseline"/>
                <w:lang w:val="en-US" w:eastAsia="zh-CN"/>
              </w:rPr>
            </w:pPr>
            <w:r>
              <w:rPr>
                <w:rFonts w:hint="default" w:ascii="Times New Roman" w:hAnsi="Times New Roman" w:eastAsia="宋体" w:cs="Times New Roman"/>
                <w:b/>
                <w:bCs/>
                <w:sz w:val="21"/>
                <w:szCs w:val="21"/>
                <w:vertAlign w:val="baseline"/>
                <w:lang w:val="en-US" w:eastAsia="zh-CN"/>
              </w:rPr>
              <w:t>序号</w:t>
            </w:r>
          </w:p>
        </w:tc>
        <w:tc>
          <w:tcPr>
            <w:tcW w:w="1640" w:type="dxa"/>
            <w:shd w:val="clear" w:color="auto" w:fill="BEBEBE"/>
            <w:noWrap w:val="0"/>
            <w:vAlign w:val="center"/>
          </w:tcPr>
          <w:p>
            <w:pPr>
              <w:pStyle w:val="2"/>
              <w:jc w:val="center"/>
              <w:rPr>
                <w:rFonts w:hint="default" w:ascii="Times New Roman" w:hAnsi="Times New Roman" w:eastAsia="宋体" w:cs="Times New Roman"/>
                <w:b/>
                <w:bCs/>
                <w:sz w:val="21"/>
                <w:szCs w:val="21"/>
                <w:vertAlign w:val="baseline"/>
                <w:lang w:val="en-US" w:eastAsia="zh-CN"/>
              </w:rPr>
            </w:pPr>
            <w:r>
              <w:rPr>
                <w:rFonts w:hint="default" w:ascii="Times New Roman" w:hAnsi="Times New Roman" w:eastAsia="宋体" w:cs="Times New Roman"/>
                <w:b/>
                <w:bCs/>
                <w:sz w:val="21"/>
                <w:szCs w:val="21"/>
                <w:vertAlign w:val="baseline"/>
                <w:lang w:val="en-US" w:eastAsia="zh-CN"/>
              </w:rPr>
              <w:t>意见</w:t>
            </w:r>
          </w:p>
        </w:tc>
        <w:tc>
          <w:tcPr>
            <w:tcW w:w="4462" w:type="dxa"/>
            <w:shd w:val="clear" w:color="auto" w:fill="BEBEBE"/>
            <w:noWrap w:val="0"/>
            <w:vAlign w:val="center"/>
          </w:tcPr>
          <w:p>
            <w:pPr>
              <w:pStyle w:val="2"/>
              <w:jc w:val="center"/>
              <w:rPr>
                <w:rFonts w:hint="default" w:ascii="Times New Roman" w:hAnsi="Times New Roman" w:eastAsia="宋体" w:cs="Times New Roman"/>
                <w:b/>
                <w:bCs/>
                <w:sz w:val="21"/>
                <w:szCs w:val="21"/>
                <w:vertAlign w:val="baseline"/>
                <w:lang w:val="en-US" w:eastAsia="zh-CN"/>
              </w:rPr>
            </w:pPr>
            <w:r>
              <w:rPr>
                <w:rFonts w:hint="default" w:ascii="Times New Roman" w:hAnsi="Times New Roman" w:eastAsia="宋体" w:cs="Times New Roman"/>
                <w:b/>
                <w:bCs/>
                <w:sz w:val="21"/>
                <w:szCs w:val="21"/>
                <w:vertAlign w:val="baseline"/>
                <w:lang w:val="en-US" w:eastAsia="zh-CN"/>
              </w:rPr>
              <w:t>详细内容</w:t>
            </w:r>
          </w:p>
        </w:tc>
        <w:tc>
          <w:tcPr>
            <w:tcW w:w="2265" w:type="dxa"/>
            <w:shd w:val="clear" w:color="auto" w:fill="BEBEBE"/>
            <w:noWrap w:val="0"/>
            <w:vAlign w:val="center"/>
          </w:tcPr>
          <w:p>
            <w:pPr>
              <w:pStyle w:val="2"/>
              <w:jc w:val="center"/>
              <w:rPr>
                <w:rFonts w:hint="default" w:ascii="Times New Roman" w:hAnsi="Times New Roman" w:eastAsia="宋体" w:cs="Times New Roman"/>
                <w:b/>
                <w:bCs/>
                <w:sz w:val="21"/>
                <w:szCs w:val="21"/>
                <w:vertAlign w:val="baseline"/>
                <w:lang w:val="en-US" w:eastAsia="zh-CN"/>
              </w:rPr>
            </w:pPr>
            <w:r>
              <w:rPr>
                <w:rFonts w:hint="default" w:ascii="Times New Roman" w:hAnsi="Times New Roman" w:eastAsia="宋体" w:cs="Times New Roman"/>
                <w:b/>
                <w:bCs/>
                <w:sz w:val="21"/>
                <w:szCs w:val="21"/>
                <w:vertAlign w:val="baseline"/>
                <w:lang w:val="en-US" w:eastAsia="zh-CN"/>
              </w:rPr>
              <w:t>责任单位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jc w:val="center"/>
        </w:trPr>
        <w:tc>
          <w:tcPr>
            <w:tcW w:w="691" w:type="dxa"/>
            <w:noWrap w:val="0"/>
            <w:vAlign w:val="center"/>
          </w:tcPr>
          <w:p>
            <w:pPr>
              <w:pStyle w:val="2"/>
              <w:jc w:val="center"/>
              <w:rPr>
                <w:rFonts w:hint="default" w:ascii="Times New Roman" w:hAnsi="Times New Roman" w:eastAsia="宋体" w:cs="Times New Roman"/>
                <w:sz w:val="21"/>
                <w:szCs w:val="21"/>
                <w:lang w:val="en-US" w:eastAsia="zh-CN"/>
              </w:rPr>
            </w:pPr>
            <w:r>
              <w:rPr>
                <w:rFonts w:hint="default" w:ascii="Times New Roman" w:hAnsi="Times New Roman" w:eastAsia="宋体" w:cs="Times New Roman"/>
                <w:sz w:val="21"/>
                <w:szCs w:val="21"/>
                <w:vertAlign w:val="baseline"/>
                <w:lang w:val="en-US" w:eastAsia="zh-CN"/>
              </w:rPr>
              <w:t>1</w:t>
            </w:r>
          </w:p>
        </w:tc>
        <w:tc>
          <w:tcPr>
            <w:tcW w:w="1640" w:type="dxa"/>
            <w:noWrap w:val="0"/>
            <w:vAlign w:val="center"/>
          </w:tcPr>
          <w:p>
            <w:pPr>
              <w:pStyle w:val="2"/>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促进县域电商集聚发展</w:t>
            </w:r>
          </w:p>
        </w:tc>
        <w:tc>
          <w:tcPr>
            <w:tcW w:w="4462" w:type="dxa"/>
            <w:noWrap w:val="0"/>
            <w:vAlign w:val="center"/>
          </w:tcPr>
          <w:p>
            <w:pPr>
              <w:pStyle w:val="2"/>
              <w:jc w:val="both"/>
              <w:rPr>
                <w:rFonts w:hint="default" w:ascii="Times New Roman" w:hAnsi="Times New Roman" w:eastAsia="宋体" w:cs="Times New Roman"/>
                <w:sz w:val="21"/>
                <w:szCs w:val="21"/>
                <w:vertAlign w:val="baseline"/>
              </w:rPr>
            </w:pPr>
            <w:r>
              <w:rPr>
                <w:rFonts w:hint="default" w:ascii="Times New Roman" w:hAnsi="Times New Roman" w:eastAsia="宋体" w:cs="Times New Roman"/>
                <w:sz w:val="21"/>
                <w:szCs w:val="21"/>
                <w:vertAlign w:val="baseline"/>
              </w:rPr>
              <w:t>每年对县区电商服务站点覆盖率、电商村镇覆盖率和天猫优品、京东便利店、苏宁小店等新型商业网点落地数量进行综合评定，对前三名的县区授予“菏泽市电商工作先进县区”称号，分别给予100万元、80万元、60万元奖励。</w:t>
            </w:r>
          </w:p>
        </w:tc>
        <w:tc>
          <w:tcPr>
            <w:tcW w:w="2265" w:type="dxa"/>
            <w:noWrap w:val="0"/>
            <w:vAlign w:val="center"/>
          </w:tcPr>
          <w:p>
            <w:pPr>
              <w:pStyle w:val="2"/>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市商务局、市财政局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center"/>
          </w:tcPr>
          <w:p>
            <w:pPr>
              <w:pStyle w:val="2"/>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2</w:t>
            </w:r>
          </w:p>
        </w:tc>
        <w:tc>
          <w:tcPr>
            <w:tcW w:w="1640" w:type="dxa"/>
            <w:noWrap w:val="0"/>
            <w:vAlign w:val="center"/>
          </w:tcPr>
          <w:p>
            <w:pPr>
              <w:pStyle w:val="2"/>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推动农村电商迭代升级</w:t>
            </w:r>
          </w:p>
        </w:tc>
        <w:tc>
          <w:tcPr>
            <w:tcW w:w="4462" w:type="dxa"/>
            <w:noWrap w:val="0"/>
            <w:vAlign w:val="center"/>
          </w:tcPr>
          <w:p>
            <w:pPr>
              <w:pStyle w:val="2"/>
              <w:jc w:val="both"/>
              <w:rPr>
                <w:rFonts w:hint="default" w:ascii="Times New Roman" w:hAnsi="Times New Roman" w:eastAsia="宋体" w:cs="Times New Roman"/>
                <w:sz w:val="21"/>
                <w:szCs w:val="21"/>
                <w:vertAlign w:val="baseline"/>
              </w:rPr>
            </w:pPr>
            <w:r>
              <w:rPr>
                <w:rFonts w:hint="default" w:ascii="Times New Roman" w:hAnsi="Times New Roman" w:eastAsia="宋体" w:cs="Times New Roman"/>
                <w:sz w:val="21"/>
                <w:szCs w:val="21"/>
                <w:vertAlign w:val="baseline"/>
              </w:rPr>
              <w:t>对每年新增的“中国淘宝镇”、“中国淘宝村”，分别给予20万元、10 万元奖励。支持乡村振兴与电商行业扶贫相结合，支持电商企业利用扶贫车间进行代加工生产，帮扶贫困户就业创业，对每年帮扶贫困户50人以上的电商企业，给予5万元奖励</w:t>
            </w:r>
            <w:r>
              <w:rPr>
                <w:rFonts w:hint="eastAsia" w:ascii="Times New Roman" w:hAnsi="Times New Roman" w:eastAsia="宋体" w:cs="Times New Roman"/>
                <w:sz w:val="21"/>
                <w:szCs w:val="21"/>
                <w:vertAlign w:val="baseline"/>
                <w:lang w:eastAsia="zh-CN"/>
              </w:rPr>
              <w:t>。</w:t>
            </w:r>
            <w:r>
              <w:rPr>
                <w:rFonts w:hint="default" w:ascii="Times New Roman" w:hAnsi="Times New Roman" w:eastAsia="宋体" w:cs="Times New Roman"/>
                <w:sz w:val="21"/>
                <w:szCs w:val="21"/>
                <w:vertAlign w:val="baseline"/>
              </w:rPr>
              <w:t>依托</w:t>
            </w:r>
            <w:r>
              <w:rPr>
                <w:rFonts w:hint="eastAsia" w:ascii="Times New Roman" w:hAnsi="Times New Roman" w:eastAsia="宋体" w:cs="Times New Roman"/>
                <w:sz w:val="21"/>
                <w:szCs w:val="21"/>
                <w:vertAlign w:val="baseline"/>
                <w:lang w:val="en-US" w:eastAsia="zh-CN"/>
              </w:rPr>
              <w:t>菏泽</w:t>
            </w:r>
            <w:r>
              <w:rPr>
                <w:rFonts w:hint="default" w:ascii="Times New Roman" w:hAnsi="Times New Roman" w:eastAsia="宋体" w:cs="Times New Roman"/>
                <w:sz w:val="21"/>
                <w:szCs w:val="21"/>
                <w:vertAlign w:val="baseline"/>
              </w:rPr>
              <w:t>市特色资源优势和互联网基础，推动家具、牡丹、芦笋</w:t>
            </w:r>
            <w:r>
              <w:rPr>
                <w:rFonts w:hint="eastAsia" w:ascii="Times New Roman" w:hAnsi="Times New Roman" w:eastAsia="宋体" w:cs="Times New Roman"/>
                <w:sz w:val="21"/>
                <w:szCs w:val="21"/>
                <w:vertAlign w:val="baseline"/>
                <w:lang w:eastAsia="zh-CN"/>
              </w:rPr>
              <w:t>、</w:t>
            </w:r>
            <w:r>
              <w:rPr>
                <w:rFonts w:hint="default" w:ascii="Times New Roman" w:hAnsi="Times New Roman" w:eastAsia="宋体" w:cs="Times New Roman"/>
                <w:sz w:val="21"/>
                <w:szCs w:val="21"/>
                <w:vertAlign w:val="baseline"/>
              </w:rPr>
              <w:t>山药、表演服饰、人发等本地农特产品利用互联网实现农特产品上行。</w:t>
            </w:r>
          </w:p>
        </w:tc>
        <w:tc>
          <w:tcPr>
            <w:tcW w:w="2265" w:type="dxa"/>
            <w:noWrap w:val="0"/>
            <w:vAlign w:val="center"/>
          </w:tcPr>
          <w:p>
            <w:pPr>
              <w:pStyle w:val="2"/>
              <w:jc w:val="center"/>
              <w:rPr>
                <w:rFonts w:hint="default" w:ascii="Times New Roman" w:hAnsi="Times New Roman" w:eastAsia="宋体" w:cs="Times New Roman"/>
                <w:sz w:val="21"/>
                <w:szCs w:val="21"/>
                <w:vertAlign w:val="baseline"/>
                <w:lang w:val="en-US"/>
              </w:rPr>
            </w:pPr>
            <w:r>
              <w:rPr>
                <w:rFonts w:hint="default" w:ascii="Times New Roman" w:hAnsi="Times New Roman" w:eastAsia="宋体" w:cs="Times New Roman"/>
                <w:sz w:val="21"/>
                <w:szCs w:val="21"/>
                <w:vertAlign w:val="baseline"/>
                <w:lang w:val="en-US" w:eastAsia="zh-CN"/>
              </w:rPr>
              <w:t>市商务局、各区县人民政府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center"/>
          </w:tcPr>
          <w:p>
            <w:pPr>
              <w:pStyle w:val="2"/>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3</w:t>
            </w:r>
          </w:p>
        </w:tc>
        <w:tc>
          <w:tcPr>
            <w:tcW w:w="1640" w:type="dxa"/>
            <w:noWrap w:val="0"/>
            <w:vAlign w:val="center"/>
          </w:tcPr>
          <w:p>
            <w:pPr>
              <w:pStyle w:val="2"/>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支持工业电商做强做优</w:t>
            </w:r>
          </w:p>
        </w:tc>
        <w:tc>
          <w:tcPr>
            <w:tcW w:w="4462" w:type="dxa"/>
            <w:noWrap w:val="0"/>
            <w:vAlign w:val="center"/>
          </w:tcPr>
          <w:p>
            <w:pPr>
              <w:pStyle w:val="2"/>
              <w:jc w:val="both"/>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sz w:val="21"/>
                <w:szCs w:val="21"/>
                <w:vertAlign w:val="baseline"/>
              </w:rPr>
              <w:t xml:space="preserve">生产性实体企业通过电商平台实现产品销售且税收贡献在菏泽市的，按平台年度销售增量的1%给予奖励，每年不超过50万元。大力培育发展一批新实体经济，对年销售额 </w:t>
            </w:r>
            <w:r>
              <w:rPr>
                <w:rFonts w:hint="eastAsia" w:ascii="Times New Roman" w:hAnsi="Times New Roman" w:eastAsia="宋体" w:cs="Times New Roman"/>
                <w:sz w:val="21"/>
                <w:szCs w:val="21"/>
                <w:vertAlign w:val="baseline"/>
                <w:lang w:eastAsia="zh-CN"/>
              </w:rPr>
              <w:t>（</w:t>
            </w:r>
            <w:r>
              <w:rPr>
                <w:rFonts w:hint="default" w:ascii="Times New Roman" w:hAnsi="Times New Roman" w:eastAsia="宋体" w:cs="Times New Roman"/>
                <w:sz w:val="21"/>
                <w:szCs w:val="21"/>
                <w:vertAlign w:val="baseline"/>
              </w:rPr>
              <w:t>通过互联网销售超过30%</w:t>
            </w:r>
            <w:r>
              <w:rPr>
                <w:rFonts w:hint="eastAsia" w:ascii="Times New Roman" w:hAnsi="Times New Roman" w:eastAsia="宋体" w:cs="Times New Roman"/>
                <w:sz w:val="21"/>
                <w:szCs w:val="21"/>
                <w:vertAlign w:val="baseline"/>
                <w:lang w:eastAsia="zh-CN"/>
              </w:rPr>
              <w:t>）</w:t>
            </w:r>
            <w:r>
              <w:rPr>
                <w:rFonts w:hint="default" w:ascii="Times New Roman" w:hAnsi="Times New Roman" w:eastAsia="宋体" w:cs="Times New Roman"/>
                <w:sz w:val="21"/>
                <w:szCs w:val="21"/>
                <w:vertAlign w:val="baseline"/>
              </w:rPr>
              <w:t>超过1亿元、5亿元、10亿元的，分别给予10万元、20万元、30万元奖励。对到全国中小企业股份转让系统等交易中心挂牌交易上市的重点电商企业，给予30万元奖励</w:t>
            </w:r>
            <w:r>
              <w:rPr>
                <w:rFonts w:hint="default" w:ascii="Times New Roman" w:hAnsi="Times New Roman" w:eastAsia="宋体" w:cs="Times New Roman"/>
                <w:sz w:val="21"/>
                <w:szCs w:val="21"/>
                <w:vertAlign w:val="baseline"/>
                <w:lang w:eastAsia="zh-CN"/>
              </w:rPr>
              <w:t>。</w:t>
            </w:r>
          </w:p>
        </w:tc>
        <w:tc>
          <w:tcPr>
            <w:tcW w:w="2265" w:type="dxa"/>
            <w:noWrap w:val="0"/>
            <w:vAlign w:val="center"/>
          </w:tcPr>
          <w:p>
            <w:pPr>
              <w:pStyle w:val="2"/>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市工业和信息化局、市税务局、市地方金融监管局、各区县人民政府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center"/>
          </w:tcPr>
          <w:p>
            <w:pPr>
              <w:pStyle w:val="2"/>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4</w:t>
            </w:r>
          </w:p>
        </w:tc>
        <w:tc>
          <w:tcPr>
            <w:tcW w:w="1640" w:type="dxa"/>
            <w:noWrap w:val="0"/>
            <w:vAlign w:val="center"/>
          </w:tcPr>
          <w:p>
            <w:pPr>
              <w:pStyle w:val="2"/>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支持服务业电商创新发展</w:t>
            </w:r>
          </w:p>
        </w:tc>
        <w:tc>
          <w:tcPr>
            <w:tcW w:w="4462" w:type="dxa"/>
            <w:noWrap w:val="0"/>
            <w:vAlign w:val="center"/>
          </w:tcPr>
          <w:p>
            <w:pPr>
              <w:pStyle w:val="2"/>
              <w:jc w:val="both"/>
              <w:rPr>
                <w:rFonts w:hint="default" w:ascii="Times New Roman" w:hAnsi="Times New Roman" w:eastAsia="宋体" w:cs="Times New Roman"/>
                <w:sz w:val="21"/>
                <w:szCs w:val="21"/>
                <w:vertAlign w:val="baseline"/>
              </w:rPr>
            </w:pPr>
            <w:r>
              <w:rPr>
                <w:rFonts w:hint="default" w:ascii="Times New Roman" w:hAnsi="Times New Roman" w:eastAsia="宋体" w:cs="Times New Roman"/>
                <w:sz w:val="21"/>
                <w:szCs w:val="21"/>
                <w:vertAlign w:val="baseline"/>
              </w:rPr>
              <w:t>对提供专业化服务的电子商务专业服务企业，年营业额超过1000万元且税收贡献在菏泽市的，按照服务营业额增量的1%给予不超过30 万元奖励。推动传统行业与电商深度融合，培育一批电子商务示范商场、市场和特色街区，发展网购店送、网购店取等电子商务新型服务模式。</w:t>
            </w:r>
          </w:p>
        </w:tc>
        <w:tc>
          <w:tcPr>
            <w:tcW w:w="2265" w:type="dxa"/>
            <w:noWrap w:val="0"/>
            <w:vAlign w:val="center"/>
          </w:tcPr>
          <w:p>
            <w:pPr>
              <w:pStyle w:val="2"/>
              <w:jc w:val="center"/>
              <w:rPr>
                <w:rFonts w:hint="default" w:ascii="Times New Roman" w:hAnsi="Times New Roman" w:eastAsia="宋体" w:cs="Times New Roman"/>
                <w:sz w:val="21"/>
                <w:szCs w:val="21"/>
                <w:vertAlign w:val="baseline"/>
              </w:rPr>
            </w:pPr>
            <w:r>
              <w:rPr>
                <w:rFonts w:hint="default" w:ascii="Times New Roman" w:hAnsi="Times New Roman" w:eastAsia="宋体" w:cs="Times New Roman"/>
                <w:sz w:val="21"/>
                <w:szCs w:val="21"/>
                <w:vertAlign w:val="baseline"/>
                <w:lang w:val="en-US" w:eastAsia="zh-CN"/>
              </w:rPr>
              <w:t>市商务局、市税务局、各区县人民政府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center"/>
          </w:tcPr>
          <w:p>
            <w:pPr>
              <w:pStyle w:val="2"/>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5</w:t>
            </w:r>
          </w:p>
        </w:tc>
        <w:tc>
          <w:tcPr>
            <w:tcW w:w="1640" w:type="dxa"/>
            <w:noWrap w:val="0"/>
            <w:vAlign w:val="center"/>
          </w:tcPr>
          <w:p>
            <w:pPr>
              <w:pStyle w:val="2"/>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助力跨境电商跨越发展</w:t>
            </w:r>
          </w:p>
        </w:tc>
        <w:tc>
          <w:tcPr>
            <w:tcW w:w="4462" w:type="dxa"/>
            <w:noWrap w:val="0"/>
            <w:vAlign w:val="center"/>
          </w:tcPr>
          <w:p>
            <w:pPr>
              <w:pStyle w:val="2"/>
              <w:jc w:val="both"/>
              <w:rPr>
                <w:rFonts w:hint="default" w:ascii="Times New Roman" w:hAnsi="Times New Roman" w:eastAsia="宋体" w:cs="Times New Roman"/>
                <w:sz w:val="21"/>
                <w:szCs w:val="21"/>
                <w:vertAlign w:val="baseline"/>
              </w:rPr>
            </w:pPr>
            <w:r>
              <w:rPr>
                <w:rFonts w:hint="default" w:ascii="Times New Roman" w:hAnsi="Times New Roman" w:eastAsia="宋体" w:cs="Times New Roman"/>
                <w:sz w:val="21"/>
                <w:szCs w:val="21"/>
                <w:vertAlign w:val="baseline"/>
              </w:rPr>
              <w:t>跨境电商企业年销售额达到100万美元</w:t>
            </w:r>
            <w:r>
              <w:rPr>
                <w:rFonts w:hint="eastAsia" w:ascii="Times New Roman" w:hAnsi="Times New Roman" w:eastAsia="宋体" w:cs="Times New Roman"/>
                <w:sz w:val="21"/>
                <w:szCs w:val="21"/>
                <w:vertAlign w:val="baseline"/>
                <w:lang w:val="en-US" w:eastAsia="zh-CN"/>
              </w:rPr>
              <w:t>（</w:t>
            </w:r>
            <w:r>
              <w:rPr>
                <w:rFonts w:hint="default" w:ascii="Times New Roman" w:hAnsi="Times New Roman" w:eastAsia="宋体" w:cs="Times New Roman"/>
                <w:sz w:val="21"/>
                <w:szCs w:val="21"/>
                <w:vertAlign w:val="baseline"/>
              </w:rPr>
              <w:t>海关数据</w:t>
            </w:r>
            <w:r>
              <w:rPr>
                <w:rFonts w:hint="eastAsia" w:ascii="Times New Roman" w:hAnsi="Times New Roman" w:eastAsia="宋体" w:cs="Times New Roman"/>
                <w:sz w:val="21"/>
                <w:szCs w:val="21"/>
                <w:vertAlign w:val="baseline"/>
                <w:lang w:val="en-US" w:eastAsia="zh-CN"/>
              </w:rPr>
              <w:t>）</w:t>
            </w:r>
            <w:r>
              <w:rPr>
                <w:rFonts w:hint="default" w:ascii="Times New Roman" w:hAnsi="Times New Roman" w:eastAsia="宋体" w:cs="Times New Roman"/>
                <w:sz w:val="21"/>
                <w:szCs w:val="21"/>
                <w:vertAlign w:val="baseline"/>
              </w:rPr>
              <w:t>以上、租用海外仓的，按其产生费用的30%给予补助，每年不超过20万元。企业设立跨境电商海外仓的，连续三年给予20%补助</w:t>
            </w:r>
            <w:r>
              <w:rPr>
                <w:rFonts w:hint="eastAsia" w:ascii="Times New Roman" w:hAnsi="Times New Roman" w:eastAsia="宋体" w:cs="Times New Roman"/>
                <w:sz w:val="21"/>
                <w:szCs w:val="21"/>
                <w:vertAlign w:val="baseline"/>
                <w:lang w:eastAsia="zh-CN"/>
              </w:rPr>
              <w:t>。</w:t>
            </w:r>
            <w:r>
              <w:rPr>
                <w:rFonts w:hint="default" w:ascii="Times New Roman" w:hAnsi="Times New Roman" w:eastAsia="宋体" w:cs="Times New Roman"/>
                <w:sz w:val="21"/>
                <w:szCs w:val="21"/>
                <w:vertAlign w:val="baseline"/>
              </w:rPr>
              <w:t>对于年税收额在菏泽市达到500万元以上的跨境电商企业，给予税收额1%奖励。</w:t>
            </w:r>
          </w:p>
        </w:tc>
        <w:tc>
          <w:tcPr>
            <w:tcW w:w="2265" w:type="dxa"/>
            <w:noWrap w:val="0"/>
            <w:vAlign w:val="center"/>
          </w:tcPr>
          <w:p>
            <w:pPr>
              <w:pStyle w:val="2"/>
              <w:jc w:val="center"/>
              <w:rPr>
                <w:rFonts w:hint="default" w:ascii="Times New Roman" w:hAnsi="Times New Roman" w:eastAsia="宋体" w:cs="Times New Roman"/>
                <w:sz w:val="21"/>
                <w:szCs w:val="21"/>
                <w:vertAlign w:val="baseline"/>
              </w:rPr>
            </w:pPr>
            <w:r>
              <w:rPr>
                <w:rFonts w:hint="default" w:ascii="Times New Roman" w:hAnsi="Times New Roman" w:eastAsia="宋体" w:cs="Times New Roman"/>
                <w:sz w:val="21"/>
                <w:szCs w:val="21"/>
                <w:vertAlign w:val="baseline"/>
                <w:lang w:val="en-US" w:eastAsia="zh-CN"/>
              </w:rPr>
              <w:t>市商务局、菏泽海关、市税务局、各区县人民政府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center"/>
          </w:tcPr>
          <w:p>
            <w:pPr>
              <w:pStyle w:val="2"/>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6</w:t>
            </w:r>
          </w:p>
        </w:tc>
        <w:tc>
          <w:tcPr>
            <w:tcW w:w="1640" w:type="dxa"/>
            <w:noWrap w:val="0"/>
            <w:vAlign w:val="center"/>
          </w:tcPr>
          <w:p>
            <w:pPr>
              <w:pStyle w:val="2"/>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鼓励电商平台总部建设</w:t>
            </w:r>
          </w:p>
        </w:tc>
        <w:tc>
          <w:tcPr>
            <w:tcW w:w="4462" w:type="dxa"/>
            <w:noWrap w:val="0"/>
            <w:vAlign w:val="center"/>
          </w:tcPr>
          <w:p>
            <w:pPr>
              <w:pStyle w:val="2"/>
              <w:jc w:val="both"/>
              <w:rPr>
                <w:rFonts w:hint="default" w:ascii="Times New Roman" w:hAnsi="Times New Roman" w:eastAsia="宋体" w:cs="Times New Roman"/>
                <w:sz w:val="21"/>
                <w:szCs w:val="21"/>
                <w:vertAlign w:val="baseline"/>
                <w:lang w:eastAsia="zh-CN"/>
              </w:rPr>
            </w:pPr>
            <w:r>
              <w:rPr>
                <w:rFonts w:hint="default" w:ascii="Times New Roman" w:hAnsi="Times New Roman" w:eastAsia="宋体" w:cs="Times New Roman"/>
                <w:sz w:val="21"/>
                <w:szCs w:val="21"/>
                <w:vertAlign w:val="baseline"/>
              </w:rPr>
              <w:t>鼓励发展垂直类电商平台和自建电商平台，垂直类电商平台年网络销售额超过5亿元的，给予每年30万元奖励</w:t>
            </w:r>
            <w:r>
              <w:rPr>
                <w:rFonts w:hint="eastAsia" w:ascii="Times New Roman" w:hAnsi="Times New Roman" w:eastAsia="宋体" w:cs="Times New Roman"/>
                <w:sz w:val="21"/>
                <w:szCs w:val="21"/>
                <w:vertAlign w:val="baseline"/>
                <w:lang w:eastAsia="zh-CN"/>
              </w:rPr>
              <w:t>；</w:t>
            </w:r>
            <w:r>
              <w:rPr>
                <w:rFonts w:hint="default" w:ascii="Times New Roman" w:hAnsi="Times New Roman" w:eastAsia="宋体" w:cs="Times New Roman"/>
                <w:sz w:val="21"/>
                <w:szCs w:val="21"/>
                <w:vertAlign w:val="baseline"/>
              </w:rPr>
              <w:t>自建电商平台年网络销售额超过1000万元且年税收额达到500万元的，按照税收额5%给予奖励。积极招引国内外知名电子商务企业在菏泽市设立区域</w:t>
            </w:r>
            <w:r>
              <w:rPr>
                <w:rFonts w:hint="eastAsia" w:ascii="Times New Roman" w:hAnsi="Times New Roman" w:eastAsia="宋体" w:cs="Times New Roman"/>
                <w:sz w:val="21"/>
                <w:szCs w:val="21"/>
                <w:vertAlign w:val="baseline"/>
                <w:lang w:eastAsia="zh-CN"/>
              </w:rPr>
              <w:t>（</w:t>
            </w:r>
            <w:r>
              <w:rPr>
                <w:rFonts w:hint="default" w:ascii="Times New Roman" w:hAnsi="Times New Roman" w:eastAsia="宋体" w:cs="Times New Roman"/>
                <w:sz w:val="21"/>
                <w:szCs w:val="21"/>
                <w:vertAlign w:val="baseline"/>
              </w:rPr>
              <w:t>含功能性</w:t>
            </w:r>
            <w:r>
              <w:rPr>
                <w:rFonts w:hint="eastAsia" w:ascii="Times New Roman" w:hAnsi="Times New Roman" w:eastAsia="宋体" w:cs="Times New Roman"/>
                <w:sz w:val="21"/>
                <w:szCs w:val="21"/>
                <w:vertAlign w:val="baseline"/>
                <w:lang w:eastAsia="zh-CN"/>
              </w:rPr>
              <w:t>）</w:t>
            </w:r>
            <w:r>
              <w:rPr>
                <w:rFonts w:hint="default" w:ascii="Times New Roman" w:hAnsi="Times New Roman" w:eastAsia="宋体" w:cs="Times New Roman"/>
                <w:sz w:val="21"/>
                <w:szCs w:val="21"/>
                <w:vertAlign w:val="baseline"/>
              </w:rPr>
              <w:t>总部，开发发展电子商务项目，年税收额在菏泽市贡献超过500万元的，在用地、财政支持上实行</w:t>
            </w:r>
            <w:r>
              <w:rPr>
                <w:rFonts w:hint="default" w:ascii="Times New Roman" w:hAnsi="Times New Roman" w:eastAsia="宋体" w:cs="Times New Roman"/>
                <w:sz w:val="21"/>
                <w:szCs w:val="21"/>
                <w:vertAlign w:val="baseline"/>
                <w:lang w:eastAsia="zh-CN"/>
              </w:rPr>
              <w:t>“</w:t>
            </w:r>
            <w:r>
              <w:rPr>
                <w:rFonts w:hint="default" w:ascii="Times New Roman" w:hAnsi="Times New Roman" w:eastAsia="宋体" w:cs="Times New Roman"/>
                <w:sz w:val="21"/>
                <w:szCs w:val="21"/>
                <w:vertAlign w:val="baseline"/>
                <w:lang w:val="en-US" w:eastAsia="zh-CN"/>
              </w:rPr>
              <w:t>一事一议</w:t>
            </w:r>
            <w:r>
              <w:rPr>
                <w:rFonts w:hint="default" w:ascii="Times New Roman" w:hAnsi="Times New Roman" w:eastAsia="宋体" w:cs="Times New Roman"/>
                <w:sz w:val="21"/>
                <w:szCs w:val="21"/>
                <w:vertAlign w:val="baseline"/>
                <w:lang w:eastAsia="zh-CN"/>
              </w:rPr>
              <w:t>”。</w:t>
            </w:r>
          </w:p>
        </w:tc>
        <w:tc>
          <w:tcPr>
            <w:tcW w:w="2265" w:type="dxa"/>
            <w:noWrap w:val="0"/>
            <w:vAlign w:val="center"/>
          </w:tcPr>
          <w:p>
            <w:pPr>
              <w:pStyle w:val="2"/>
              <w:jc w:val="center"/>
              <w:rPr>
                <w:rFonts w:hint="default" w:ascii="Times New Roman" w:hAnsi="Times New Roman" w:eastAsia="宋体" w:cs="Times New Roman"/>
                <w:sz w:val="21"/>
                <w:szCs w:val="21"/>
                <w:vertAlign w:val="baseline"/>
              </w:rPr>
            </w:pPr>
            <w:r>
              <w:rPr>
                <w:rFonts w:hint="default" w:ascii="Times New Roman" w:hAnsi="Times New Roman" w:eastAsia="宋体" w:cs="Times New Roman"/>
                <w:sz w:val="21"/>
                <w:szCs w:val="21"/>
                <w:vertAlign w:val="baseline"/>
                <w:lang w:val="en-US" w:eastAsia="zh-CN"/>
              </w:rPr>
              <w:t>市商务局、市工业和信息化局、市财政局、市自然资源和规划局、市税务局、各区县人民政府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center"/>
          </w:tcPr>
          <w:p>
            <w:pPr>
              <w:pStyle w:val="2"/>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7</w:t>
            </w:r>
          </w:p>
        </w:tc>
        <w:tc>
          <w:tcPr>
            <w:tcW w:w="1640" w:type="dxa"/>
            <w:noWrap w:val="0"/>
            <w:vAlign w:val="center"/>
          </w:tcPr>
          <w:p>
            <w:pPr>
              <w:pStyle w:val="2"/>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支持电子商务产业园区发展</w:t>
            </w:r>
          </w:p>
        </w:tc>
        <w:tc>
          <w:tcPr>
            <w:tcW w:w="4462" w:type="dxa"/>
            <w:noWrap w:val="0"/>
            <w:vAlign w:val="center"/>
          </w:tcPr>
          <w:p>
            <w:pPr>
              <w:pStyle w:val="2"/>
              <w:jc w:val="both"/>
              <w:rPr>
                <w:rFonts w:hint="default" w:ascii="Times New Roman" w:hAnsi="Times New Roman" w:eastAsia="宋体" w:cs="Times New Roman"/>
                <w:sz w:val="21"/>
                <w:szCs w:val="21"/>
                <w:vertAlign w:val="baseline"/>
              </w:rPr>
            </w:pPr>
            <w:r>
              <w:rPr>
                <w:rFonts w:hint="default" w:ascii="Times New Roman" w:hAnsi="Times New Roman" w:eastAsia="宋体" w:cs="Times New Roman"/>
                <w:sz w:val="21"/>
                <w:szCs w:val="21"/>
                <w:vertAlign w:val="baseline"/>
              </w:rPr>
              <w:t>对入驻并正常经营的电商企业首次达到50家且当年税收额达到1000万元以上的电子商务产业园，给予建设运营主体10万元一次性奖励</w:t>
            </w:r>
            <w:r>
              <w:rPr>
                <w:rFonts w:hint="eastAsia" w:ascii="Times New Roman" w:hAnsi="Times New Roman" w:eastAsia="宋体" w:cs="Times New Roman"/>
                <w:sz w:val="21"/>
                <w:szCs w:val="21"/>
                <w:vertAlign w:val="baseline"/>
                <w:lang w:eastAsia="zh-CN"/>
              </w:rPr>
              <w:t>；</w:t>
            </w:r>
            <w:r>
              <w:rPr>
                <w:rFonts w:hint="default" w:ascii="Times New Roman" w:hAnsi="Times New Roman" w:eastAsia="宋体" w:cs="Times New Roman"/>
                <w:sz w:val="21"/>
                <w:szCs w:val="21"/>
                <w:vertAlign w:val="baseline"/>
              </w:rPr>
              <w:t>首次达到100家且当年税收额达到2000万元以上的，给予建设运营主体20万元一次性奖励。当年度被评为国家级、省级、市级电子商务示范基地</w:t>
            </w:r>
            <w:r>
              <w:rPr>
                <w:rFonts w:hint="eastAsia" w:ascii="Times New Roman" w:hAnsi="Times New Roman" w:eastAsia="宋体" w:cs="Times New Roman"/>
                <w:sz w:val="21"/>
                <w:szCs w:val="21"/>
                <w:vertAlign w:val="baseline"/>
                <w:lang w:eastAsia="zh-CN"/>
              </w:rPr>
              <w:t>（</w:t>
            </w:r>
            <w:r>
              <w:rPr>
                <w:rFonts w:hint="default" w:ascii="Times New Roman" w:hAnsi="Times New Roman" w:eastAsia="宋体" w:cs="Times New Roman"/>
                <w:sz w:val="21"/>
                <w:szCs w:val="21"/>
                <w:vertAlign w:val="baseline"/>
              </w:rPr>
              <w:t>园区、企业</w:t>
            </w:r>
            <w:r>
              <w:rPr>
                <w:rFonts w:hint="eastAsia" w:ascii="Times New Roman" w:hAnsi="Times New Roman" w:eastAsia="宋体" w:cs="Times New Roman"/>
                <w:sz w:val="21"/>
                <w:szCs w:val="21"/>
                <w:vertAlign w:val="baseline"/>
                <w:lang w:eastAsia="zh-CN"/>
              </w:rPr>
              <w:t>）</w:t>
            </w:r>
            <w:r>
              <w:rPr>
                <w:rFonts w:hint="default" w:ascii="Times New Roman" w:hAnsi="Times New Roman" w:eastAsia="宋体" w:cs="Times New Roman"/>
                <w:sz w:val="21"/>
                <w:szCs w:val="21"/>
                <w:vertAlign w:val="baseline"/>
              </w:rPr>
              <w:t>的，分别给予20万元、10万元、5万元奖励。</w:t>
            </w:r>
          </w:p>
        </w:tc>
        <w:tc>
          <w:tcPr>
            <w:tcW w:w="2265" w:type="dxa"/>
            <w:noWrap w:val="0"/>
            <w:vAlign w:val="center"/>
          </w:tcPr>
          <w:p>
            <w:pPr>
              <w:pStyle w:val="2"/>
              <w:jc w:val="center"/>
              <w:rPr>
                <w:rFonts w:hint="default" w:ascii="Times New Roman" w:hAnsi="Times New Roman" w:eastAsia="宋体" w:cs="Times New Roman"/>
                <w:sz w:val="21"/>
                <w:szCs w:val="21"/>
                <w:vertAlign w:val="baseline"/>
              </w:rPr>
            </w:pPr>
            <w:r>
              <w:rPr>
                <w:rFonts w:hint="default" w:ascii="Times New Roman" w:hAnsi="Times New Roman" w:eastAsia="宋体" w:cs="Times New Roman"/>
                <w:sz w:val="21"/>
                <w:szCs w:val="21"/>
                <w:vertAlign w:val="baseline"/>
                <w:lang w:val="en-US" w:eastAsia="zh-CN"/>
              </w:rPr>
              <w:t>市商务局、市税务局、各区县人民政府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center"/>
          </w:tcPr>
          <w:p>
            <w:pPr>
              <w:pStyle w:val="2"/>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8</w:t>
            </w:r>
          </w:p>
        </w:tc>
        <w:tc>
          <w:tcPr>
            <w:tcW w:w="1640" w:type="dxa"/>
            <w:noWrap w:val="0"/>
            <w:vAlign w:val="center"/>
          </w:tcPr>
          <w:p>
            <w:pPr>
              <w:pStyle w:val="2"/>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支持“互联网+品牌”创建</w:t>
            </w:r>
          </w:p>
        </w:tc>
        <w:tc>
          <w:tcPr>
            <w:tcW w:w="4462" w:type="dxa"/>
            <w:noWrap w:val="0"/>
            <w:vAlign w:val="center"/>
          </w:tcPr>
          <w:p>
            <w:pPr>
              <w:pStyle w:val="2"/>
              <w:jc w:val="both"/>
              <w:rPr>
                <w:rFonts w:hint="default" w:ascii="Times New Roman" w:hAnsi="Times New Roman" w:eastAsia="宋体" w:cs="Times New Roman"/>
                <w:sz w:val="21"/>
                <w:szCs w:val="21"/>
                <w:vertAlign w:val="baseline"/>
              </w:rPr>
            </w:pPr>
            <w:r>
              <w:rPr>
                <w:rFonts w:hint="default" w:ascii="Times New Roman" w:hAnsi="Times New Roman" w:eastAsia="宋体" w:cs="Times New Roman"/>
                <w:sz w:val="21"/>
                <w:szCs w:val="21"/>
                <w:vertAlign w:val="baseline"/>
              </w:rPr>
              <w:t>对当年获批山东省商务厅评定的“互联网</w:t>
            </w:r>
            <w:r>
              <w:rPr>
                <w:rFonts w:hint="eastAsia" w:ascii="Times New Roman" w:hAnsi="Times New Roman" w:eastAsia="宋体" w:cs="Times New Roman"/>
                <w:sz w:val="21"/>
                <w:szCs w:val="21"/>
                <w:vertAlign w:val="baseline"/>
                <w:lang w:val="en-US" w:eastAsia="zh-CN"/>
              </w:rPr>
              <w:t>+</w:t>
            </w:r>
            <w:r>
              <w:rPr>
                <w:rFonts w:hint="default" w:ascii="Times New Roman" w:hAnsi="Times New Roman" w:eastAsia="宋体" w:cs="Times New Roman"/>
                <w:sz w:val="21"/>
                <w:szCs w:val="21"/>
                <w:vertAlign w:val="baseline"/>
              </w:rPr>
              <w:t>品牌”企业，利用媒体资源进行宣传推广，提高企业知名度，并给予50万元奖励。对新获批“马德里商标”等境外知名商标的跨境电商企业，给予注册商标费用60%的一次性补助。</w:t>
            </w:r>
          </w:p>
        </w:tc>
        <w:tc>
          <w:tcPr>
            <w:tcW w:w="2265" w:type="dxa"/>
            <w:noWrap w:val="0"/>
            <w:vAlign w:val="center"/>
          </w:tcPr>
          <w:p>
            <w:pPr>
              <w:pStyle w:val="2"/>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市商务局、市市场监督管理局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center"/>
          </w:tcPr>
          <w:p>
            <w:pPr>
              <w:pStyle w:val="2"/>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9</w:t>
            </w:r>
          </w:p>
        </w:tc>
        <w:tc>
          <w:tcPr>
            <w:tcW w:w="1640" w:type="dxa"/>
            <w:noWrap w:val="0"/>
            <w:vAlign w:val="center"/>
          </w:tcPr>
          <w:p>
            <w:pPr>
              <w:pStyle w:val="2"/>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支持电商人才招引培育</w:t>
            </w:r>
          </w:p>
        </w:tc>
        <w:tc>
          <w:tcPr>
            <w:tcW w:w="4462" w:type="dxa"/>
            <w:noWrap w:val="0"/>
            <w:vAlign w:val="center"/>
          </w:tcPr>
          <w:p>
            <w:pPr>
              <w:pStyle w:val="2"/>
              <w:jc w:val="both"/>
              <w:rPr>
                <w:rFonts w:hint="default" w:ascii="Times New Roman" w:hAnsi="Times New Roman" w:eastAsia="宋体" w:cs="Times New Roman"/>
                <w:sz w:val="21"/>
                <w:szCs w:val="21"/>
                <w:vertAlign w:val="baseline"/>
              </w:rPr>
            </w:pPr>
            <w:r>
              <w:rPr>
                <w:rFonts w:hint="default" w:ascii="Times New Roman" w:hAnsi="Times New Roman" w:eastAsia="宋体" w:cs="Times New Roman"/>
                <w:sz w:val="21"/>
                <w:szCs w:val="21"/>
                <w:vertAlign w:val="baseline"/>
              </w:rPr>
              <w:t>对每年引进市外返乡的电商精英人才团队在菏创办电商企业，税收贡献在菏泽市且年营业额超过500万元的，给予一次性5万元创业补贴。对每年培训人数3000人次的菏泽市内电商培训主办单位，按其产生费用的50%进行补贴，最高不超过30万元/年。</w:t>
            </w:r>
          </w:p>
        </w:tc>
        <w:tc>
          <w:tcPr>
            <w:tcW w:w="2265" w:type="dxa"/>
            <w:noWrap w:val="0"/>
            <w:vAlign w:val="center"/>
          </w:tcPr>
          <w:p>
            <w:pPr>
              <w:pStyle w:val="2"/>
              <w:jc w:val="center"/>
              <w:rPr>
                <w:rFonts w:hint="default" w:ascii="Times New Roman" w:hAnsi="Times New Roman" w:eastAsia="宋体" w:cs="Times New Roman"/>
                <w:sz w:val="21"/>
                <w:szCs w:val="21"/>
                <w:vertAlign w:val="baseline"/>
              </w:rPr>
            </w:pPr>
            <w:r>
              <w:rPr>
                <w:rFonts w:hint="default" w:ascii="Times New Roman" w:hAnsi="Times New Roman" w:eastAsia="宋体" w:cs="Times New Roman"/>
                <w:sz w:val="21"/>
                <w:szCs w:val="21"/>
                <w:vertAlign w:val="baseline"/>
                <w:lang w:val="en-US" w:eastAsia="zh-CN"/>
              </w:rPr>
              <w:t>市商务局、市人力资源和社会保障局、各区县人民政府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noWrap w:val="0"/>
            <w:vAlign w:val="center"/>
          </w:tcPr>
          <w:p>
            <w:pPr>
              <w:pStyle w:val="2"/>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10</w:t>
            </w:r>
          </w:p>
        </w:tc>
        <w:tc>
          <w:tcPr>
            <w:tcW w:w="1640" w:type="dxa"/>
            <w:noWrap w:val="0"/>
            <w:vAlign w:val="center"/>
          </w:tcPr>
          <w:p>
            <w:pPr>
              <w:pStyle w:val="2"/>
              <w:jc w:val="center"/>
              <w:rPr>
                <w:rFonts w:hint="default" w:ascii="Times New Roman" w:hAnsi="Times New Roman" w:eastAsia="宋体" w:cs="Times New Roman"/>
                <w:sz w:val="21"/>
                <w:szCs w:val="21"/>
                <w:vertAlign w:val="baseline"/>
                <w:lang w:val="en-US" w:eastAsia="zh-CN"/>
              </w:rPr>
            </w:pPr>
            <w:r>
              <w:rPr>
                <w:rFonts w:hint="default" w:ascii="Times New Roman" w:hAnsi="Times New Roman" w:eastAsia="宋体" w:cs="Times New Roman"/>
                <w:sz w:val="21"/>
                <w:szCs w:val="21"/>
                <w:vertAlign w:val="baseline"/>
                <w:lang w:val="en-US" w:eastAsia="zh-CN"/>
              </w:rPr>
              <w:t>支持电商生态建设</w:t>
            </w:r>
          </w:p>
        </w:tc>
        <w:tc>
          <w:tcPr>
            <w:tcW w:w="4462" w:type="dxa"/>
            <w:noWrap w:val="0"/>
            <w:vAlign w:val="center"/>
          </w:tcPr>
          <w:p>
            <w:pPr>
              <w:pStyle w:val="2"/>
              <w:jc w:val="both"/>
              <w:rPr>
                <w:rFonts w:hint="default" w:ascii="Times New Roman" w:hAnsi="Times New Roman" w:eastAsia="宋体" w:cs="Times New Roman"/>
                <w:sz w:val="21"/>
                <w:szCs w:val="21"/>
                <w:vertAlign w:val="baseline"/>
              </w:rPr>
            </w:pPr>
            <w:r>
              <w:rPr>
                <w:rFonts w:hint="default" w:ascii="Times New Roman" w:hAnsi="Times New Roman" w:eastAsia="宋体" w:cs="Times New Roman"/>
                <w:sz w:val="21"/>
                <w:szCs w:val="21"/>
                <w:vertAlign w:val="baseline"/>
              </w:rPr>
              <w:t>招引国内知名大型物流快递企业在菏泽市建设快递分拨中心，在用地方面给予优先支持。积极推进电商生鲜、冷链物流追溯体系等在菏泽市落地。对当年获批5A级</w:t>
            </w:r>
            <w:r>
              <w:rPr>
                <w:rFonts w:hint="eastAsia" w:ascii="Times New Roman" w:hAnsi="Times New Roman" w:eastAsia="宋体" w:cs="Times New Roman"/>
                <w:sz w:val="21"/>
                <w:szCs w:val="21"/>
                <w:vertAlign w:val="baseline"/>
                <w:lang w:eastAsia="zh-CN"/>
              </w:rPr>
              <w:t>（</w:t>
            </w:r>
            <w:r>
              <w:rPr>
                <w:rFonts w:hint="default" w:ascii="Times New Roman" w:hAnsi="Times New Roman" w:eastAsia="宋体" w:cs="Times New Roman"/>
                <w:sz w:val="21"/>
                <w:szCs w:val="21"/>
                <w:vertAlign w:val="baseline"/>
              </w:rPr>
              <w:t>或4A级</w:t>
            </w:r>
            <w:r>
              <w:rPr>
                <w:rFonts w:hint="eastAsia" w:ascii="Times New Roman" w:hAnsi="Times New Roman" w:eastAsia="宋体" w:cs="Times New Roman"/>
                <w:sz w:val="21"/>
                <w:szCs w:val="21"/>
                <w:vertAlign w:val="baseline"/>
                <w:lang w:eastAsia="zh-CN"/>
              </w:rPr>
              <w:t>）</w:t>
            </w:r>
            <w:r>
              <w:rPr>
                <w:rFonts w:hint="default" w:ascii="Times New Roman" w:hAnsi="Times New Roman" w:eastAsia="宋体" w:cs="Times New Roman"/>
                <w:sz w:val="21"/>
                <w:szCs w:val="21"/>
                <w:vertAlign w:val="baseline"/>
              </w:rPr>
              <w:t>的国家、省物流园区企业分别给予一次性奖励50万元、20万元。对国外知名物流企业落地菏泽市境内且税收在我市贡献超过500万元的，在用地、财政支持上实行“一事一议”。支持商业银行开发淘宝贷、数据网贷、供应链金融等业务，支持蚂蚁金服、京东金融、苏宁银行等在我市开展融资业务，进一步拓展电商企业融资渠道。</w:t>
            </w:r>
          </w:p>
        </w:tc>
        <w:tc>
          <w:tcPr>
            <w:tcW w:w="2265" w:type="dxa"/>
            <w:noWrap w:val="0"/>
            <w:vAlign w:val="center"/>
          </w:tcPr>
          <w:p>
            <w:pPr>
              <w:pStyle w:val="2"/>
              <w:jc w:val="center"/>
              <w:rPr>
                <w:rFonts w:hint="default" w:ascii="Times New Roman" w:hAnsi="Times New Roman" w:eastAsia="宋体" w:cs="Times New Roman"/>
                <w:sz w:val="21"/>
                <w:szCs w:val="21"/>
                <w:vertAlign w:val="baseline"/>
              </w:rPr>
            </w:pPr>
            <w:r>
              <w:rPr>
                <w:rFonts w:hint="default" w:ascii="Times New Roman" w:hAnsi="Times New Roman" w:eastAsia="宋体" w:cs="Times New Roman"/>
                <w:sz w:val="21"/>
                <w:szCs w:val="21"/>
                <w:vertAlign w:val="baseline"/>
                <w:lang w:val="en-US" w:eastAsia="zh-CN"/>
              </w:rPr>
              <w:t>市商务局、市邮政管理局、市地方金融监督管理局、市自然资源和规划局、各区县人民政府</w:t>
            </w:r>
          </w:p>
        </w:tc>
      </w:tr>
    </w:tbl>
    <w:p>
      <w:pPr>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line="560" w:lineRule="exact"/>
        <w:ind w:firstLine="643" w:firstLineChars="200"/>
        <w:textAlignment w:val="auto"/>
        <w:outlineLvl w:val="2"/>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3.组织实施</w:t>
      </w:r>
    </w:p>
    <w:p>
      <w:pPr>
        <w:spacing w:line="560" w:lineRule="exact"/>
        <w:ind w:firstLine="640" w:firstLineChars="200"/>
        <w:textAlignment w:val="center"/>
        <w:rPr>
          <w:rFonts w:hint="eastAsia" w:eastAsia="仿宋_GB2312"/>
          <w:kern w:val="0"/>
          <w:sz w:val="32"/>
          <w:szCs w:val="32"/>
          <w:lang w:val="en-US" w:eastAsia="zh-CN"/>
        </w:rPr>
      </w:pPr>
      <w:r>
        <w:rPr>
          <w:rFonts w:hint="eastAsia" w:eastAsia="仿宋_GB2312"/>
          <w:kern w:val="0"/>
          <w:sz w:val="32"/>
          <w:szCs w:val="32"/>
          <w:lang w:val="en-US" w:eastAsia="zh-CN"/>
        </w:rPr>
        <w:t>申请企业按照属地化原则将申报材料报送所在地县区商务主管部门，县区商务主管部门对申请资料进行初审后，将符合资助条件的项目向市商务局申报，并抄送县区财政局。</w:t>
      </w:r>
    </w:p>
    <w:p>
      <w:pPr>
        <w:spacing w:line="560" w:lineRule="exact"/>
        <w:ind w:firstLine="640" w:firstLineChars="200"/>
        <w:textAlignment w:val="center"/>
        <w:rPr>
          <w:rFonts w:hint="eastAsia"/>
          <w:lang w:val="en-US" w:eastAsia="zh-CN"/>
        </w:rPr>
      </w:pPr>
      <w:r>
        <w:rPr>
          <w:rFonts w:hint="eastAsia" w:eastAsia="仿宋_GB2312"/>
          <w:kern w:val="0"/>
          <w:sz w:val="32"/>
          <w:szCs w:val="32"/>
          <w:lang w:val="en-US" w:eastAsia="zh-CN"/>
        </w:rPr>
        <w:t>市商务局</w:t>
      </w:r>
      <w:r>
        <w:rPr>
          <w:rFonts w:hint="eastAsia" w:eastAsia="仿宋_GB2312"/>
          <w:kern w:val="0"/>
          <w:sz w:val="32"/>
          <w:szCs w:val="32"/>
        </w:rPr>
        <w:t>负责组织专家对申报项目进行评审</w:t>
      </w:r>
      <w:r>
        <w:rPr>
          <w:rFonts w:hint="eastAsia" w:eastAsia="仿宋_GB2312"/>
          <w:kern w:val="0"/>
          <w:sz w:val="32"/>
          <w:szCs w:val="32"/>
          <w:lang w:eastAsia="zh-CN"/>
        </w:rPr>
        <w:t>，</w:t>
      </w:r>
      <w:r>
        <w:rPr>
          <w:rFonts w:hint="eastAsia" w:eastAsia="仿宋_GB2312"/>
          <w:kern w:val="0"/>
          <w:sz w:val="32"/>
          <w:szCs w:val="32"/>
          <w:lang w:val="en-US" w:eastAsia="zh-CN"/>
        </w:rPr>
        <w:t>并</w:t>
      </w:r>
      <w:r>
        <w:rPr>
          <w:rFonts w:hint="eastAsia" w:eastAsia="仿宋_GB2312"/>
          <w:kern w:val="0"/>
          <w:sz w:val="32"/>
          <w:szCs w:val="32"/>
        </w:rPr>
        <w:t>根据评审细则确定电子商务发展资金支持额度</w:t>
      </w:r>
      <w:r>
        <w:rPr>
          <w:rFonts w:hint="eastAsia" w:eastAsia="仿宋_GB2312"/>
          <w:kern w:val="0"/>
          <w:sz w:val="32"/>
          <w:szCs w:val="32"/>
          <w:lang w:eastAsia="zh-CN"/>
        </w:rPr>
        <w:t>，</w:t>
      </w:r>
      <w:r>
        <w:rPr>
          <w:rFonts w:hint="eastAsia" w:eastAsia="仿宋_GB2312"/>
          <w:kern w:val="0"/>
          <w:sz w:val="32"/>
          <w:szCs w:val="32"/>
          <w:lang w:val="en-US" w:eastAsia="zh-CN"/>
        </w:rPr>
        <w:t>市财政局依据市商务局的分配意见按预算级次下达资金</w:t>
      </w:r>
      <w:r>
        <w:rPr>
          <w:rFonts w:hint="eastAsia" w:eastAsia="仿宋_GB2312"/>
          <w:kern w:val="0"/>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3" w:firstLineChars="200"/>
        <w:textAlignment w:val="auto"/>
        <w:outlineLvl w:val="2"/>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4.资金投入和使用情况</w:t>
      </w:r>
    </w:p>
    <w:p>
      <w:pPr>
        <w:keepNext w:val="0"/>
        <w:keepLines w:val="0"/>
        <w:pageBreakBefore w:val="0"/>
        <w:widowControl w:val="0"/>
        <w:kinsoku/>
        <w:wordWrap/>
        <w:overflowPunct/>
        <w:topLinePunct w:val="0"/>
        <w:autoSpaceDE/>
        <w:autoSpaceDN/>
        <w:bidi w:val="0"/>
        <w:adjustRightInd/>
        <w:snapToGrid/>
        <w:ind w:firstLine="640" w:firstLineChars="200"/>
        <w:jc w:val="left"/>
        <w:textAlignment w:val="auto"/>
        <w:outlineLvl w:val="9"/>
        <w:rPr>
          <w:rFonts w:hint="eastAsia" w:eastAsia="宋体"/>
          <w:lang w:eastAsia="zh-CN"/>
        </w:rPr>
      </w:pPr>
      <w:r>
        <w:rPr>
          <w:rFonts w:hint="eastAsia" w:ascii="仿宋_GB2312" w:hAnsi="仿宋_GB2312" w:eastAsia="仿宋_GB2312" w:cs="仿宋_GB2312"/>
          <w:sz w:val="32"/>
          <w:szCs w:val="32"/>
          <w:lang w:val="en-US" w:eastAsia="zh-CN"/>
        </w:rPr>
        <w:t>2022年菏泽市电子商务发展专项资金预算共500万元，2022年实际支出500万元。</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outlineLvl w:val="1"/>
        <w:rPr>
          <w:rFonts w:hint="eastAsia" w:ascii="楷体" w:hAnsi="楷体" w:eastAsia="楷体" w:cs="楷体"/>
          <w:kern w:val="2"/>
          <w:sz w:val="32"/>
          <w:szCs w:val="32"/>
          <w:lang w:val="en-US" w:eastAsia="zh-CN" w:bidi="ar-SA"/>
        </w:rPr>
      </w:pPr>
      <w:r>
        <w:rPr>
          <w:rFonts w:hint="eastAsia" w:ascii="楷体" w:hAnsi="楷体" w:eastAsia="楷体" w:cs="楷体"/>
          <w:kern w:val="2"/>
          <w:sz w:val="32"/>
          <w:szCs w:val="32"/>
          <w:lang w:val="en-US" w:eastAsia="zh-CN" w:bidi="ar-SA"/>
        </w:rPr>
        <w:t>（二）绩效目标</w:t>
      </w:r>
    </w:p>
    <w:p>
      <w:pPr>
        <w:keepNext w:val="0"/>
        <w:keepLines w:val="0"/>
        <w:pageBreakBefore w:val="0"/>
        <w:widowControl w:val="0"/>
        <w:numPr>
          <w:ilvl w:val="0"/>
          <w:numId w:val="0"/>
        </w:numPr>
        <w:kinsoku/>
        <w:wordWrap/>
        <w:overflowPunct/>
        <w:topLinePunct w:val="0"/>
        <w:autoSpaceDE/>
        <w:autoSpaceDN/>
        <w:bidi w:val="0"/>
        <w:adjustRightInd w:val="0"/>
        <w:snapToGrid w:val="0"/>
        <w:spacing w:afterAutospacing="0" w:line="560" w:lineRule="exact"/>
        <w:ind w:firstLine="643" w:firstLineChars="200"/>
        <w:textAlignment w:val="auto"/>
        <w:outlineLvl w:val="2"/>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1.总体绩效目标</w:t>
      </w:r>
    </w:p>
    <w:p>
      <w:pPr>
        <w:pStyle w:val="2"/>
        <w:keepNext w:val="0"/>
        <w:keepLines w:val="0"/>
        <w:pageBreakBefore w:val="0"/>
        <w:widowControl w:val="0"/>
        <w:kinsoku/>
        <w:wordWrap/>
        <w:overflowPunct/>
        <w:topLinePunct w:val="0"/>
        <w:autoSpaceDE/>
        <w:autoSpaceDN/>
        <w:bidi w:val="0"/>
        <w:spacing w:before="0" w:after="0" w:afterAutospacing="0" w:line="560" w:lineRule="exact"/>
        <w:ind w:firstLine="64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sz w:val="32"/>
          <w:szCs w:val="32"/>
          <w:lang w:val="en-US" w:eastAsia="zh-CN"/>
        </w:rPr>
        <w:t>通过实施该政策，进一步加快菏泽市电子商务产业转型升级，结合电商发展实际，大力发展电子商务新业态，创新电商新模式，</w:t>
      </w:r>
      <w:r>
        <w:rPr>
          <w:rFonts w:hint="eastAsia" w:ascii="仿宋_GB2312" w:hAnsi="仿宋_GB2312" w:eastAsia="仿宋_GB2312" w:cs="仿宋_GB2312"/>
          <w:sz w:val="32"/>
          <w:szCs w:val="32"/>
        </w:rPr>
        <w:t>加快电子商务品牌的塑造</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推动农村经济转型升级和电商扶贫</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推进电子商务产业迭代升级</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助推实体经济高质量发展</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为实现菏泽成为全省新旧动能转换的示范区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鲁苏豫皖四省交界的区域性中心城市贡献电商力量</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afterAutospacing="0" w:line="560" w:lineRule="exact"/>
        <w:ind w:firstLine="643" w:firstLineChars="200"/>
        <w:textAlignment w:val="auto"/>
        <w:outlineLvl w:val="2"/>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2.年度绩效目标</w:t>
      </w:r>
    </w:p>
    <w:p>
      <w:pPr>
        <w:pStyle w:val="2"/>
        <w:keepNext w:val="0"/>
        <w:keepLines w:val="0"/>
        <w:pageBreakBefore w:val="0"/>
        <w:widowControl w:val="0"/>
        <w:kinsoku/>
        <w:wordWrap/>
        <w:overflowPunct/>
        <w:topLinePunct w:val="0"/>
        <w:autoSpaceDE/>
        <w:autoSpaceDN/>
        <w:bidi w:val="0"/>
        <w:spacing w:before="0" w:after="0" w:afterAutospacing="0" w:line="560" w:lineRule="exact"/>
        <w:ind w:firstLine="640" w:firstLineChars="200"/>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sz w:val="32"/>
          <w:szCs w:val="32"/>
          <w:lang w:val="en-US" w:eastAsia="zh-CN"/>
        </w:rPr>
        <w:t>2022</w:t>
      </w:r>
      <w:r>
        <w:rPr>
          <w:rFonts w:hint="eastAsia" w:ascii="仿宋_GB2312" w:hAnsi="仿宋_GB2312" w:eastAsia="仿宋_GB2312" w:cs="仿宋_GB2312"/>
          <w:sz w:val="32"/>
          <w:szCs w:val="32"/>
        </w:rPr>
        <w:t>年度内计划完成菏泽市网络零售额超200亿元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总量居全省前7位，同比增长10%以上</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全市培育网络店铺数量</w:t>
      </w:r>
      <w:r>
        <w:rPr>
          <w:rFonts w:hint="eastAsia" w:ascii="仿宋_GB2312" w:hAnsi="仿宋_GB2312" w:eastAsia="仿宋_GB2312" w:cs="仿宋_GB2312"/>
          <w:sz w:val="32"/>
          <w:szCs w:val="32"/>
          <w:lang w:val="en-US" w:eastAsia="zh-CN"/>
        </w:rPr>
        <w:t>超11万家，商品网络零售额不低于200亿元，实物商品网络零售额增幅15%以上，全市网络店铺数量较去年同期目标增长不低于8000家。</w:t>
      </w:r>
    </w:p>
    <w:p>
      <w:pPr>
        <w:pStyle w:val="12"/>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default" w:ascii="黑体" w:hAnsi="黑体" w:eastAsia="黑体" w:cs="黑体"/>
          <w:bCs/>
          <w:kern w:val="2"/>
          <w:sz w:val="32"/>
          <w:szCs w:val="32"/>
          <w:lang w:val="en-US" w:eastAsia="zh-CN" w:bidi="ar-SA"/>
        </w:rPr>
      </w:pPr>
      <w:r>
        <w:rPr>
          <w:rFonts w:hint="eastAsia" w:ascii="黑体" w:hAnsi="黑体" w:eastAsia="黑体" w:cs="黑体"/>
          <w:bCs/>
          <w:kern w:val="2"/>
          <w:sz w:val="32"/>
          <w:szCs w:val="32"/>
          <w:lang w:val="en-US" w:eastAsia="zh-CN" w:bidi="ar-SA"/>
        </w:rPr>
        <w:t>二、评价基本情况</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outlineLvl w:val="1"/>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（一）绩效评价目的、对象和范围</w:t>
      </w:r>
    </w:p>
    <w:p>
      <w:pPr>
        <w:pStyle w:val="5"/>
        <w:pageBreakBefore w:val="0"/>
        <w:widowControl w:val="0"/>
        <w:kinsoku/>
        <w:wordWrap/>
        <w:overflowPunct/>
        <w:topLinePunct w:val="0"/>
        <w:autoSpaceDE/>
        <w:autoSpaceDN/>
        <w:bidi w:val="0"/>
        <w:adjustRightInd/>
        <w:snapToGrid/>
        <w:spacing w:before="0" w:beforeLines="0" w:after="0" w:afterLines="0" w:line="560" w:lineRule="exact"/>
        <w:ind w:left="0" w:firstLine="643" w:firstLineChars="200"/>
        <w:outlineLvl w:val="2"/>
        <w:rPr>
          <w:rFonts w:hint="eastAsia" w:ascii="仿宋_GB2312" w:hAnsi="仿宋_GB2312" w:eastAsia="仿宋_GB2312" w:cs="仿宋_GB2312"/>
          <w:b/>
          <w:bCs/>
        </w:rPr>
      </w:pPr>
      <w:bookmarkStart w:id="0" w:name="_Toc22555"/>
      <w:bookmarkStart w:id="1" w:name="_Toc21962"/>
      <w:bookmarkStart w:id="2" w:name="_Toc8522"/>
      <w:bookmarkStart w:id="3" w:name="_Toc22088"/>
      <w:bookmarkStart w:id="4" w:name="_Toc23368"/>
      <w:bookmarkStart w:id="5" w:name="_Toc23836"/>
      <w:bookmarkStart w:id="6" w:name="_Toc20586"/>
      <w:bookmarkStart w:id="7" w:name="_Toc14873"/>
      <w:bookmarkStart w:id="8" w:name="_Toc20526"/>
      <w:bookmarkStart w:id="9" w:name="_Toc13436"/>
      <w:bookmarkStart w:id="10" w:name="_Toc15203"/>
      <w:bookmarkStart w:id="11" w:name="_Toc18569"/>
      <w:r>
        <w:rPr>
          <w:rFonts w:hint="eastAsia" w:ascii="仿宋_GB2312" w:hAnsi="仿宋_GB2312" w:eastAsia="仿宋_GB2312" w:cs="仿宋_GB2312"/>
          <w:b/>
          <w:bCs/>
          <w:lang w:val="en-US" w:eastAsia="zh-CN"/>
        </w:rPr>
        <w:t>1.</w:t>
      </w:r>
      <w:r>
        <w:rPr>
          <w:rFonts w:hint="eastAsia" w:ascii="仿宋_GB2312" w:hAnsi="仿宋_GB2312" w:eastAsia="仿宋_GB2312" w:cs="仿宋_GB2312"/>
          <w:b/>
          <w:bCs/>
        </w:rPr>
        <w:t>评价目的</w:t>
      </w:r>
      <w:bookmarkEnd w:id="0"/>
      <w:bookmarkEnd w:id="1"/>
      <w:bookmarkEnd w:id="2"/>
      <w:bookmarkEnd w:id="3"/>
      <w:bookmarkEnd w:id="4"/>
      <w:bookmarkEnd w:id="5"/>
      <w:bookmarkEnd w:id="6"/>
      <w:bookmarkEnd w:id="7"/>
      <w:bookmarkEnd w:id="8"/>
      <w:bookmarkEnd w:id="9"/>
      <w:bookmarkEnd w:id="10"/>
      <w:bookmarkEnd w:id="11"/>
    </w:p>
    <w:p>
      <w:pPr>
        <w:pageBreakBefore w:val="0"/>
        <w:widowControl w:val="0"/>
        <w:kinsoku/>
        <w:wordWrap/>
        <w:overflowPunct/>
        <w:topLinePunct w:val="0"/>
        <w:autoSpaceDE/>
        <w:autoSpaceDN/>
        <w:bidi w:val="0"/>
        <w:adjustRightInd/>
        <w:snapToGrid/>
        <w:spacing w:line="560" w:lineRule="exact"/>
        <w:ind w:firstLine="640" w:firstLineChars="200"/>
        <w:textAlignment w:val="center"/>
        <w:rPr>
          <w:rFonts w:hint="default"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highlight w:val="none"/>
        </w:rPr>
        <w:t>旨在全面考察政策实施成效，总结政策制</w:t>
      </w:r>
      <w:r>
        <w:rPr>
          <w:rFonts w:hint="eastAsia" w:ascii="Times New Roman" w:hAnsi="Times New Roman" w:eastAsia="仿宋_GB2312" w:cs="仿宋_GB2312"/>
          <w:sz w:val="32"/>
          <w:szCs w:val="32"/>
          <w:highlight w:val="none"/>
          <w:lang w:val="en-US" w:eastAsia="zh-CN"/>
        </w:rPr>
        <w:t>定和执行中存在的问题与不足，提出政策优化提升方向和建议。</w:t>
      </w:r>
      <w:r>
        <w:rPr>
          <w:rFonts w:hint="eastAsia" w:ascii="Times New Roman" w:hAnsi="Times New Roman" w:eastAsia="仿宋_GB2312" w:cs="仿宋_GB2312"/>
          <w:sz w:val="32"/>
          <w:szCs w:val="32"/>
          <w:lang w:val="en-US" w:eastAsia="zh-CN"/>
        </w:rPr>
        <w:t>主要关注点如下：</w:t>
      </w:r>
    </w:p>
    <w:p>
      <w:pPr>
        <w:pageBreakBefore w:val="0"/>
        <w:widowControl w:val="0"/>
        <w:kinsoku/>
        <w:wordWrap/>
        <w:overflowPunct/>
        <w:topLinePunct w:val="0"/>
        <w:autoSpaceDE/>
        <w:autoSpaceDN/>
        <w:bidi w:val="0"/>
        <w:adjustRightInd/>
        <w:snapToGrid/>
        <w:spacing w:line="560" w:lineRule="exact"/>
        <w:ind w:firstLine="643" w:firstLineChars="200"/>
        <w:textAlignment w:val="center"/>
        <w:rPr>
          <w:rFonts w:eastAsia="仿宋_GB2312" w:cs="仿宋_GB2312"/>
          <w:sz w:val="32"/>
          <w:szCs w:val="32"/>
        </w:rPr>
      </w:pPr>
      <w:r>
        <w:rPr>
          <w:rFonts w:hint="eastAsia" w:eastAsia="仿宋_GB2312" w:cs="仿宋_GB2312"/>
          <w:b/>
          <w:bCs/>
          <w:sz w:val="32"/>
          <w:szCs w:val="32"/>
        </w:rPr>
        <w:t>一是</w:t>
      </w:r>
      <w:r>
        <w:rPr>
          <w:rFonts w:hint="eastAsia" w:eastAsia="仿宋_GB2312" w:cs="仿宋_GB2312"/>
          <w:sz w:val="32"/>
          <w:szCs w:val="32"/>
        </w:rPr>
        <w:t>评价政策实施情况，跟踪现行政策制定及落实情况；</w:t>
      </w:r>
      <w:r>
        <w:rPr>
          <w:rFonts w:hint="eastAsia" w:eastAsia="仿宋_GB2312" w:cs="仿宋_GB2312"/>
          <w:b/>
          <w:bCs/>
          <w:sz w:val="32"/>
          <w:szCs w:val="32"/>
        </w:rPr>
        <w:t>二是</w:t>
      </w:r>
      <w:r>
        <w:rPr>
          <w:rFonts w:hint="eastAsia" w:eastAsia="仿宋_GB2312" w:cs="仿宋_GB2312"/>
          <w:sz w:val="32"/>
          <w:szCs w:val="32"/>
        </w:rPr>
        <w:t>评价政策目标预期实现情况，从实际产出及实现效益层面考察</w:t>
      </w:r>
      <w:r>
        <w:rPr>
          <w:rFonts w:hint="eastAsia" w:eastAsia="仿宋_GB2312" w:cs="仿宋_GB2312"/>
          <w:sz w:val="32"/>
          <w:szCs w:val="32"/>
          <w:lang w:val="en-US" w:eastAsia="zh-CN"/>
        </w:rPr>
        <w:t>《实施意见》</w:t>
      </w:r>
      <w:r>
        <w:rPr>
          <w:rFonts w:hint="eastAsia" w:eastAsia="仿宋_GB2312" w:cs="仿宋_GB2312"/>
          <w:sz w:val="32"/>
          <w:szCs w:val="32"/>
        </w:rPr>
        <w:t>政策实施预期效果；</w:t>
      </w:r>
      <w:r>
        <w:rPr>
          <w:rFonts w:hint="eastAsia" w:eastAsia="仿宋_GB2312" w:cs="仿宋_GB2312"/>
          <w:b/>
          <w:bCs/>
          <w:sz w:val="32"/>
          <w:szCs w:val="32"/>
        </w:rPr>
        <w:t>三是</w:t>
      </w:r>
      <w:r>
        <w:rPr>
          <w:rFonts w:hint="eastAsia" w:eastAsia="仿宋_GB2312" w:cs="仿宋_GB2312"/>
          <w:sz w:val="32"/>
          <w:szCs w:val="32"/>
        </w:rPr>
        <w:t>评价政策可持续性，关注政策机制实施宏观环境的稳定性、政策措施设置的合理性、政策方向和内容的准确性</w:t>
      </w:r>
      <w:r>
        <w:rPr>
          <w:rFonts w:hint="eastAsia" w:eastAsia="仿宋_GB2312" w:cs="仿宋_GB2312"/>
          <w:sz w:val="32"/>
          <w:szCs w:val="32"/>
          <w:lang w:eastAsia="zh-CN"/>
        </w:rPr>
        <w:t>、</w:t>
      </w:r>
      <w:r>
        <w:rPr>
          <w:rFonts w:hint="eastAsia" w:eastAsia="仿宋_GB2312" w:cs="仿宋_GB2312"/>
          <w:sz w:val="32"/>
          <w:szCs w:val="32"/>
          <w:lang w:val="en-US" w:eastAsia="zh-CN"/>
        </w:rPr>
        <w:t>奖补资金的合理性</w:t>
      </w:r>
      <w:r>
        <w:rPr>
          <w:rFonts w:hint="eastAsia" w:eastAsia="仿宋_GB2312" w:cs="仿宋_GB2312"/>
          <w:sz w:val="32"/>
          <w:szCs w:val="32"/>
        </w:rPr>
        <w:t>；</w:t>
      </w:r>
      <w:r>
        <w:rPr>
          <w:rFonts w:hint="eastAsia" w:eastAsia="仿宋_GB2312" w:cs="仿宋_GB2312"/>
          <w:b/>
          <w:bCs/>
          <w:sz w:val="32"/>
          <w:szCs w:val="32"/>
        </w:rPr>
        <w:t>四是</w:t>
      </w:r>
      <w:r>
        <w:rPr>
          <w:rFonts w:hint="eastAsia" w:eastAsia="仿宋_GB2312" w:cs="仿宋_GB2312"/>
          <w:sz w:val="32"/>
          <w:szCs w:val="32"/>
        </w:rPr>
        <w:t>评价预算执行及资金配置情况，主要关注预算编制及财政资金拨付情况。</w:t>
      </w:r>
    </w:p>
    <w:p>
      <w:pPr>
        <w:pStyle w:val="5"/>
        <w:pageBreakBefore w:val="0"/>
        <w:widowControl w:val="0"/>
        <w:kinsoku/>
        <w:wordWrap/>
        <w:overflowPunct/>
        <w:topLinePunct w:val="0"/>
        <w:autoSpaceDE/>
        <w:autoSpaceDN/>
        <w:bidi w:val="0"/>
        <w:adjustRightInd/>
        <w:snapToGrid/>
        <w:spacing w:before="0" w:beforeLines="0" w:after="0" w:afterLines="0" w:line="560" w:lineRule="exact"/>
        <w:ind w:left="0" w:firstLine="643" w:firstLineChars="200"/>
        <w:outlineLvl w:val="2"/>
        <w:rPr>
          <w:rFonts w:hint="eastAsia" w:ascii="仿宋_GB2312" w:hAnsi="仿宋_GB2312" w:eastAsia="仿宋_GB2312" w:cs="仿宋_GB2312"/>
          <w:b/>
          <w:bCs/>
        </w:rPr>
      </w:pPr>
      <w:bookmarkStart w:id="12" w:name="_Toc32431"/>
      <w:bookmarkStart w:id="13" w:name="_Toc5782"/>
      <w:bookmarkStart w:id="14" w:name="_Toc23646"/>
      <w:bookmarkStart w:id="15" w:name="_Toc16618"/>
      <w:bookmarkStart w:id="16" w:name="_Toc19094"/>
      <w:bookmarkStart w:id="17" w:name="_Toc18417"/>
      <w:bookmarkStart w:id="18" w:name="_Toc22520"/>
      <w:bookmarkStart w:id="19" w:name="_Toc43"/>
      <w:bookmarkStart w:id="20" w:name="_Toc2680"/>
      <w:bookmarkStart w:id="21" w:name="_Toc3288"/>
      <w:bookmarkStart w:id="22" w:name="_Toc28809"/>
      <w:bookmarkStart w:id="23" w:name="_Toc8940"/>
      <w:r>
        <w:rPr>
          <w:rFonts w:hint="eastAsia" w:ascii="仿宋_GB2312" w:hAnsi="仿宋_GB2312" w:eastAsia="仿宋_GB2312" w:cs="仿宋_GB2312"/>
          <w:b/>
          <w:bCs/>
          <w:lang w:val="en-US" w:eastAsia="zh-CN"/>
        </w:rPr>
        <w:t>2.</w:t>
      </w:r>
      <w:r>
        <w:rPr>
          <w:rFonts w:hint="eastAsia" w:ascii="仿宋_GB2312" w:hAnsi="仿宋_GB2312" w:eastAsia="仿宋_GB2312" w:cs="仿宋_GB2312"/>
          <w:b/>
          <w:bCs/>
        </w:rPr>
        <w:t>评价对象</w:t>
      </w:r>
      <w:bookmarkEnd w:id="12"/>
      <w:bookmarkEnd w:id="13"/>
      <w:bookmarkEnd w:id="14"/>
      <w:bookmarkEnd w:id="15"/>
      <w:bookmarkEnd w:id="16"/>
      <w:bookmarkEnd w:id="17"/>
      <w:bookmarkEnd w:id="18"/>
      <w:bookmarkEnd w:id="19"/>
      <w:bookmarkEnd w:id="20"/>
      <w:bookmarkEnd w:id="21"/>
      <w:bookmarkEnd w:id="22"/>
      <w:bookmarkEnd w:id="23"/>
    </w:p>
    <w:p>
      <w:pPr>
        <w:pStyle w:val="13"/>
        <w:pageBreakBefore w:val="0"/>
        <w:widowControl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rPr>
      </w:pPr>
      <w:r>
        <w:rPr>
          <w:rFonts w:hint="eastAsia" w:ascii="仿宋_GB2312" w:hAnsi="仿宋_GB2312" w:eastAsia="仿宋_GB2312" w:cs="仿宋_GB2312"/>
          <w:b w:val="0"/>
          <w:bCs w:val="0"/>
          <w:lang w:val="en-US" w:eastAsia="zh-CN"/>
        </w:rPr>
        <w:t>本次政策绩效评价对象为</w:t>
      </w:r>
      <w:r>
        <w:rPr>
          <w:rFonts w:hint="eastAsia" w:ascii="仿宋_GB2312" w:hAnsi="仿宋_GB2312" w:eastAsia="仿宋_GB2312" w:cs="仿宋_GB2312"/>
          <w:szCs w:val="32"/>
          <w:lang w:val="en-US" w:eastAsia="zh-CN"/>
        </w:rPr>
        <w:t>2022年度政策预算资金500万元，相关政策为</w:t>
      </w:r>
      <w:r>
        <w:rPr>
          <w:rFonts w:hint="eastAsia" w:ascii="仿宋_GB2312" w:hAnsi="仿宋_GB2312" w:eastAsia="仿宋_GB2312" w:cs="仿宋_GB2312"/>
          <w:szCs w:val="32"/>
        </w:rPr>
        <w:t>《菏泽市人民政府办公室关于支持电子商务发展的实施意见》（菏政办发〔2019〕9号）。</w:t>
      </w:r>
      <w:r>
        <w:rPr>
          <w:rFonts w:hint="eastAsia" w:ascii="仿宋_GB2312" w:hAnsi="仿宋_GB2312" w:eastAsia="仿宋_GB2312" w:cs="仿宋_GB2312"/>
        </w:rPr>
        <w:t>评价</w:t>
      </w:r>
      <w:r>
        <w:rPr>
          <w:rFonts w:hint="eastAsia" w:ascii="仿宋_GB2312" w:hAnsi="仿宋_GB2312" w:eastAsia="仿宋_GB2312" w:cs="仿宋_GB2312"/>
          <w:lang w:val="en-US" w:eastAsia="zh-CN"/>
        </w:rPr>
        <w:t>基准日为</w:t>
      </w:r>
      <w:r>
        <w:rPr>
          <w:rFonts w:hint="eastAsia" w:ascii="仿宋_GB2312" w:hAnsi="仿宋_GB2312" w:eastAsia="仿宋_GB2312" w:cs="仿宋_GB2312"/>
        </w:rPr>
        <w:t>2022年12月31日。</w:t>
      </w:r>
    </w:p>
    <w:p>
      <w:pPr>
        <w:pStyle w:val="13"/>
        <w:pageBreakBefore w:val="0"/>
        <w:widowControl w:val="0"/>
        <w:kinsoku/>
        <w:wordWrap/>
        <w:overflowPunct/>
        <w:topLinePunct w:val="0"/>
        <w:autoSpaceDE/>
        <w:autoSpaceDN/>
        <w:bidi w:val="0"/>
        <w:adjustRightInd/>
        <w:snapToGrid/>
        <w:spacing w:line="560" w:lineRule="exact"/>
        <w:ind w:firstLine="643" w:firstLineChars="200"/>
        <w:outlineLvl w:val="2"/>
        <w:rPr>
          <w:rFonts w:hint="eastAsia" w:ascii="仿宋_GB2312" w:hAnsi="仿宋_GB2312" w:eastAsia="仿宋_GB2312" w:cs="仿宋_GB2312"/>
          <w:b/>
          <w:bCs/>
          <w:lang w:val="en-US" w:eastAsia="zh-CN"/>
        </w:rPr>
      </w:pPr>
      <w:r>
        <w:rPr>
          <w:rFonts w:hint="eastAsia" w:ascii="仿宋_GB2312" w:hAnsi="仿宋_GB2312" w:eastAsia="仿宋_GB2312" w:cs="仿宋_GB2312"/>
          <w:b/>
          <w:bCs/>
          <w:lang w:val="en-US" w:eastAsia="zh-CN"/>
        </w:rPr>
        <w:t>3.评价范围</w:t>
      </w:r>
    </w:p>
    <w:p>
      <w:pPr>
        <w:pStyle w:val="13"/>
        <w:pageBreakBefore w:val="0"/>
        <w:widowControl w:val="0"/>
        <w:kinsoku/>
        <w:wordWrap/>
        <w:overflowPunct/>
        <w:topLinePunct w:val="0"/>
        <w:autoSpaceDE/>
        <w:autoSpaceDN/>
        <w:bidi w:val="0"/>
        <w:adjustRightInd/>
        <w:snapToGrid/>
        <w:spacing w:line="560" w:lineRule="exact"/>
        <w:ind w:firstLine="640" w:firstLineChars="200"/>
        <w:rPr>
          <w:rFonts w:hint="eastAsia" w:ascii="仿宋_GB2312" w:hAnsi="仿宋_GB2312" w:eastAsia="仿宋_GB2312" w:cs="仿宋_GB2312"/>
          <w:lang w:val="en-US" w:eastAsia="zh-CN"/>
        </w:rPr>
      </w:pPr>
      <w:r>
        <w:rPr>
          <w:rFonts w:hint="eastAsia" w:ascii="仿宋_GB2312" w:hAnsi="仿宋_GB2312" w:eastAsia="仿宋_GB2312" w:cs="仿宋_GB2312"/>
          <w:lang w:val="en-US" w:eastAsia="zh-CN"/>
        </w:rPr>
        <w:t>评价范围为菏泽市商务局及各区县商务主管部门、以及专项资金涉及的电商企业。</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firstLine="640" w:firstLineChars="200"/>
        <w:textAlignment w:val="auto"/>
        <w:outlineLvl w:val="1"/>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（二）绩效评价指标体系</w:t>
      </w:r>
    </w:p>
    <w:p>
      <w:pPr>
        <w:keepNext w:val="0"/>
        <w:keepLines w:val="0"/>
        <w:pageBreakBefore w:val="0"/>
        <w:widowControl w:val="0"/>
        <w:kinsoku/>
        <w:wordWrap/>
        <w:overflowPunct/>
        <w:topLinePunct w:val="0"/>
        <w:autoSpaceDE/>
        <w:autoSpaceDN/>
        <w:bidi w:val="0"/>
        <w:adjustRightInd/>
        <w:snapToGrid/>
        <w:spacing w:afterAutospacing="0" w:line="560" w:lineRule="exact"/>
        <w:ind w:firstLine="640" w:firstLineChars="200"/>
        <w:textAlignment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评价工作组基于绩效指标的相关性、重要性、可比性和系统性原则，</w:t>
      </w:r>
      <w:r>
        <w:rPr>
          <w:rFonts w:hint="eastAsia" w:ascii="仿宋_GB2312" w:hAnsi="仿宋_GB2312" w:eastAsia="仿宋_GB2312" w:cs="仿宋_GB2312"/>
          <w:sz w:val="32"/>
          <w:szCs w:val="32"/>
          <w:lang w:val="en-US" w:eastAsia="zh-CN"/>
        </w:rPr>
        <w:t>根据</w:t>
      </w:r>
      <w:r>
        <w:rPr>
          <w:rFonts w:hint="eastAsia" w:ascii="仿宋_GB2312" w:hAnsi="仿宋_GB2312" w:eastAsia="仿宋_GB2312" w:cs="仿宋_GB2312"/>
          <w:sz w:val="32"/>
          <w:szCs w:val="32"/>
        </w:rPr>
        <w:t>《菏泽市人民政府关于全面推进预算绩效管理的实施意见》（菏政字〔2017〕35号）等相关绩效管理文件要求，经过数据采集、现场调研、实地考察、访谈以及数据分析等环节，对</w:t>
      </w:r>
      <w:r>
        <w:rPr>
          <w:rFonts w:hint="eastAsia" w:ascii="仿宋_GB2312" w:hAnsi="仿宋_GB2312" w:eastAsia="仿宋_GB2312" w:cs="仿宋_GB2312"/>
          <w:sz w:val="32"/>
          <w:szCs w:val="32"/>
          <w:lang w:val="en-US" w:eastAsia="zh-CN"/>
        </w:rPr>
        <w:t>政策</w:t>
      </w:r>
      <w:r>
        <w:rPr>
          <w:rFonts w:hint="eastAsia" w:ascii="仿宋_GB2312" w:hAnsi="仿宋_GB2312" w:eastAsia="仿宋_GB2312" w:cs="仿宋_GB2312"/>
          <w:sz w:val="32"/>
          <w:szCs w:val="32"/>
        </w:rPr>
        <w:t>的指标体系及评价标准进行了进一步的细化、优化，按照决策—过程—产出—效益的逻辑顺序，确定和构建由4个一级指标、12个二级指标、2</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个三级指标构成的指标体系框架。</w:t>
      </w:r>
    </w:p>
    <w:p>
      <w:pPr>
        <w:pStyle w:val="12"/>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黑体" w:hAnsi="黑体" w:eastAsia="黑体" w:cs="黑体"/>
          <w:lang w:val="en-US" w:eastAsia="zh-CN"/>
        </w:rPr>
      </w:pPr>
      <w:r>
        <w:rPr>
          <w:rFonts w:hint="eastAsia" w:ascii="黑体" w:hAnsi="黑体" w:eastAsia="黑体" w:cs="黑体"/>
          <w:lang w:val="en-US" w:eastAsia="zh-CN"/>
        </w:rPr>
        <w:t>三、绩效评价结论</w:t>
      </w:r>
    </w:p>
    <w:p>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default" w:ascii="Times New Roman" w:hAnsi="Times New Roman" w:eastAsia="黑体"/>
          <w:sz w:val="24"/>
          <w:szCs w:val="32"/>
          <w:lang w:val="en-US" w:eastAsia="zh-CN"/>
        </w:rPr>
      </w:pPr>
      <w:r>
        <w:rPr>
          <w:rFonts w:hint="eastAsia" w:ascii="Times New Roman" w:hAnsi="Times New Roman" w:eastAsia="黑体"/>
          <w:sz w:val="24"/>
          <w:szCs w:val="32"/>
          <w:lang w:val="en-US" w:eastAsia="zh-CN"/>
        </w:rPr>
        <w:t>项目综合绩效评价得分情况表</w:t>
      </w:r>
    </w:p>
    <w:tbl>
      <w:tblPr>
        <w:tblStyle w:val="14"/>
        <w:tblW w:w="85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9"/>
        <w:gridCol w:w="2127"/>
        <w:gridCol w:w="2069"/>
        <w:gridCol w:w="22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206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60" w:lineRule="exact"/>
              <w:jc w:val="center"/>
              <w:rPr>
                <w:rFonts w:hint="eastAsia" w:ascii="仿宋" w:hAnsi="仿宋" w:eastAsia="仿宋" w:cs="仿宋"/>
                <w:b w:val="0"/>
                <w:bCs w:val="0"/>
                <w:kern w:val="0"/>
                <w:sz w:val="30"/>
                <w:szCs w:val="30"/>
              </w:rPr>
            </w:pPr>
            <w:r>
              <w:rPr>
                <w:rFonts w:hint="eastAsia" w:ascii="仿宋" w:hAnsi="仿宋" w:eastAsia="仿宋" w:cs="仿宋"/>
                <w:b w:val="0"/>
                <w:bCs w:val="0"/>
                <w:kern w:val="0"/>
                <w:sz w:val="30"/>
                <w:szCs w:val="30"/>
              </w:rPr>
              <w:t>评价指标</w:t>
            </w:r>
          </w:p>
        </w:tc>
        <w:tc>
          <w:tcPr>
            <w:tcW w:w="2127"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60" w:lineRule="exact"/>
              <w:jc w:val="center"/>
              <w:rPr>
                <w:rFonts w:hint="eastAsia" w:ascii="仿宋" w:hAnsi="仿宋" w:eastAsia="仿宋" w:cs="仿宋"/>
                <w:b w:val="0"/>
                <w:bCs w:val="0"/>
                <w:kern w:val="0"/>
                <w:sz w:val="30"/>
                <w:szCs w:val="30"/>
              </w:rPr>
            </w:pPr>
            <w:r>
              <w:rPr>
                <w:rFonts w:hint="eastAsia" w:ascii="仿宋" w:hAnsi="仿宋" w:eastAsia="仿宋" w:cs="仿宋"/>
                <w:b w:val="0"/>
                <w:bCs w:val="0"/>
                <w:kern w:val="0"/>
                <w:sz w:val="30"/>
                <w:szCs w:val="30"/>
              </w:rPr>
              <w:t>权重（%）</w:t>
            </w:r>
          </w:p>
        </w:tc>
        <w:tc>
          <w:tcPr>
            <w:tcW w:w="206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60" w:lineRule="exact"/>
              <w:jc w:val="center"/>
              <w:rPr>
                <w:rFonts w:hint="eastAsia" w:ascii="仿宋" w:hAnsi="仿宋" w:eastAsia="仿宋" w:cs="仿宋"/>
                <w:b w:val="0"/>
                <w:bCs w:val="0"/>
                <w:kern w:val="0"/>
                <w:sz w:val="30"/>
                <w:szCs w:val="30"/>
              </w:rPr>
            </w:pPr>
            <w:r>
              <w:rPr>
                <w:rFonts w:hint="eastAsia" w:ascii="仿宋" w:hAnsi="仿宋" w:eastAsia="仿宋" w:cs="仿宋"/>
                <w:b w:val="0"/>
                <w:bCs w:val="0"/>
                <w:kern w:val="0"/>
                <w:sz w:val="30"/>
                <w:szCs w:val="30"/>
              </w:rPr>
              <w:t>评价得分</w:t>
            </w:r>
          </w:p>
        </w:tc>
        <w:tc>
          <w:tcPr>
            <w:tcW w:w="2239"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560" w:lineRule="exact"/>
              <w:jc w:val="center"/>
              <w:rPr>
                <w:rFonts w:hint="eastAsia" w:ascii="仿宋" w:hAnsi="仿宋" w:eastAsia="仿宋" w:cs="仿宋"/>
                <w:b w:val="0"/>
                <w:bCs w:val="0"/>
                <w:kern w:val="0"/>
                <w:sz w:val="30"/>
                <w:szCs w:val="30"/>
              </w:rPr>
            </w:pPr>
            <w:r>
              <w:rPr>
                <w:rFonts w:hint="eastAsia" w:ascii="仿宋" w:hAnsi="仿宋" w:eastAsia="仿宋" w:cs="仿宋"/>
                <w:b w:val="0"/>
                <w:bCs w:val="0"/>
                <w:kern w:val="0"/>
                <w:sz w:val="30"/>
                <w:szCs w:val="30"/>
              </w:rPr>
              <w:t>评价分值占比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560" w:lineRule="exact"/>
              <w:jc w:val="center"/>
              <w:rPr>
                <w:rFonts w:hint="eastAsia" w:ascii="仿宋" w:hAnsi="仿宋" w:eastAsia="仿宋" w:cs="仿宋"/>
                <w:b w:val="0"/>
                <w:bCs w:val="0"/>
                <w:kern w:val="0"/>
                <w:sz w:val="30"/>
                <w:szCs w:val="30"/>
              </w:rPr>
            </w:pPr>
            <w:r>
              <w:rPr>
                <w:rFonts w:hint="eastAsia" w:ascii="仿宋" w:hAnsi="仿宋" w:eastAsia="仿宋" w:cs="仿宋"/>
                <w:b w:val="0"/>
                <w:bCs w:val="0"/>
                <w:kern w:val="0"/>
                <w:sz w:val="30"/>
                <w:szCs w:val="30"/>
                <w:lang w:val="en-US" w:eastAsia="zh-CN"/>
              </w:rPr>
              <w:t>1.</w:t>
            </w:r>
            <w:r>
              <w:rPr>
                <w:rFonts w:hint="eastAsia" w:ascii="仿宋" w:hAnsi="仿宋" w:eastAsia="仿宋" w:cs="仿宋"/>
                <w:b w:val="0"/>
                <w:bCs w:val="0"/>
                <w:kern w:val="0"/>
                <w:sz w:val="30"/>
                <w:szCs w:val="30"/>
              </w:rPr>
              <w:t>决策</w:t>
            </w:r>
          </w:p>
        </w:tc>
        <w:tc>
          <w:tcPr>
            <w:tcW w:w="212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560" w:lineRule="exact"/>
              <w:jc w:val="center"/>
              <w:rPr>
                <w:rFonts w:hint="default" w:ascii="仿宋" w:hAnsi="仿宋" w:eastAsia="仿宋" w:cs="仿宋"/>
                <w:b w:val="0"/>
                <w:bCs w:val="0"/>
                <w:kern w:val="0"/>
                <w:sz w:val="30"/>
                <w:szCs w:val="30"/>
                <w:lang w:val="en-US" w:eastAsia="zh-CN"/>
              </w:rPr>
            </w:pPr>
            <w:r>
              <w:rPr>
                <w:rFonts w:hint="eastAsia" w:ascii="仿宋" w:hAnsi="仿宋" w:eastAsia="仿宋" w:cs="仿宋"/>
                <w:b w:val="0"/>
                <w:bCs w:val="0"/>
                <w:kern w:val="0"/>
                <w:sz w:val="30"/>
                <w:szCs w:val="30"/>
                <w:lang w:val="en-US" w:eastAsia="zh-CN"/>
              </w:rPr>
              <w:t>20%</w:t>
            </w:r>
          </w:p>
        </w:tc>
        <w:tc>
          <w:tcPr>
            <w:tcW w:w="20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560" w:lineRule="exact"/>
              <w:jc w:val="center"/>
              <w:rPr>
                <w:rFonts w:hint="default" w:ascii="仿宋" w:hAnsi="仿宋" w:eastAsia="仿宋" w:cs="仿宋"/>
                <w:b w:val="0"/>
                <w:bCs w:val="0"/>
                <w:kern w:val="0"/>
                <w:sz w:val="30"/>
                <w:szCs w:val="30"/>
                <w:lang w:val="en-US" w:eastAsia="zh-CN"/>
              </w:rPr>
            </w:pPr>
            <w:r>
              <w:rPr>
                <w:rFonts w:hint="eastAsia" w:ascii="仿宋" w:hAnsi="仿宋" w:eastAsia="仿宋" w:cs="仿宋"/>
                <w:b w:val="0"/>
                <w:bCs w:val="0"/>
                <w:kern w:val="0"/>
                <w:sz w:val="30"/>
                <w:szCs w:val="30"/>
                <w:lang w:val="en-US" w:eastAsia="zh-CN"/>
              </w:rPr>
              <w:t>11</w:t>
            </w:r>
          </w:p>
        </w:tc>
        <w:tc>
          <w:tcPr>
            <w:tcW w:w="2239" w:type="dxa"/>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spacing w:line="560" w:lineRule="exact"/>
              <w:jc w:val="center"/>
              <w:textAlignment w:val="bottom"/>
              <w:rPr>
                <w:rFonts w:hint="default" w:ascii="仿宋" w:hAnsi="仿宋" w:eastAsia="仿宋" w:cs="仿宋"/>
                <w:b w:val="0"/>
                <w:bCs w:val="0"/>
                <w:kern w:val="0"/>
                <w:sz w:val="30"/>
                <w:szCs w:val="30"/>
                <w:lang w:val="en-US" w:eastAsia="zh-CN"/>
              </w:rPr>
            </w:pPr>
            <w:r>
              <w:rPr>
                <w:rFonts w:hint="eastAsia" w:ascii="仿宋" w:hAnsi="仿宋" w:eastAsia="仿宋" w:cs="仿宋"/>
                <w:b w:val="0"/>
                <w:bCs w:val="0"/>
                <w:kern w:val="0"/>
                <w:sz w:val="30"/>
                <w:szCs w:val="30"/>
                <w:lang w:val="en-US" w:eastAsia="zh-CN"/>
              </w:rPr>
              <w:t>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560" w:lineRule="exact"/>
              <w:jc w:val="center"/>
              <w:rPr>
                <w:rFonts w:hint="eastAsia" w:ascii="仿宋" w:hAnsi="仿宋" w:eastAsia="仿宋" w:cs="仿宋"/>
                <w:b w:val="0"/>
                <w:bCs w:val="0"/>
                <w:kern w:val="0"/>
                <w:sz w:val="30"/>
                <w:szCs w:val="30"/>
              </w:rPr>
            </w:pPr>
            <w:r>
              <w:rPr>
                <w:rFonts w:hint="eastAsia" w:ascii="仿宋" w:hAnsi="仿宋" w:eastAsia="仿宋" w:cs="仿宋"/>
                <w:b w:val="0"/>
                <w:bCs w:val="0"/>
                <w:kern w:val="0"/>
                <w:sz w:val="30"/>
                <w:szCs w:val="30"/>
                <w:lang w:val="en-US" w:eastAsia="zh-CN"/>
              </w:rPr>
              <w:t>2.</w:t>
            </w:r>
            <w:r>
              <w:rPr>
                <w:rFonts w:hint="eastAsia" w:ascii="仿宋" w:hAnsi="仿宋" w:eastAsia="仿宋" w:cs="仿宋"/>
                <w:b w:val="0"/>
                <w:bCs w:val="0"/>
                <w:kern w:val="0"/>
                <w:sz w:val="30"/>
                <w:szCs w:val="30"/>
              </w:rPr>
              <w:t>过程</w:t>
            </w:r>
          </w:p>
        </w:tc>
        <w:tc>
          <w:tcPr>
            <w:tcW w:w="212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560" w:lineRule="exact"/>
              <w:jc w:val="center"/>
              <w:rPr>
                <w:rFonts w:hint="default" w:ascii="仿宋" w:hAnsi="仿宋" w:eastAsia="仿宋" w:cs="仿宋"/>
                <w:b w:val="0"/>
                <w:bCs w:val="0"/>
                <w:kern w:val="0"/>
                <w:sz w:val="30"/>
                <w:szCs w:val="30"/>
                <w:lang w:val="en-US" w:eastAsia="zh-CN"/>
              </w:rPr>
            </w:pPr>
            <w:r>
              <w:rPr>
                <w:rFonts w:hint="eastAsia" w:ascii="仿宋" w:hAnsi="仿宋" w:eastAsia="仿宋" w:cs="仿宋"/>
                <w:b w:val="0"/>
                <w:bCs w:val="0"/>
                <w:kern w:val="0"/>
                <w:sz w:val="30"/>
                <w:szCs w:val="30"/>
                <w:lang w:val="en-US" w:eastAsia="zh-CN"/>
              </w:rPr>
              <w:t>20%</w:t>
            </w:r>
          </w:p>
        </w:tc>
        <w:tc>
          <w:tcPr>
            <w:tcW w:w="20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560" w:lineRule="exact"/>
              <w:jc w:val="center"/>
              <w:rPr>
                <w:rFonts w:hint="default" w:ascii="仿宋" w:hAnsi="仿宋" w:eastAsia="仿宋" w:cs="仿宋"/>
                <w:b w:val="0"/>
                <w:bCs w:val="0"/>
                <w:kern w:val="0"/>
                <w:sz w:val="30"/>
                <w:szCs w:val="30"/>
                <w:lang w:val="en-US" w:eastAsia="zh-CN"/>
              </w:rPr>
            </w:pPr>
            <w:r>
              <w:rPr>
                <w:rFonts w:hint="eastAsia" w:ascii="仿宋" w:hAnsi="仿宋" w:eastAsia="仿宋" w:cs="仿宋"/>
                <w:b w:val="0"/>
                <w:bCs w:val="0"/>
                <w:kern w:val="0"/>
                <w:sz w:val="30"/>
                <w:szCs w:val="30"/>
                <w:lang w:val="en-US" w:eastAsia="zh-CN"/>
              </w:rPr>
              <w:t>18.5</w:t>
            </w:r>
          </w:p>
        </w:tc>
        <w:tc>
          <w:tcPr>
            <w:tcW w:w="2239" w:type="dxa"/>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spacing w:line="560" w:lineRule="exact"/>
              <w:jc w:val="center"/>
              <w:textAlignment w:val="bottom"/>
              <w:rPr>
                <w:rFonts w:hint="default" w:ascii="仿宋" w:hAnsi="仿宋" w:eastAsia="仿宋" w:cs="仿宋"/>
                <w:b w:val="0"/>
                <w:bCs w:val="0"/>
                <w:kern w:val="0"/>
                <w:sz w:val="30"/>
                <w:szCs w:val="30"/>
                <w:lang w:val="en-US" w:eastAsia="zh-CN"/>
              </w:rPr>
            </w:pPr>
            <w:r>
              <w:rPr>
                <w:rFonts w:hint="eastAsia" w:ascii="仿宋" w:hAnsi="仿宋" w:eastAsia="仿宋" w:cs="仿宋"/>
                <w:b w:val="0"/>
                <w:bCs w:val="0"/>
                <w:kern w:val="0"/>
                <w:sz w:val="30"/>
                <w:szCs w:val="30"/>
                <w:lang w:val="en-US" w:eastAsia="zh-CN"/>
              </w:rPr>
              <w:t>92.5%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560" w:lineRule="exact"/>
              <w:jc w:val="center"/>
              <w:rPr>
                <w:rFonts w:hint="eastAsia" w:ascii="仿宋" w:hAnsi="仿宋" w:eastAsia="仿宋" w:cs="仿宋"/>
                <w:b w:val="0"/>
                <w:bCs w:val="0"/>
                <w:kern w:val="0"/>
                <w:sz w:val="30"/>
                <w:szCs w:val="30"/>
              </w:rPr>
            </w:pPr>
            <w:r>
              <w:rPr>
                <w:rFonts w:hint="eastAsia" w:ascii="仿宋" w:hAnsi="仿宋" w:eastAsia="仿宋" w:cs="仿宋"/>
                <w:b w:val="0"/>
                <w:bCs w:val="0"/>
                <w:kern w:val="0"/>
                <w:sz w:val="30"/>
                <w:szCs w:val="30"/>
                <w:lang w:val="en-US" w:eastAsia="zh-CN"/>
              </w:rPr>
              <w:t>3.</w:t>
            </w:r>
            <w:r>
              <w:rPr>
                <w:rFonts w:hint="eastAsia" w:ascii="仿宋" w:hAnsi="仿宋" w:eastAsia="仿宋" w:cs="仿宋"/>
                <w:b w:val="0"/>
                <w:bCs w:val="0"/>
                <w:kern w:val="0"/>
                <w:sz w:val="30"/>
                <w:szCs w:val="30"/>
              </w:rPr>
              <w:t>产出</w:t>
            </w:r>
          </w:p>
        </w:tc>
        <w:tc>
          <w:tcPr>
            <w:tcW w:w="212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560" w:lineRule="exact"/>
              <w:jc w:val="center"/>
              <w:rPr>
                <w:rFonts w:hint="default" w:ascii="仿宋" w:hAnsi="仿宋" w:eastAsia="仿宋" w:cs="仿宋"/>
                <w:b w:val="0"/>
                <w:bCs w:val="0"/>
                <w:kern w:val="0"/>
                <w:sz w:val="30"/>
                <w:szCs w:val="30"/>
                <w:lang w:val="en-US" w:eastAsia="zh-CN"/>
              </w:rPr>
            </w:pPr>
            <w:r>
              <w:rPr>
                <w:rFonts w:hint="eastAsia" w:ascii="仿宋" w:hAnsi="仿宋" w:eastAsia="仿宋" w:cs="仿宋"/>
                <w:b w:val="0"/>
                <w:bCs w:val="0"/>
                <w:kern w:val="0"/>
                <w:sz w:val="30"/>
                <w:szCs w:val="30"/>
                <w:lang w:val="en-US" w:eastAsia="zh-CN"/>
              </w:rPr>
              <w:t>20%</w:t>
            </w:r>
          </w:p>
        </w:tc>
        <w:tc>
          <w:tcPr>
            <w:tcW w:w="20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560" w:lineRule="exact"/>
              <w:jc w:val="center"/>
              <w:rPr>
                <w:rFonts w:hint="default" w:ascii="仿宋" w:hAnsi="仿宋" w:eastAsia="仿宋" w:cs="仿宋"/>
                <w:b w:val="0"/>
                <w:bCs w:val="0"/>
                <w:kern w:val="0"/>
                <w:sz w:val="30"/>
                <w:szCs w:val="30"/>
                <w:lang w:val="en-US" w:eastAsia="zh-CN"/>
              </w:rPr>
            </w:pPr>
            <w:r>
              <w:rPr>
                <w:rFonts w:hint="eastAsia" w:ascii="仿宋" w:hAnsi="仿宋" w:eastAsia="仿宋" w:cs="仿宋"/>
                <w:b w:val="0"/>
                <w:bCs w:val="0"/>
                <w:kern w:val="0"/>
                <w:sz w:val="30"/>
                <w:szCs w:val="30"/>
                <w:lang w:val="en-US" w:eastAsia="zh-CN"/>
              </w:rPr>
              <w:t>20</w:t>
            </w:r>
          </w:p>
        </w:tc>
        <w:tc>
          <w:tcPr>
            <w:tcW w:w="2239" w:type="dxa"/>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spacing w:line="560" w:lineRule="exact"/>
              <w:jc w:val="center"/>
              <w:textAlignment w:val="bottom"/>
              <w:rPr>
                <w:rFonts w:hint="default" w:ascii="仿宋" w:hAnsi="仿宋" w:eastAsia="仿宋" w:cs="仿宋"/>
                <w:b w:val="0"/>
                <w:bCs w:val="0"/>
                <w:kern w:val="0"/>
                <w:sz w:val="30"/>
                <w:szCs w:val="30"/>
                <w:lang w:val="en-US" w:eastAsia="zh-CN"/>
              </w:rPr>
            </w:pPr>
            <w:r>
              <w:rPr>
                <w:rFonts w:hint="eastAsia" w:ascii="仿宋" w:hAnsi="仿宋" w:eastAsia="仿宋" w:cs="仿宋"/>
                <w:b w:val="0"/>
                <w:bCs w:val="0"/>
                <w:kern w:val="0"/>
                <w:sz w:val="30"/>
                <w:szCs w:val="30"/>
                <w:lang w:val="en-US" w:eastAsia="zh-CN"/>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560" w:lineRule="exact"/>
              <w:jc w:val="center"/>
              <w:rPr>
                <w:rFonts w:hint="eastAsia" w:ascii="仿宋" w:hAnsi="仿宋" w:eastAsia="仿宋" w:cs="仿宋"/>
                <w:b w:val="0"/>
                <w:bCs w:val="0"/>
                <w:kern w:val="0"/>
                <w:sz w:val="30"/>
                <w:szCs w:val="30"/>
              </w:rPr>
            </w:pPr>
            <w:r>
              <w:rPr>
                <w:rFonts w:hint="eastAsia" w:ascii="仿宋" w:hAnsi="仿宋" w:eastAsia="仿宋" w:cs="仿宋"/>
                <w:b w:val="0"/>
                <w:bCs w:val="0"/>
                <w:kern w:val="0"/>
                <w:sz w:val="30"/>
                <w:szCs w:val="30"/>
                <w:lang w:val="en-US" w:eastAsia="zh-CN"/>
              </w:rPr>
              <w:t>4.</w:t>
            </w:r>
            <w:r>
              <w:rPr>
                <w:rFonts w:hint="eastAsia" w:ascii="仿宋" w:hAnsi="仿宋" w:eastAsia="仿宋" w:cs="仿宋"/>
                <w:b w:val="0"/>
                <w:bCs w:val="0"/>
                <w:kern w:val="0"/>
                <w:sz w:val="30"/>
                <w:szCs w:val="30"/>
              </w:rPr>
              <w:t>效益</w:t>
            </w:r>
          </w:p>
        </w:tc>
        <w:tc>
          <w:tcPr>
            <w:tcW w:w="212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560" w:lineRule="exact"/>
              <w:jc w:val="center"/>
              <w:rPr>
                <w:rFonts w:hint="default" w:ascii="仿宋" w:hAnsi="仿宋" w:eastAsia="仿宋" w:cs="仿宋"/>
                <w:b w:val="0"/>
                <w:bCs w:val="0"/>
                <w:kern w:val="0"/>
                <w:sz w:val="30"/>
                <w:szCs w:val="30"/>
                <w:lang w:val="en-US" w:eastAsia="zh-CN"/>
              </w:rPr>
            </w:pPr>
            <w:r>
              <w:rPr>
                <w:rFonts w:hint="eastAsia" w:ascii="仿宋" w:hAnsi="仿宋" w:eastAsia="仿宋" w:cs="仿宋"/>
                <w:b w:val="0"/>
                <w:bCs w:val="0"/>
                <w:kern w:val="0"/>
                <w:sz w:val="30"/>
                <w:szCs w:val="30"/>
                <w:lang w:val="en-US" w:eastAsia="zh-CN"/>
              </w:rPr>
              <w:t>40%</w:t>
            </w:r>
          </w:p>
        </w:tc>
        <w:tc>
          <w:tcPr>
            <w:tcW w:w="20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560" w:lineRule="exact"/>
              <w:jc w:val="center"/>
              <w:rPr>
                <w:rFonts w:hint="default" w:ascii="仿宋" w:hAnsi="仿宋" w:eastAsia="仿宋" w:cs="仿宋"/>
                <w:b w:val="0"/>
                <w:bCs w:val="0"/>
                <w:kern w:val="0"/>
                <w:sz w:val="30"/>
                <w:szCs w:val="30"/>
                <w:lang w:val="en-US" w:eastAsia="zh-CN"/>
              </w:rPr>
            </w:pPr>
            <w:r>
              <w:rPr>
                <w:rFonts w:hint="eastAsia" w:ascii="仿宋" w:hAnsi="仿宋" w:eastAsia="仿宋" w:cs="仿宋"/>
                <w:b w:val="0"/>
                <w:bCs w:val="0"/>
                <w:kern w:val="0"/>
                <w:sz w:val="30"/>
                <w:szCs w:val="30"/>
                <w:lang w:val="en-US" w:eastAsia="zh-CN"/>
              </w:rPr>
              <w:t>33.75</w:t>
            </w:r>
          </w:p>
        </w:tc>
        <w:tc>
          <w:tcPr>
            <w:tcW w:w="2239" w:type="dxa"/>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spacing w:line="560" w:lineRule="exact"/>
              <w:jc w:val="center"/>
              <w:textAlignment w:val="bottom"/>
              <w:rPr>
                <w:rFonts w:hint="default" w:ascii="仿宋" w:hAnsi="仿宋" w:eastAsia="仿宋" w:cs="仿宋"/>
                <w:b w:val="0"/>
                <w:bCs w:val="0"/>
                <w:kern w:val="0"/>
                <w:sz w:val="30"/>
                <w:szCs w:val="30"/>
                <w:lang w:val="en-US" w:eastAsia="zh-CN"/>
              </w:rPr>
            </w:pPr>
            <w:r>
              <w:rPr>
                <w:rFonts w:hint="eastAsia" w:ascii="仿宋" w:hAnsi="仿宋" w:eastAsia="仿宋" w:cs="仿宋"/>
                <w:b w:val="0"/>
                <w:bCs w:val="0"/>
                <w:kern w:val="0"/>
                <w:sz w:val="30"/>
                <w:szCs w:val="30"/>
                <w:lang w:val="en-US" w:eastAsia="zh-CN"/>
              </w:rPr>
              <w:t>84.38%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20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560" w:lineRule="exact"/>
              <w:jc w:val="center"/>
              <w:rPr>
                <w:rFonts w:hint="eastAsia" w:ascii="仿宋" w:hAnsi="仿宋" w:eastAsia="仿宋" w:cs="仿宋"/>
                <w:b w:val="0"/>
                <w:bCs w:val="0"/>
                <w:kern w:val="0"/>
                <w:sz w:val="30"/>
                <w:szCs w:val="30"/>
                <w:lang w:val="en-US" w:eastAsia="zh-CN"/>
              </w:rPr>
            </w:pPr>
            <w:r>
              <w:rPr>
                <w:rFonts w:hint="eastAsia" w:ascii="仿宋" w:hAnsi="仿宋" w:eastAsia="仿宋" w:cs="仿宋"/>
                <w:b w:val="0"/>
                <w:bCs w:val="0"/>
                <w:kern w:val="0"/>
                <w:sz w:val="30"/>
                <w:szCs w:val="30"/>
                <w:lang w:val="en-US" w:eastAsia="zh-CN"/>
              </w:rPr>
              <w:t>综合绩效</w:t>
            </w:r>
          </w:p>
        </w:tc>
        <w:tc>
          <w:tcPr>
            <w:tcW w:w="212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560" w:lineRule="exact"/>
              <w:jc w:val="center"/>
              <w:rPr>
                <w:rFonts w:hint="default" w:ascii="仿宋" w:hAnsi="仿宋" w:eastAsia="仿宋" w:cs="仿宋"/>
                <w:b w:val="0"/>
                <w:bCs w:val="0"/>
                <w:kern w:val="0"/>
                <w:sz w:val="30"/>
                <w:szCs w:val="30"/>
                <w:lang w:val="en-US" w:eastAsia="zh-CN"/>
              </w:rPr>
            </w:pPr>
            <w:r>
              <w:rPr>
                <w:rFonts w:hint="eastAsia" w:ascii="仿宋" w:hAnsi="仿宋" w:eastAsia="仿宋" w:cs="仿宋"/>
                <w:b w:val="0"/>
                <w:bCs w:val="0"/>
                <w:kern w:val="0"/>
                <w:sz w:val="30"/>
                <w:szCs w:val="30"/>
                <w:lang w:val="en-US" w:eastAsia="zh-CN"/>
              </w:rPr>
              <w:t>100%</w:t>
            </w:r>
          </w:p>
        </w:tc>
        <w:tc>
          <w:tcPr>
            <w:tcW w:w="20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val="0"/>
              <w:snapToGrid w:val="0"/>
              <w:spacing w:line="560" w:lineRule="exact"/>
              <w:jc w:val="center"/>
              <w:rPr>
                <w:rFonts w:hint="default" w:ascii="仿宋" w:hAnsi="仿宋" w:eastAsia="仿宋" w:cs="仿宋"/>
                <w:b w:val="0"/>
                <w:bCs w:val="0"/>
                <w:kern w:val="0"/>
                <w:sz w:val="30"/>
                <w:szCs w:val="30"/>
                <w:lang w:val="en-US" w:eastAsia="zh-CN"/>
              </w:rPr>
            </w:pPr>
            <w:r>
              <w:rPr>
                <w:rFonts w:hint="eastAsia" w:ascii="仿宋" w:hAnsi="仿宋" w:eastAsia="仿宋" w:cs="仿宋"/>
                <w:b w:val="0"/>
                <w:bCs w:val="0"/>
                <w:kern w:val="0"/>
                <w:sz w:val="30"/>
                <w:szCs w:val="30"/>
                <w:lang w:val="en-US" w:eastAsia="zh-CN"/>
              </w:rPr>
              <w:t>83.25</w:t>
            </w:r>
          </w:p>
        </w:tc>
        <w:tc>
          <w:tcPr>
            <w:tcW w:w="2239" w:type="dxa"/>
            <w:tcBorders>
              <w:top w:val="single" w:color="auto" w:sz="4" w:space="0"/>
              <w:left w:val="single" w:color="auto" w:sz="4" w:space="0"/>
              <w:bottom w:val="single" w:color="auto" w:sz="4" w:space="0"/>
              <w:right w:val="single" w:color="auto" w:sz="4" w:space="0"/>
            </w:tcBorders>
            <w:vAlign w:val="bottom"/>
          </w:tcPr>
          <w:p>
            <w:pPr>
              <w:keepNext w:val="0"/>
              <w:keepLines w:val="0"/>
              <w:pageBreakBefore w:val="0"/>
              <w:widowControl/>
              <w:kinsoku/>
              <w:wordWrap/>
              <w:overflowPunct/>
              <w:topLinePunct w:val="0"/>
              <w:autoSpaceDE/>
              <w:autoSpaceDN/>
              <w:bidi w:val="0"/>
              <w:spacing w:line="560" w:lineRule="exact"/>
              <w:jc w:val="center"/>
              <w:textAlignment w:val="bottom"/>
              <w:rPr>
                <w:rFonts w:hint="default" w:ascii="仿宋" w:hAnsi="仿宋" w:eastAsia="仿宋" w:cs="仿宋"/>
                <w:b w:val="0"/>
                <w:bCs w:val="0"/>
                <w:kern w:val="0"/>
                <w:sz w:val="30"/>
                <w:szCs w:val="30"/>
                <w:lang w:val="en-US" w:eastAsia="zh-CN"/>
              </w:rPr>
            </w:pPr>
            <w:r>
              <w:rPr>
                <w:rFonts w:hint="eastAsia" w:ascii="仿宋" w:hAnsi="仿宋" w:eastAsia="仿宋" w:cs="仿宋"/>
                <w:b w:val="0"/>
                <w:bCs w:val="0"/>
                <w:kern w:val="0"/>
                <w:sz w:val="30"/>
                <w:szCs w:val="30"/>
                <w:lang w:val="en-US" w:eastAsia="zh-CN"/>
              </w:rPr>
              <w:t>83.25%</w:t>
            </w:r>
          </w:p>
        </w:tc>
      </w:tr>
    </w:tbl>
    <w:p>
      <w:pPr>
        <w:pStyle w:val="13"/>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b/>
          <w:bCs/>
          <w:kern w:val="2"/>
          <w:sz w:val="32"/>
          <w:szCs w:val="32"/>
          <w:lang w:val="en-US" w:eastAsia="zh-CN" w:bidi="ar"/>
        </w:rPr>
        <w:t>在经济效益方面。</w:t>
      </w:r>
      <w:r>
        <w:rPr>
          <w:rFonts w:hint="eastAsia" w:ascii="仿宋_GB2312" w:hAnsi="仿宋_GB2312" w:eastAsia="仿宋_GB2312" w:cs="仿宋_GB2312"/>
          <w:kern w:val="2"/>
          <w:sz w:val="32"/>
          <w:szCs w:val="32"/>
          <w:lang w:val="en-US" w:eastAsia="zh-CN" w:bidi="ar"/>
        </w:rPr>
        <w:t>2022年，菏泽市网络零售额231.2亿元，总量居全省第６位，同比增长11.6%，省内排名与2021年持平，但同比下降10.4个百分点；其中，实物商品网络零售额212.3亿元，同比增长19.0%；农村网络零售额144.1亿元，同比增长12.9%。2022年全市共开展各类直播活动共18.75万场，带动直播商品销售10.67亿元，进一步提高了电商行业收入。此外，市商务局进一步拓展服务电商发展的金融渠道，推动商业银行根据电商发展需求，开发“淘宝贷”、网商数据贷、供应链金融等创新性金融产品，扩大金融支持力度和范围。推动金融机构与电商平台合作，开发有针对性的投融资服务，大力推广“互联网+金融”，其中蚂蚁金服（曹县中心）累计放款177.95亿元，居山东省首位。</w:t>
      </w:r>
    </w:p>
    <w:p>
      <w:pPr>
        <w:pStyle w:val="13"/>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b/>
          <w:bCs/>
          <w:kern w:val="2"/>
          <w:sz w:val="32"/>
          <w:szCs w:val="32"/>
          <w:lang w:val="en-US" w:eastAsia="zh-CN" w:bidi="ar"/>
        </w:rPr>
        <w:t>在社会效益方面。</w:t>
      </w:r>
      <w:r>
        <w:rPr>
          <w:rFonts w:hint="eastAsia" w:ascii="仿宋_GB2312" w:hAnsi="仿宋_GB2312" w:eastAsia="仿宋_GB2312" w:cs="仿宋_GB2312"/>
          <w:kern w:val="2"/>
          <w:sz w:val="32"/>
          <w:szCs w:val="32"/>
          <w:lang w:val="en-US" w:eastAsia="zh-CN" w:bidi="ar"/>
        </w:rPr>
        <w:t>2022年，菏泽市网络零售带动直接从业人员5.41万人，57万余人通过产业链延伸实现就近就业。此外，组织线上线下在东明等沿黄县区举办“党建引领电商发展--新电商培训走进黄河滩区”电商培训活动，为滩区群众创业就业、增收致富拓宽了新渠道。此外，市商务局借助“2022金秋菏泽直播优品展”搭建了“菏泽优品库”“主播人才库”，甄选菏泽好品600余种，聚拢优质主播300余人。通过搭建“主播+优品+展会+直播”模式，实现产销直连，各县区涌现出“曹献优品”“e品好郓”“沃，东明”“单养千秋”等一批县域电商公共品牌，被授权使用企业达到155家。</w:t>
      </w:r>
    </w:p>
    <w:p>
      <w:pPr>
        <w:pStyle w:val="12"/>
        <w:keepNext w:val="0"/>
        <w:keepLines w:val="0"/>
        <w:pageBreakBefore w:val="0"/>
        <w:kinsoku/>
        <w:wordWrap/>
        <w:overflowPunct/>
        <w:topLinePunct w:val="0"/>
        <w:autoSpaceDE/>
        <w:autoSpaceDN/>
        <w:bidi w:val="0"/>
        <w:spacing w:line="560" w:lineRule="exact"/>
        <w:outlineLvl w:val="9"/>
        <w:rPr>
          <w:rFonts w:hint="default" w:ascii="仿宋_GB2312" w:hAnsi="Times New Roman" w:eastAsia="仿宋_GB2312" w:cs="仿宋_GB2312"/>
          <w:kern w:val="2"/>
          <w:sz w:val="32"/>
          <w:szCs w:val="32"/>
          <w:lang w:val="en-US" w:eastAsia="zh-CN" w:bidi="ar"/>
        </w:rPr>
      </w:pPr>
      <w:r>
        <w:rPr>
          <w:rFonts w:hint="eastAsia" w:ascii="仿宋_GB2312" w:eastAsia="仿宋_GB2312" w:cs="仿宋_GB2312"/>
          <w:b/>
          <w:bCs/>
          <w:kern w:val="2"/>
          <w:sz w:val="32"/>
          <w:szCs w:val="32"/>
          <w:lang w:val="en-US" w:eastAsia="zh-CN" w:bidi="ar"/>
        </w:rPr>
        <w:t>在</w:t>
      </w:r>
      <w:r>
        <w:rPr>
          <w:rFonts w:hint="default" w:ascii="仿宋_GB2312" w:hAnsi="Times New Roman" w:eastAsia="仿宋_GB2312" w:cs="仿宋_GB2312"/>
          <w:b/>
          <w:bCs/>
          <w:kern w:val="2"/>
          <w:sz w:val="32"/>
          <w:szCs w:val="32"/>
          <w:lang w:val="en-US" w:eastAsia="zh-CN" w:bidi="ar"/>
        </w:rPr>
        <w:t>政策示范</w:t>
      </w:r>
      <w:r>
        <w:rPr>
          <w:rFonts w:hint="eastAsia" w:ascii="仿宋_GB2312" w:eastAsia="仿宋_GB2312" w:cs="仿宋_GB2312"/>
          <w:b/>
          <w:bCs/>
          <w:kern w:val="2"/>
          <w:sz w:val="32"/>
          <w:szCs w:val="32"/>
          <w:lang w:val="en-US" w:eastAsia="zh-CN" w:bidi="ar"/>
        </w:rPr>
        <w:t>性</w:t>
      </w:r>
      <w:r>
        <w:rPr>
          <w:rFonts w:hint="default" w:ascii="仿宋_GB2312" w:hAnsi="Times New Roman" w:eastAsia="仿宋_GB2312" w:cs="仿宋_GB2312"/>
          <w:b/>
          <w:bCs/>
          <w:kern w:val="2"/>
          <w:sz w:val="32"/>
          <w:szCs w:val="32"/>
          <w:lang w:val="en-US" w:eastAsia="zh-CN" w:bidi="ar"/>
        </w:rPr>
        <w:t>及可持续性</w:t>
      </w:r>
      <w:r>
        <w:rPr>
          <w:rFonts w:hint="eastAsia" w:ascii="仿宋_GB2312" w:eastAsia="仿宋_GB2312" w:cs="仿宋_GB2312"/>
          <w:b/>
          <w:bCs/>
          <w:kern w:val="2"/>
          <w:sz w:val="32"/>
          <w:szCs w:val="32"/>
          <w:lang w:val="en-US" w:eastAsia="zh-CN" w:bidi="ar"/>
        </w:rPr>
        <w:t>方面。</w:t>
      </w:r>
      <w:r>
        <w:rPr>
          <w:rFonts w:hint="default" w:ascii="仿宋_GB2312" w:hAnsi="Times New Roman" w:eastAsia="仿宋_GB2312" w:cs="仿宋_GB2312"/>
          <w:kern w:val="2"/>
          <w:sz w:val="32"/>
          <w:szCs w:val="32"/>
          <w:lang w:val="en-US" w:eastAsia="zh-CN" w:bidi="ar"/>
        </w:rPr>
        <w:t>政策奖补涵盖范围涉及区县、企业（单位），奖补方向涉及工业电商、农村电商、跨境电商、服务业电商、县域电商，奖补方向较为全面，对于后续其它同类型政策的制定具有一定借鉴意义。但政策本身未设立阶段性目标，未明确政策执行有效期，未对人才引进制定相应优惠政策及培养方案</w:t>
      </w:r>
      <w:r>
        <w:rPr>
          <w:rFonts w:hint="eastAsia" w:ascii="仿宋_GB2312" w:eastAsia="仿宋_GB2312" w:cs="仿宋_GB2312"/>
          <w:kern w:val="2"/>
          <w:sz w:val="32"/>
          <w:szCs w:val="32"/>
          <w:lang w:val="en-US" w:eastAsia="zh-CN" w:bidi="ar"/>
        </w:rPr>
        <w:t>。此外，</w:t>
      </w:r>
      <w:r>
        <w:rPr>
          <w:rFonts w:hint="default" w:ascii="仿宋_GB2312" w:hAnsi="Times New Roman" w:eastAsia="仿宋_GB2312" w:cs="仿宋_GB2312"/>
          <w:kern w:val="2"/>
          <w:sz w:val="32"/>
          <w:szCs w:val="32"/>
          <w:lang w:val="en-US" w:eastAsia="zh-CN" w:bidi="ar"/>
        </w:rPr>
        <w:t>政策制定符合当前菏泽市电商行业发展现状，同时探索构建“菏泽优品”电商区域公共品牌，有效推动农特产企业品牌化、标准化发展。菏泽唐装、菏泽棺材入选“淘宝2022全国产业带百强榜”，菏泽表演服饰、汉服占全国电商产业70%、30%，木制品销量占阿里国际站40%</w:t>
      </w:r>
      <w:r>
        <w:rPr>
          <w:rFonts w:hint="eastAsia" w:ascii="仿宋_GB2312" w:hAnsi="Times New Roman" w:eastAsia="仿宋_GB2312" w:cs="仿宋_GB2312"/>
          <w:kern w:val="2"/>
          <w:sz w:val="32"/>
          <w:szCs w:val="32"/>
          <w:lang w:val="en-US" w:eastAsia="zh-CN" w:bidi="ar"/>
        </w:rPr>
        <w:t>。</w:t>
      </w:r>
    </w:p>
    <w:p>
      <w:pPr>
        <w:pStyle w:val="12"/>
        <w:keepNext w:val="0"/>
        <w:keepLines w:val="0"/>
        <w:pageBreakBefore w:val="0"/>
        <w:kinsoku/>
        <w:wordWrap/>
        <w:overflowPunct/>
        <w:topLinePunct w:val="0"/>
        <w:autoSpaceDE/>
        <w:autoSpaceDN/>
        <w:bidi w:val="0"/>
        <w:spacing w:line="560" w:lineRule="exact"/>
        <w:outlineLvl w:val="9"/>
        <w:rPr>
          <w:rFonts w:hint="default" w:ascii="楷体" w:hAnsi="楷体" w:eastAsia="楷体" w:cs="楷体"/>
          <w:bCs/>
          <w:caps/>
          <w:sz w:val="22"/>
          <w:szCs w:val="22"/>
          <w:lang w:val="en-US" w:eastAsia="zh-CN"/>
        </w:rPr>
      </w:pPr>
      <w:r>
        <w:rPr>
          <w:rFonts w:hint="eastAsia" w:ascii="仿宋_GB2312" w:hAnsi="Times New Roman" w:eastAsia="仿宋_GB2312" w:cs="仿宋_GB2312"/>
          <w:kern w:val="2"/>
          <w:sz w:val="32"/>
          <w:szCs w:val="32"/>
          <w:lang w:val="en-US" w:eastAsia="zh-CN" w:bidi="ar"/>
        </w:rPr>
        <w:t>2022年度菏泽市电子商务发展专项资金预算500万元，全年实际支出500万元。项目整体成本和效益较为匹配，但</w:t>
      </w:r>
      <w:r>
        <w:rPr>
          <w:rFonts w:hint="eastAsia" w:ascii="仿宋_GB2312" w:hAnsi="Times New Roman" w:eastAsia="仿宋_GB2312" w:cs="仿宋_GB2312"/>
          <w:kern w:val="2"/>
          <w:sz w:val="32"/>
          <w:szCs w:val="32"/>
          <w:lang w:val="en-US" w:eastAsia="zh-Hans" w:bidi="ar"/>
        </w:rPr>
        <w:t>成本标准建设</w:t>
      </w:r>
      <w:r>
        <w:rPr>
          <w:rFonts w:hint="eastAsia" w:ascii="仿宋_GB2312" w:hAnsi="Times New Roman" w:eastAsia="仿宋_GB2312" w:cs="仿宋_GB2312"/>
          <w:kern w:val="2"/>
          <w:sz w:val="32"/>
          <w:szCs w:val="32"/>
          <w:lang w:val="en-US" w:eastAsia="zh-CN" w:bidi="ar"/>
        </w:rPr>
        <w:t>无明确标准，部分奖补未按照政策要求执行，</w:t>
      </w:r>
      <w:r>
        <w:rPr>
          <w:rFonts w:hint="eastAsia" w:ascii="仿宋_GB2312" w:hAnsi="Times New Roman" w:eastAsia="仿宋_GB2312" w:cs="仿宋_GB2312"/>
          <w:kern w:val="2"/>
          <w:sz w:val="32"/>
          <w:szCs w:val="32"/>
          <w:lang w:val="en-US" w:eastAsia="zh-Hans" w:bidi="ar"/>
        </w:rPr>
        <w:t>成本控制</w:t>
      </w:r>
      <w:r>
        <w:rPr>
          <w:rFonts w:hint="eastAsia" w:ascii="仿宋_GB2312" w:hAnsi="Times New Roman" w:eastAsia="仿宋_GB2312" w:cs="仿宋_GB2312"/>
          <w:kern w:val="2"/>
          <w:sz w:val="32"/>
          <w:szCs w:val="32"/>
          <w:lang w:val="en-US" w:eastAsia="zh-CN" w:bidi="ar"/>
        </w:rPr>
        <w:t>有待加强</w:t>
      </w:r>
      <w:r>
        <w:rPr>
          <w:rFonts w:hint="eastAsia" w:ascii="仿宋_GB2312" w:hAnsi="Times New Roman" w:eastAsia="仿宋_GB2312" w:cs="仿宋_GB2312"/>
          <w:kern w:val="2"/>
          <w:sz w:val="32"/>
          <w:szCs w:val="32"/>
          <w:lang w:val="en-US" w:eastAsia="zh-Hans" w:bidi="ar"/>
        </w:rPr>
        <w:t>。</w:t>
      </w:r>
      <w:r>
        <w:rPr>
          <w:rFonts w:hint="eastAsia" w:ascii="仿宋_GB2312" w:hAnsi="Times New Roman" w:eastAsia="仿宋_GB2312" w:cs="仿宋_GB2312"/>
          <w:kern w:val="2"/>
          <w:sz w:val="32"/>
          <w:szCs w:val="32"/>
          <w:lang w:val="en-US" w:eastAsia="zh-CN" w:bidi="ar"/>
        </w:rPr>
        <w:t>同时政策存在</w:t>
      </w:r>
      <w:r>
        <w:rPr>
          <w:rFonts w:hint="eastAsia" w:ascii="仿宋_GB2312" w:hAnsi="Times New Roman" w:eastAsia="仿宋_GB2312" w:cs="仿宋_GB2312"/>
          <w:kern w:val="2"/>
          <w:sz w:val="32"/>
          <w:szCs w:val="32"/>
          <w:lang w:val="en-US" w:eastAsia="zh-Hans" w:bidi="ar"/>
        </w:rPr>
        <w:t>政策奖补方向不够全面导致个别条款与现阶段发展衔接不足、《专项资金管理办法》与《实施意见》政策内容不一致导致政策内容体系性不足、</w:t>
      </w:r>
      <w:r>
        <w:rPr>
          <w:rFonts w:hint="eastAsia" w:ascii="仿宋" w:hAnsi="仿宋" w:eastAsia="仿宋" w:cs="仿宋"/>
          <w:i w:val="0"/>
          <w:iCs w:val="0"/>
          <w:sz w:val="32"/>
          <w:szCs w:val="32"/>
          <w:lang w:eastAsia="zh-Hans"/>
        </w:rPr>
        <w:t>资金实际发放与政策设定奖补标准不匹配、奖补标准未明确最高限额导致敞口预算不利于预算控制、政策门槛较高导致企业难以达标、政策未设置工作目标导致政策执行的约束力不足等问题，政策具有较大提升优化空间。建议相关责任单位根据报告意见综合论证、优化政策，综合考虑本市能够明确工作目标及重点工作任务，统一政策与配套政策工具支持方式、方向和标准，结合实际情况做到灵活执行、科学施策。</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0"/>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四、项目主要绩效、存在问题及原因分析</w:t>
      </w:r>
    </w:p>
    <w:p>
      <w:pPr>
        <w:pStyle w:val="12"/>
        <w:keepNext w:val="0"/>
        <w:keepLines w:val="0"/>
        <w:pageBreakBefore w:val="0"/>
        <w:widowControl w:val="0"/>
        <w:kinsoku/>
        <w:wordWrap/>
        <w:overflowPunct/>
        <w:topLinePunct w:val="0"/>
        <w:autoSpaceDE/>
        <w:autoSpaceDN/>
        <w:bidi w:val="0"/>
        <w:adjustRightInd w:val="0"/>
        <w:snapToGrid w:val="0"/>
        <w:spacing w:line="560" w:lineRule="exact"/>
        <w:textAlignment w:val="auto"/>
        <w:outlineLvl w:val="1"/>
        <w:rPr>
          <w:rFonts w:hint="eastAsia" w:ascii="楷体" w:hAnsi="楷体" w:eastAsia="楷体" w:cs="楷体"/>
          <w:bCs/>
          <w:sz w:val="32"/>
          <w:szCs w:val="32"/>
          <w:lang w:val="en-US" w:eastAsia="zh-CN"/>
        </w:rPr>
      </w:pPr>
      <w:r>
        <w:rPr>
          <w:rFonts w:hint="eastAsia" w:ascii="楷体" w:hAnsi="楷体" w:eastAsia="楷体" w:cs="楷体"/>
          <w:bCs/>
          <w:sz w:val="32"/>
          <w:szCs w:val="32"/>
          <w:lang w:val="en-US" w:eastAsia="zh-CN"/>
        </w:rPr>
        <w:t>（一）项目主要绩效</w:t>
      </w:r>
    </w:p>
    <w:p>
      <w:pPr>
        <w:keepNext w:val="0"/>
        <w:keepLines w:val="0"/>
        <w:pageBreakBefore w:val="0"/>
        <w:widowControl w:val="0"/>
        <w:kinsoku/>
        <w:wordWrap/>
        <w:overflowPunct/>
        <w:topLinePunct w:val="0"/>
        <w:autoSpaceDE/>
        <w:autoSpaceDN/>
        <w:bidi w:val="0"/>
        <w:adjustRightInd w:val="0"/>
        <w:snapToGrid/>
        <w:spacing w:line="560" w:lineRule="exact"/>
        <w:ind w:firstLine="643" w:firstLineChars="200"/>
        <w:textAlignment w:val="baseline"/>
        <w:outlineLvl w:val="2"/>
        <w:rPr>
          <w:rFonts w:hint="eastAsia" w:ascii="仿宋_GB2312" w:hAnsi="仿宋_GB2312" w:eastAsia="仿宋_GB2312" w:cs="仿宋_GB2312"/>
          <w:b/>
          <w:bCs/>
          <w:sz w:val="32"/>
          <w:szCs w:val="32"/>
          <w:lang w:val="en-US" w:eastAsia="zh-CN"/>
        </w:rPr>
      </w:pPr>
      <w:bookmarkStart w:id="24" w:name="_Toc14066"/>
      <w:bookmarkStart w:id="25" w:name="_Toc1464"/>
      <w:bookmarkStart w:id="26" w:name="_Toc931"/>
      <w:bookmarkStart w:id="27" w:name="_Toc2375"/>
      <w:bookmarkStart w:id="28" w:name="_Toc31603"/>
      <w:bookmarkStart w:id="29" w:name="_Toc7883"/>
      <w:r>
        <w:rPr>
          <w:rFonts w:hint="eastAsia" w:ascii="仿宋_GB2312" w:hAnsi="仿宋_GB2312" w:eastAsia="仿宋_GB2312" w:cs="仿宋_GB2312"/>
          <w:b/>
          <w:bCs/>
          <w:sz w:val="32"/>
          <w:szCs w:val="32"/>
          <w:lang w:val="en-US" w:eastAsia="zh-CN"/>
        </w:rPr>
        <w:t>1.</w:t>
      </w:r>
      <w:r>
        <w:rPr>
          <w:rFonts w:hint="eastAsia" w:ascii="仿宋_GB2312" w:hAnsi="仿宋_GB2312" w:eastAsia="仿宋_GB2312" w:cs="仿宋_GB2312"/>
          <w:b/>
          <w:bCs/>
          <w:sz w:val="32"/>
          <w:szCs w:val="32"/>
        </w:rPr>
        <w:t>把农村电商作为“战略重点”</w:t>
      </w:r>
      <w:r>
        <w:rPr>
          <w:rFonts w:hint="eastAsia" w:ascii="仿宋_GB2312" w:hAnsi="仿宋_GB2312" w:eastAsia="仿宋_GB2312" w:cs="仿宋_GB2312"/>
          <w:b/>
          <w:bCs/>
          <w:sz w:val="32"/>
          <w:szCs w:val="32"/>
          <w:lang w:eastAsia="zh-CN"/>
        </w:rPr>
        <w:t>，推动农特产</w:t>
      </w:r>
      <w:r>
        <w:rPr>
          <w:rFonts w:hint="eastAsia" w:ascii="仿宋_GB2312" w:hAnsi="仿宋_GB2312" w:eastAsia="仿宋_GB2312" w:cs="仿宋_GB2312"/>
          <w:b/>
          <w:bCs/>
          <w:sz w:val="32"/>
          <w:szCs w:val="32"/>
          <w:lang w:val="en-US" w:eastAsia="zh-CN"/>
        </w:rPr>
        <w:t>品发展</w:t>
      </w:r>
      <w:bookmarkEnd w:id="24"/>
      <w:bookmarkEnd w:id="25"/>
      <w:bookmarkEnd w:id="26"/>
      <w:bookmarkEnd w:id="27"/>
      <w:bookmarkEnd w:id="28"/>
      <w:bookmarkEnd w:id="29"/>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菏泽</w:t>
      </w:r>
      <w:r>
        <w:rPr>
          <w:rFonts w:hint="eastAsia" w:ascii="仿宋_GB2312" w:hAnsi="仿宋_GB2312" w:eastAsia="仿宋_GB2312" w:cs="仿宋_GB2312"/>
          <w:sz w:val="32"/>
          <w:szCs w:val="32"/>
        </w:rPr>
        <w:t>市政府多次将“保持淘宝村镇全国领先地位”写入政府工作报告，</w:t>
      </w:r>
      <w:r>
        <w:rPr>
          <w:rFonts w:hint="eastAsia" w:ascii="仿宋_GB2312" w:hAnsi="仿宋_GB2312" w:eastAsia="仿宋_GB2312" w:cs="仿宋_GB2312"/>
          <w:sz w:val="32"/>
          <w:szCs w:val="32"/>
          <w:lang w:val="en-US" w:eastAsia="zh-CN"/>
        </w:rPr>
        <w:t>菏泽</w:t>
      </w:r>
      <w:r>
        <w:rPr>
          <w:rFonts w:hint="eastAsia" w:ascii="仿宋_GB2312" w:hAnsi="仿宋_GB2312" w:eastAsia="仿宋_GB2312" w:cs="仿宋_GB2312"/>
          <w:sz w:val="32"/>
          <w:szCs w:val="32"/>
        </w:rPr>
        <w:t>市委市政府主要领导亲自把脉农村电商发展。市商务局将淘宝村镇培育作为全市电商发展的重中之重，充分挖掘农村电商内生动力。加大电商村镇培育力度，推进淘宝村镇提质扩面，2022年菏泽市淘宝村镇数量双双位居全国地级市首位，分别占全省数量的62.47%、46.73%。探索构建“菏泽优品”电商区域公共品牌，涌现出“曹献优品”“e品好郓”“沃，东明”“单养千秋”等一批县域电商公共品牌，被授权使用企业达到163家，有效推动农特产企业品牌化、标准化发展。</w:t>
      </w:r>
    </w:p>
    <w:p>
      <w:pPr>
        <w:keepNext w:val="0"/>
        <w:keepLines w:val="0"/>
        <w:pageBreakBefore w:val="0"/>
        <w:widowControl w:val="0"/>
        <w:kinsoku/>
        <w:wordWrap/>
        <w:overflowPunct/>
        <w:topLinePunct w:val="0"/>
        <w:autoSpaceDE/>
        <w:autoSpaceDN/>
        <w:bidi w:val="0"/>
        <w:adjustRightInd w:val="0"/>
        <w:snapToGrid/>
        <w:spacing w:line="560" w:lineRule="exact"/>
        <w:ind w:firstLine="643" w:firstLineChars="200"/>
        <w:textAlignment w:val="baseline"/>
        <w:outlineLvl w:val="2"/>
        <w:rPr>
          <w:rFonts w:hint="eastAsia" w:ascii="仿宋_GB2312" w:hAnsi="仿宋_GB2312" w:eastAsia="仿宋_GB2312" w:cs="仿宋_GB2312"/>
          <w:b/>
          <w:bCs/>
          <w:sz w:val="32"/>
          <w:szCs w:val="32"/>
        </w:rPr>
      </w:pPr>
      <w:bookmarkStart w:id="30" w:name="_Toc28308"/>
      <w:bookmarkStart w:id="31" w:name="_Toc971"/>
      <w:bookmarkStart w:id="32" w:name="_Toc19692"/>
      <w:bookmarkStart w:id="33" w:name="_Toc32052"/>
      <w:bookmarkStart w:id="34" w:name="_Toc6506"/>
      <w:bookmarkStart w:id="35" w:name="_Toc7508"/>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“输血”“造血”双向发力，凝合推动招才引智育人</w:t>
      </w:r>
      <w:bookmarkEnd w:id="30"/>
      <w:bookmarkEnd w:id="31"/>
      <w:bookmarkEnd w:id="32"/>
      <w:bookmarkEnd w:id="33"/>
      <w:bookmarkEnd w:id="34"/>
      <w:bookmarkEnd w:id="35"/>
    </w:p>
    <w:p>
      <w:pPr>
        <w:keepNext w:val="0"/>
        <w:keepLines w:val="0"/>
        <w:pageBreakBefore w:val="0"/>
        <w:widowControl w:val="0"/>
        <w:kinsoku/>
        <w:wordWrap/>
        <w:overflowPunct/>
        <w:topLinePunct w:val="0"/>
        <w:autoSpaceDE/>
        <w:autoSpaceDN/>
        <w:bidi w:val="0"/>
        <w:snapToGrid/>
        <w:spacing w:line="560" w:lineRule="exact"/>
        <w:ind w:firstLine="640" w:firstLineChars="200"/>
        <w:textAlignment w:val="center"/>
        <w:rPr>
          <w:rFonts w:hint="eastAsia" w:ascii="仿宋_GB2312" w:hAnsi="仿宋_GB2312" w:eastAsia="仿宋_GB2312" w:cs="仿宋_GB2312"/>
        </w:rPr>
      </w:pPr>
      <w:r>
        <w:rPr>
          <w:rFonts w:hint="eastAsia" w:ascii="仿宋_GB2312" w:hAnsi="仿宋_GB2312" w:eastAsia="仿宋_GB2312" w:cs="仿宋_GB2312"/>
          <w:sz w:val="32"/>
          <w:szCs w:val="32"/>
          <w:lang w:val="en-US" w:eastAsia="zh-CN"/>
        </w:rPr>
        <w:t>市商务局</w:t>
      </w:r>
      <w:r>
        <w:rPr>
          <w:rFonts w:hint="eastAsia" w:ascii="仿宋_GB2312" w:hAnsi="仿宋_GB2312" w:eastAsia="仿宋_GB2312" w:cs="仿宋_GB2312"/>
          <w:sz w:val="32"/>
          <w:szCs w:val="32"/>
        </w:rPr>
        <w:t>先后邀请阿里研究院高级专家左臣明博士、山东省电子商务协会会长于家欣、秘书长于登杰等专家学</w:t>
      </w:r>
      <w:r>
        <w:rPr>
          <w:rFonts w:hint="eastAsia" w:ascii="仿宋_GB2312" w:hAnsi="仿宋_GB2312" w:eastAsia="仿宋_GB2312" w:cs="仿宋_GB2312"/>
          <w:sz w:val="32"/>
          <w:szCs w:val="32"/>
          <w:lang w:val="en-US" w:eastAsia="zh-CN"/>
        </w:rPr>
        <w:t>者</w:t>
      </w:r>
      <w:r>
        <w:rPr>
          <w:rFonts w:hint="eastAsia" w:ascii="仿宋_GB2312" w:hAnsi="仿宋_GB2312" w:eastAsia="仿宋_GB2312" w:cs="仿宋_GB2312"/>
          <w:sz w:val="32"/>
          <w:szCs w:val="32"/>
        </w:rPr>
        <w:t>来菏对接合作，并积极组织线上线下电商培训活动，截止</w:t>
      </w:r>
      <w:r>
        <w:rPr>
          <w:rFonts w:hint="eastAsia" w:ascii="仿宋_GB2312" w:hAnsi="仿宋_GB2312" w:eastAsia="仿宋_GB2312" w:cs="仿宋_GB2312"/>
          <w:sz w:val="32"/>
          <w:szCs w:val="32"/>
          <w:lang w:val="en-US" w:eastAsia="zh-CN"/>
        </w:rPr>
        <w:t>2023年</w:t>
      </w:r>
      <w:r>
        <w:rPr>
          <w:rFonts w:hint="eastAsia" w:ascii="仿宋_GB2312" w:hAnsi="仿宋_GB2312" w:eastAsia="仿宋_GB2312" w:cs="仿宋_GB2312"/>
          <w:sz w:val="32"/>
          <w:szCs w:val="32"/>
        </w:rPr>
        <w:t>２月，全市共举办电商培训55期、3350余人次。电商产业的蓬勃发展反向助推了市电商人才培养体系，菏泽职业学院、菏泽技师学院等一大批院校开设了电子商务专业。目前，全市共有网络店铺11.79万家，直接从业人员5.08万人，57万余人通过产业链延伸实现就近就业。</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center"/>
        <w:outlineLvl w:val="2"/>
        <w:rPr>
          <w:rFonts w:hint="eastAsia" w:ascii="仿宋_GB2312" w:hAnsi="仿宋_GB2312" w:eastAsia="仿宋_GB2312" w:cs="仿宋_GB2312"/>
          <w:b/>
          <w:bCs/>
          <w:sz w:val="32"/>
          <w:szCs w:val="32"/>
        </w:rPr>
      </w:pPr>
      <w:bookmarkStart w:id="36" w:name="_Toc25530"/>
      <w:bookmarkStart w:id="37" w:name="_Toc2698"/>
      <w:bookmarkStart w:id="38" w:name="_Toc10969"/>
      <w:bookmarkStart w:id="39" w:name="_Toc25058"/>
      <w:bookmarkStart w:id="40" w:name="_Toc16170"/>
      <w:bookmarkStart w:id="41" w:name="_Toc20806"/>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充分发挥园区集聚作用，推动资源信息对接</w:t>
      </w:r>
      <w:bookmarkEnd w:id="36"/>
      <w:bookmarkEnd w:id="37"/>
      <w:bookmarkEnd w:id="38"/>
      <w:bookmarkEnd w:id="39"/>
      <w:bookmarkEnd w:id="40"/>
      <w:bookmarkEnd w:id="41"/>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菏泽市</w:t>
      </w:r>
      <w:r>
        <w:rPr>
          <w:rFonts w:hint="eastAsia" w:ascii="仿宋_GB2312" w:hAnsi="仿宋_GB2312" w:eastAsia="仿宋_GB2312" w:cs="仿宋_GB2312"/>
          <w:sz w:val="32"/>
          <w:szCs w:val="32"/>
        </w:rPr>
        <w:t>提升天华电商产业园、中软创客电商产业园等19家高品质、多业态电商园区，极大提高了公共服务水平。完善快递物流体系，积极推进“快递下乡”，推动中通、申通等12家快递公司在我市设立县级运营中心。大力推广“互联网+金融”，蚂蚁金服（曹县中心）累计放款177.95亿元，居全省首位。成立中共菏泽市直播电商行业委员会，推进直播电商行业“党建赋能”，天华电商产业园被评定为“省级两新组织党建工作示范点”。通过不断优化电商营商环境，菏泽唐装、菏泽棺材入选“淘宝2022全国产业带百强榜”，菏泽表演服饰、汉服占全国电商产业70%、30%，木制品销量占阿里国际站40%。</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center"/>
        <w:outlineLvl w:val="2"/>
        <w:rPr>
          <w:rFonts w:hint="eastAsia" w:ascii="仿宋_GB2312" w:hAnsi="仿宋_GB2312" w:eastAsia="仿宋_GB2312" w:cs="仿宋_GB2312"/>
          <w:b/>
          <w:bCs/>
          <w:sz w:val="32"/>
          <w:szCs w:val="32"/>
          <w:lang w:val="en-US"/>
        </w:rPr>
      </w:pPr>
      <w:bookmarkStart w:id="42" w:name="_Toc11714"/>
      <w:bookmarkStart w:id="43" w:name="_Toc16143"/>
      <w:bookmarkStart w:id="44" w:name="_Toc9884"/>
      <w:bookmarkStart w:id="45" w:name="_Toc2134"/>
      <w:bookmarkStart w:id="46" w:name="_Toc22614"/>
      <w:bookmarkStart w:id="47" w:name="_Toc7238"/>
      <w:r>
        <w:rPr>
          <w:rFonts w:hint="eastAsia" w:ascii="仿宋_GB2312" w:hAnsi="仿宋_GB2312" w:eastAsia="仿宋_GB2312" w:cs="仿宋_GB2312"/>
          <w:b/>
          <w:bCs/>
          <w:sz w:val="32"/>
          <w:szCs w:val="32"/>
          <w:lang w:val="en-US" w:eastAsia="zh-CN"/>
        </w:rPr>
        <w:t>4.大力发展直播电商发展，推动直播带货</w:t>
      </w:r>
      <w:bookmarkEnd w:id="42"/>
      <w:bookmarkEnd w:id="43"/>
      <w:bookmarkEnd w:id="44"/>
      <w:bookmarkEnd w:id="45"/>
      <w:bookmarkEnd w:id="46"/>
      <w:bookmarkEnd w:id="47"/>
    </w:p>
    <w:p>
      <w:pPr>
        <w:keepNext w:val="0"/>
        <w:keepLines w:val="0"/>
        <w:pageBreakBefore w:val="0"/>
        <w:widowControl w:val="0"/>
        <w:kinsoku/>
        <w:wordWrap/>
        <w:overflowPunct/>
        <w:topLinePunct w:val="0"/>
        <w:autoSpaceDE/>
        <w:autoSpaceDN/>
        <w:bidi w:val="0"/>
        <w:snapToGrid/>
        <w:spacing w:line="560" w:lineRule="exact"/>
        <w:ind w:firstLine="640" w:firstLineChars="200"/>
        <w:rPr>
          <w:rFonts w:hint="eastAsia" w:ascii="仿宋_GB2312" w:hAnsi="仿宋_GB2312" w:eastAsia="仿宋_GB2312" w:cs="仿宋_GB2312"/>
          <w:lang w:val="en-US" w:eastAsia="zh-CN"/>
        </w:rPr>
      </w:pPr>
      <w:r>
        <w:rPr>
          <w:rFonts w:hint="eastAsia" w:ascii="仿宋_GB2312" w:hAnsi="仿宋_GB2312" w:eastAsia="仿宋_GB2312" w:cs="仿宋_GB2312"/>
          <w:sz w:val="32"/>
          <w:szCs w:val="32"/>
          <w:lang w:val="en-US" w:eastAsia="zh-CN"/>
        </w:rPr>
        <w:t>菏泽市</w:t>
      </w:r>
      <w:r>
        <w:rPr>
          <w:rFonts w:hint="eastAsia" w:ascii="仿宋_GB2312" w:hAnsi="仿宋_GB2312" w:eastAsia="仿宋_GB2312" w:cs="仿宋_GB2312"/>
          <w:sz w:val="32"/>
          <w:szCs w:val="32"/>
        </w:rPr>
        <w:t>成功举办“云赏牡丹”“网络消费节”“金秋菏泽优品展”“菏泽优品惠·乐购双十一”“2023菏泽优品网上年货节”等系列活动，市委、市政府主要领导亲自走进直播间，推介菏泽。通过直播活动带动，建立了“菏泽优品”直播产品库、主播人才库，收录菏泽优品600余种，聚拢主播400余人。</w:t>
      </w:r>
      <w:r>
        <w:rPr>
          <w:rFonts w:hint="eastAsia" w:ascii="仿宋_GB2312" w:hAnsi="仿宋_GB2312" w:eastAsia="仿宋_GB2312" w:cs="仿宋_GB2312"/>
          <w:sz w:val="32"/>
          <w:szCs w:val="32"/>
          <w:lang w:val="en-US" w:eastAsia="zh-CN"/>
        </w:rPr>
        <w:t>菏泽市</w:t>
      </w:r>
      <w:r>
        <w:rPr>
          <w:rFonts w:hint="eastAsia" w:ascii="仿宋_GB2312" w:hAnsi="仿宋_GB2312" w:eastAsia="仿宋_GB2312" w:cs="仿宋_GB2312"/>
          <w:sz w:val="32"/>
          <w:szCs w:val="32"/>
        </w:rPr>
        <w:t>积极推广“有爱云仓”直播模式，推动有爱云仓直播基地、中软创客电子商务孵化基地等７家直播基地入选“2022年山东电商直播基地”，龙池牡丹电商供应链基地入选“2022年山东电商直播供应链基地”。2023年以来，全市共开展各类直播活动2.04万场，成功培育“带货”主播566人，带动直播商品销售1.94亿元，全市网络零售额达31.38亿元，同比增长25.8%。</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1"/>
        <w:rPr>
          <w:rFonts w:hint="eastAsia" w:ascii="楷体" w:hAnsi="楷体" w:eastAsia="楷体" w:cs="楷体"/>
          <w:bCs/>
          <w:sz w:val="32"/>
          <w:szCs w:val="32"/>
          <w:lang w:val="en-US" w:eastAsia="zh-CN"/>
        </w:rPr>
      </w:pPr>
      <w:r>
        <w:rPr>
          <w:rFonts w:hint="eastAsia" w:ascii="楷体" w:hAnsi="楷体" w:eastAsia="楷体" w:cs="楷体"/>
          <w:bCs/>
          <w:sz w:val="32"/>
          <w:szCs w:val="32"/>
          <w:lang w:val="en-US" w:eastAsia="zh-CN"/>
        </w:rPr>
        <w:t>（二）存在问题及原因分析</w:t>
      </w:r>
    </w:p>
    <w:p>
      <w:pPr>
        <w:pStyle w:val="2"/>
        <w:keepNext w:val="0"/>
        <w:keepLines w:val="0"/>
        <w:pageBreakBefore w:val="0"/>
        <w:widowControl w:val="0"/>
        <w:kinsoku/>
        <w:wordWrap/>
        <w:overflowPunct/>
        <w:topLinePunct w:val="0"/>
        <w:autoSpaceDE/>
        <w:autoSpaceDN/>
        <w:bidi w:val="0"/>
        <w:snapToGrid/>
        <w:spacing w:before="0" w:after="0" w:afterAutospacing="0" w:line="560" w:lineRule="exact"/>
        <w:ind w:firstLine="643" w:firstLineChars="200"/>
        <w:outlineLvl w:val="2"/>
        <w:rPr>
          <w:rFonts w:hint="eastAsia" w:ascii="仿宋_GB2312" w:hAnsi="仿宋_GB2312" w:eastAsia="仿宋_GB2312" w:cs="仿宋_GB2312"/>
          <w:b/>
          <w:bCs/>
          <w:sz w:val="32"/>
          <w:szCs w:val="32"/>
        </w:rPr>
      </w:pPr>
      <w:bookmarkStart w:id="48" w:name="_Toc25450"/>
      <w:bookmarkStart w:id="49" w:name="_Toc7540"/>
      <w:bookmarkStart w:id="50" w:name="_Toc24157"/>
      <w:bookmarkStart w:id="51" w:name="_Toc17803"/>
      <w:bookmarkStart w:id="52" w:name="_Toc19676"/>
      <w:bookmarkStart w:id="53" w:name="_Toc310"/>
      <w:r>
        <w:rPr>
          <w:rFonts w:hint="eastAsia" w:ascii="仿宋_GB2312" w:hAnsi="仿宋_GB2312" w:eastAsia="仿宋_GB2312" w:cs="仿宋_GB2312"/>
          <w:b/>
          <w:bCs/>
          <w:sz w:val="32"/>
          <w:szCs w:val="32"/>
          <w:lang w:val="en-US" w:eastAsia="zh-CN"/>
        </w:rPr>
        <w:t>1</w:t>
      </w:r>
      <w:bookmarkEnd w:id="48"/>
      <w:bookmarkEnd w:id="49"/>
      <w:bookmarkEnd w:id="50"/>
      <w:bookmarkEnd w:id="51"/>
      <w:bookmarkEnd w:id="52"/>
      <w:bookmarkEnd w:id="53"/>
      <w:r>
        <w:rPr>
          <w:rFonts w:hint="eastAsia" w:ascii="仿宋_GB2312" w:hAnsi="仿宋_GB2312" w:eastAsia="仿宋_GB2312" w:cs="仿宋_GB2312"/>
          <w:b/>
          <w:bCs/>
          <w:sz w:val="32"/>
          <w:szCs w:val="32"/>
          <w:lang w:val="en-US" w:eastAsia="zh-CN"/>
        </w:rPr>
        <w:t>.</w:t>
      </w:r>
      <w:r>
        <w:rPr>
          <w:rFonts w:hint="eastAsia" w:ascii="仿宋_GB2312" w:hAnsi="仿宋_GB2312" w:eastAsia="仿宋_GB2312" w:cs="仿宋_GB2312"/>
          <w:b/>
          <w:bCs/>
          <w:sz w:val="32"/>
          <w:szCs w:val="32"/>
        </w:rPr>
        <w:t>人才培育及奖励机制不够完善，个别条款与现阶段发展衔接性不足</w:t>
      </w:r>
    </w:p>
    <w:p>
      <w:pPr>
        <w:pStyle w:val="2"/>
        <w:keepNext w:val="0"/>
        <w:keepLines w:val="0"/>
        <w:pageBreakBefore w:val="0"/>
        <w:widowControl w:val="0"/>
        <w:kinsoku/>
        <w:wordWrap/>
        <w:overflowPunct/>
        <w:topLinePunct w:val="0"/>
        <w:autoSpaceDE/>
        <w:autoSpaceDN/>
        <w:bidi w:val="0"/>
        <w:snapToGrid/>
        <w:spacing w:before="0" w:after="0" w:afterAutospacing="0"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一是《实施意见》中人才培育及奖励机制不够完善。</w:t>
      </w:r>
      <w:r>
        <w:rPr>
          <w:rFonts w:hint="eastAsia" w:ascii="仿宋_GB2312" w:hAnsi="仿宋_GB2312" w:eastAsia="仿宋_GB2312" w:cs="仿宋_GB2312"/>
          <w:sz w:val="32"/>
          <w:szCs w:val="32"/>
        </w:rPr>
        <w:t>《实施意见》人才奖补标准较低。《实施意见》中第九条关于“支持电商人才招引培育”提出，“对每年培训人数3000人次的菏泽市内电商培训主办单位，按其产生费用的50%进行补贴，最高不超过30万元”，人均最高补贴标准不足100元。通过与培训机构调研了解，该培训补贴标准较低，培训效果难以凸显。另外，《实施意见》中有关电商人才奖励措施缺失。横向对比济南市、滨州市等市，均出台了电商人才引进及培养措施，明确了完善电子商务专业人才培养体系。同时，《山东省人民政府关于促进电子商务高质量发展若干措施的通知》（鲁政字〔2022〕42号）中也明确提出要“加强实用型人才引进培育”。但《实施意见》中未针对电商专业人才招引及培养明确相关实施措施，在电商领域快速发展的背景下，易导致电商行业人才需求供给不足，行业规模难以扩大。</w:t>
      </w:r>
    </w:p>
    <w:p>
      <w:pPr>
        <w:pStyle w:val="2"/>
        <w:keepNext w:val="0"/>
        <w:keepLines w:val="0"/>
        <w:pageBreakBefore w:val="0"/>
        <w:widowControl w:val="0"/>
        <w:kinsoku/>
        <w:wordWrap/>
        <w:overflowPunct/>
        <w:topLinePunct w:val="0"/>
        <w:autoSpaceDE/>
        <w:autoSpaceDN/>
        <w:bidi w:val="0"/>
        <w:snapToGrid/>
        <w:spacing w:before="0" w:after="0" w:afterAutospacing="0"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二是政策奖补方向不全面，未充分对标行业发展要求。</w:t>
      </w:r>
      <w:r>
        <w:rPr>
          <w:rFonts w:hint="eastAsia" w:ascii="仿宋_GB2312" w:hAnsi="仿宋_GB2312" w:eastAsia="仿宋_GB2312" w:cs="仿宋_GB2312"/>
          <w:sz w:val="32"/>
          <w:szCs w:val="32"/>
        </w:rPr>
        <w:t>目前山东省正在推动全省网络消费提质增效，更好发挥电子商务在促消费扩内需等方面的重要作用，网络零售额已成为电商产业高质量发展成果检验的重要数据。《山东省人民政府关于促进电子商务高质量发展若干措施的通知》（鲁政字〔2022〕42号）中提出“实施网络零售倍增行动”、“加快直播电商发展”等支持政策。菏泽市网络零售额2021年、2022年总量均居全省第六位。其中2021年为207.1亿元，2022年为231.2亿元，同比增长11.6%，增速低于全省10.2个百分点，网络零售行业发展仍需提质加速。但《实施意见》中未涉及“推动网络零售额提速增量”及“支持直播电商发展”相关内容。</w:t>
      </w:r>
    </w:p>
    <w:p>
      <w:pPr>
        <w:pStyle w:val="2"/>
        <w:keepNext w:val="0"/>
        <w:keepLines w:val="0"/>
        <w:pageBreakBefore w:val="0"/>
        <w:widowControl w:val="0"/>
        <w:kinsoku/>
        <w:wordWrap/>
        <w:overflowPunct/>
        <w:topLinePunct w:val="0"/>
        <w:autoSpaceDE/>
        <w:autoSpaceDN/>
        <w:bidi w:val="0"/>
        <w:snapToGrid/>
        <w:spacing w:before="0" w:after="0" w:afterAutospacing="0"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三是部分政策奖补方向不完全匹配本市发展现状。</w:t>
      </w:r>
      <w:r>
        <w:rPr>
          <w:rFonts w:hint="eastAsia" w:ascii="仿宋_GB2312" w:hAnsi="仿宋_GB2312" w:eastAsia="仿宋_GB2312" w:cs="仿宋_GB2312"/>
          <w:sz w:val="32"/>
          <w:szCs w:val="32"/>
        </w:rPr>
        <w:t>《实施意见》中提出“对每年新增的‘中国淘宝镇’、‘中国淘宝村’，分别给予20万元、10万元奖励”。但菏泽市作为农业大市，农村电商规模已经达到一定程度，现有“中国淘宝镇”、“中国淘宝村”的存量已经较大，根据阿里研究院公布2022年全国“淘宝村”最终名单，菏泽市以541个淘宝村、93个淘宝镇，双双位居全国地级市首位。淘宝村、淘宝镇数量分别占全省数量的62.47%、46.73%。因此奖励资金对农村电商发展激励性效果有限，下一步应在如何促进已评选上的“中国淘宝镇”、“中国淘宝村”做大最强、提升影响力上“下功夫”。</w:t>
      </w:r>
    </w:p>
    <w:p>
      <w:pPr>
        <w:pStyle w:val="2"/>
        <w:keepNext w:val="0"/>
        <w:keepLines w:val="0"/>
        <w:pageBreakBefore w:val="0"/>
        <w:widowControl w:val="0"/>
        <w:kinsoku/>
        <w:wordWrap/>
        <w:overflowPunct/>
        <w:topLinePunct w:val="0"/>
        <w:autoSpaceDE/>
        <w:autoSpaceDN/>
        <w:bidi w:val="0"/>
        <w:snapToGrid/>
        <w:spacing w:before="0" w:after="0" w:afterAutospacing="0" w:line="56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2.</w:t>
      </w:r>
      <w:r>
        <w:rPr>
          <w:rFonts w:hint="eastAsia" w:ascii="仿宋_GB2312" w:hAnsi="仿宋_GB2312" w:eastAsia="仿宋_GB2312" w:cs="仿宋_GB2312"/>
          <w:b/>
          <w:bCs/>
          <w:sz w:val="32"/>
          <w:szCs w:val="32"/>
        </w:rPr>
        <w:t>《专项资金管理办法》与《实施意见》政策内容不一致，政策内容体系性不足</w:t>
      </w:r>
    </w:p>
    <w:p>
      <w:pPr>
        <w:pStyle w:val="2"/>
        <w:keepNext w:val="0"/>
        <w:keepLines w:val="0"/>
        <w:pageBreakBefore w:val="0"/>
        <w:widowControl w:val="0"/>
        <w:kinsoku/>
        <w:wordWrap/>
        <w:overflowPunct/>
        <w:topLinePunct w:val="0"/>
        <w:autoSpaceDE/>
        <w:autoSpaceDN/>
        <w:bidi w:val="0"/>
        <w:snapToGrid/>
        <w:spacing w:before="0" w:after="0" w:afterAutospacing="0"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一是奖补范围不一致。</w:t>
      </w:r>
      <w:r>
        <w:rPr>
          <w:rFonts w:hint="eastAsia" w:ascii="仿宋_GB2312" w:hAnsi="仿宋_GB2312" w:eastAsia="仿宋_GB2312" w:cs="仿宋_GB2312"/>
          <w:sz w:val="32"/>
          <w:szCs w:val="32"/>
        </w:rPr>
        <w:t>《专项资金管理办法》提出对专题招商活动、农产品上行</w:t>
      </w:r>
      <w:r>
        <w:rPr>
          <w:rStyle w:val="18"/>
          <w:rFonts w:hint="eastAsia" w:ascii="仿宋_GB2312" w:hAnsi="仿宋_GB2312" w:eastAsia="仿宋_GB2312" w:cs="仿宋_GB2312"/>
          <w:sz w:val="32"/>
          <w:szCs w:val="32"/>
        </w:rPr>
        <w:footnoteReference w:id="0"/>
      </w:r>
      <w:r>
        <w:rPr>
          <w:rFonts w:hint="eastAsia" w:ascii="仿宋_GB2312" w:hAnsi="仿宋_GB2312" w:eastAsia="仿宋_GB2312" w:cs="仿宋_GB2312"/>
          <w:sz w:val="32"/>
          <w:szCs w:val="32"/>
        </w:rPr>
        <w:t>、电子商务协会建设均给予适当奖励和补助，但以上内容未在《实施意见》中体现。在实际执行中也已按照《专项资金管理办法》对专题招商活动、取得电子商务示范企业等国家级示范项目称号的企业给予一定奖励资金。《实施意见》提出对菏泽市电商工作先进县区、每年新增的“中国淘宝镇”、“中国淘宝村”、当年获批5A级（4A级）国家、省物流园区企业给予适当奖励，但以上内容同样未在《专项资金管理办法》中体现，同时未对每年新增的“中国淘宝镇”、“中国淘宝村”给予奖励。</w:t>
      </w:r>
    </w:p>
    <w:p>
      <w:pPr>
        <w:pStyle w:val="2"/>
        <w:keepNext w:val="0"/>
        <w:keepLines w:val="0"/>
        <w:pageBreakBefore w:val="0"/>
        <w:widowControl w:val="0"/>
        <w:kinsoku/>
        <w:wordWrap/>
        <w:overflowPunct/>
        <w:topLinePunct w:val="0"/>
        <w:autoSpaceDE/>
        <w:autoSpaceDN/>
        <w:bidi w:val="0"/>
        <w:snapToGrid/>
        <w:spacing w:before="0" w:after="0" w:afterAutospacing="0"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二是奖补条件不一致。</w:t>
      </w:r>
      <w:r>
        <w:rPr>
          <w:rFonts w:hint="eastAsia" w:ascii="仿宋_GB2312" w:hAnsi="仿宋_GB2312" w:eastAsia="仿宋_GB2312" w:cs="仿宋_GB2312"/>
          <w:sz w:val="32"/>
          <w:szCs w:val="32"/>
        </w:rPr>
        <w:t>例如，针对跨境电商平台建设，《实施意见》中奖补内容为“对电商平台租用的海外仓费用给予适当补助”，而《专项资金管理办法》中奖补内容为“对电商公共平台的设备购置、系统开发、运营等费用给予适当补助”；针对“互联网+品牌”企业，《实施意见》中奖补内容为“对当年新获批企业给予50万元奖励”，而《专项资金管理办法》中奖补内容为“对采购、生产、销售全流程“互联网+品牌”企业，给予平台建设、网络建设、设备购置、系统开发、运营等费用适当补助”。以上奖补内容均不匹配。</w:t>
      </w:r>
    </w:p>
    <w:p>
      <w:pPr>
        <w:pStyle w:val="2"/>
        <w:keepNext w:val="0"/>
        <w:keepLines w:val="0"/>
        <w:pageBreakBefore w:val="0"/>
        <w:widowControl w:val="0"/>
        <w:kinsoku/>
        <w:wordWrap/>
        <w:overflowPunct/>
        <w:topLinePunct w:val="0"/>
        <w:autoSpaceDE/>
        <w:autoSpaceDN/>
        <w:bidi w:val="0"/>
        <w:snapToGrid/>
        <w:spacing w:before="0" w:after="0" w:afterAutospacing="0" w:line="56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rPr>
        <w:t>资金实际发放与政策设定奖补标准不匹配，政策执行严谨性不足</w:t>
      </w:r>
    </w:p>
    <w:p>
      <w:pPr>
        <w:pStyle w:val="2"/>
        <w:keepNext w:val="0"/>
        <w:keepLines w:val="0"/>
        <w:pageBreakBefore w:val="0"/>
        <w:widowControl w:val="0"/>
        <w:kinsoku/>
        <w:wordWrap/>
        <w:overflowPunct/>
        <w:topLinePunct w:val="0"/>
        <w:autoSpaceDE/>
        <w:autoSpaceDN/>
        <w:bidi w:val="0"/>
        <w:snapToGrid/>
        <w:spacing w:before="0" w:after="0" w:afterAutospacing="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个别政策实际执行与政策内容不相符，政策执行严谨性不足。例如，《实施意见》中第一条“促进县域电商集聚发展”提出“对综合评定后的前三名区县授予“菏泽市电商工作先进区县”称号，分别给予100万元、80万元、60万元奖励”。但在通过核查奖补发放明细，各县区均给予上述奖励且每个县区奖励资金不足10万元，其中2022年各县区合计奖励80万元，奖补实际发放情况与政策不匹配。主要原因是各区县奖励标准未按照文件中“县区电商服务站点覆盖率、电商村镇覆盖率和天猫优品、京东便利店、苏宁小店等新型商业网点落地数量进行综合评定”要求进行评定，而是按照各区县网络零售额及增速数据，邀请专家进行综合评定、分配资金，政策设定内容与实际执行脱钩。</w:t>
      </w:r>
    </w:p>
    <w:p>
      <w:pPr>
        <w:pStyle w:val="2"/>
        <w:keepNext w:val="0"/>
        <w:keepLines w:val="0"/>
        <w:pageBreakBefore w:val="0"/>
        <w:widowControl w:val="0"/>
        <w:kinsoku/>
        <w:wordWrap/>
        <w:overflowPunct/>
        <w:topLinePunct w:val="0"/>
        <w:autoSpaceDE/>
        <w:autoSpaceDN/>
        <w:bidi w:val="0"/>
        <w:snapToGrid/>
        <w:spacing w:before="0" w:after="0" w:afterAutospacing="0" w:line="56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rPr>
        <w:t>奖补标准未明确最高限额，预算控制性不足</w:t>
      </w:r>
    </w:p>
    <w:p>
      <w:pPr>
        <w:pStyle w:val="2"/>
        <w:keepNext w:val="0"/>
        <w:keepLines w:val="0"/>
        <w:pageBreakBefore w:val="0"/>
        <w:widowControl w:val="0"/>
        <w:kinsoku/>
        <w:wordWrap/>
        <w:overflowPunct/>
        <w:topLinePunct w:val="0"/>
        <w:autoSpaceDE/>
        <w:autoSpaceDN/>
        <w:bidi w:val="0"/>
        <w:snapToGrid/>
        <w:spacing w:before="0" w:after="0" w:afterAutospacing="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专项资金管理办法》中虽然明确专项资金使用方向及支持方式，但未设定奖补额度上限。例如政策中列明“对市、县两级电子商务招商引资、招才引智专题招商活动给予适当奖励”，但并未对奖励最高限额设定标准，奖励无上限。从该政策实际操作层面看，2022年市商务局本级双招双引活动补贴100万元，其余各区县均为12万元。区县双招双引活动经费实行平均分配的方式，，有“雨露均沾”“撒芝麻盐”的之嫌，未考虑各区县活动开展量和工作成效，不利于电子商务发展专项资金预算控制及成本管控。</w:t>
      </w:r>
    </w:p>
    <w:p>
      <w:pPr>
        <w:pStyle w:val="2"/>
        <w:keepNext w:val="0"/>
        <w:keepLines w:val="0"/>
        <w:pageBreakBefore w:val="0"/>
        <w:widowControl w:val="0"/>
        <w:kinsoku/>
        <w:wordWrap/>
        <w:overflowPunct/>
        <w:topLinePunct w:val="0"/>
        <w:autoSpaceDE/>
        <w:autoSpaceDN/>
        <w:bidi w:val="0"/>
        <w:snapToGrid/>
        <w:spacing w:before="0" w:after="0" w:afterAutospacing="0" w:line="56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5.</w:t>
      </w:r>
      <w:r>
        <w:rPr>
          <w:rFonts w:hint="eastAsia" w:ascii="仿宋_GB2312" w:hAnsi="仿宋_GB2312" w:eastAsia="仿宋_GB2312" w:cs="仿宋_GB2312"/>
          <w:b/>
          <w:bCs/>
          <w:sz w:val="32"/>
          <w:szCs w:val="32"/>
        </w:rPr>
        <w:t>政策制定门槛较高，企业达标性不足</w:t>
      </w:r>
    </w:p>
    <w:p>
      <w:pPr>
        <w:pStyle w:val="2"/>
        <w:keepNext w:val="0"/>
        <w:keepLines w:val="0"/>
        <w:pageBreakBefore w:val="0"/>
        <w:widowControl w:val="0"/>
        <w:kinsoku/>
        <w:wordWrap/>
        <w:overflowPunct/>
        <w:topLinePunct w:val="0"/>
        <w:autoSpaceDE/>
        <w:autoSpaceDN/>
        <w:bidi w:val="0"/>
        <w:snapToGrid/>
        <w:spacing w:before="0" w:after="0" w:afterAutospacing="0"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实施意见》中部分政策奖励设定门槛较高，本市无符合申报条件企业。自2019年《实施意见》执行以来，至今已有3年的实施时间，但电商平台建设奖励、“互联网+品牌”企业获批奖励以及国家、省物流园区企业获批奖励项目，至今无企业达标申请，也难以吸引相关企业落地菏泽市。一方面说明该项政策内容申报条件较高，企业短时间内难以达到标准要求。另一方面说明政策制定前，相关责任单位未对当地实际发展情况、有意向引进企业等进行深入调研，导致政策难以落地。</w:t>
      </w:r>
    </w:p>
    <w:p>
      <w:pPr>
        <w:pStyle w:val="2"/>
        <w:keepNext w:val="0"/>
        <w:keepLines w:val="0"/>
        <w:pageBreakBefore w:val="0"/>
        <w:widowControl w:val="0"/>
        <w:kinsoku/>
        <w:wordWrap/>
        <w:overflowPunct/>
        <w:topLinePunct w:val="0"/>
        <w:autoSpaceDE/>
        <w:autoSpaceDN/>
        <w:bidi w:val="0"/>
        <w:snapToGrid/>
        <w:spacing w:before="0" w:after="0" w:afterAutospacing="0" w:line="560" w:lineRule="exact"/>
        <w:ind w:firstLine="643" w:firstLineChars="200"/>
        <w:outlineLvl w:val="2"/>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val="en-US" w:eastAsia="zh-CN"/>
        </w:rPr>
        <w:t>6.</w:t>
      </w:r>
      <w:r>
        <w:rPr>
          <w:rFonts w:hint="eastAsia" w:ascii="仿宋_GB2312" w:hAnsi="仿宋_GB2312" w:eastAsia="仿宋_GB2312" w:cs="仿宋_GB2312"/>
          <w:b/>
          <w:bCs/>
          <w:sz w:val="32"/>
          <w:szCs w:val="32"/>
        </w:rPr>
        <w:t>政策未设置工作目标，政策执行的约束性不足</w:t>
      </w:r>
    </w:p>
    <w:p>
      <w:pPr>
        <w:pStyle w:val="2"/>
        <w:keepNext w:val="0"/>
        <w:keepLines w:val="0"/>
        <w:pageBreakBefore w:val="0"/>
        <w:widowControl w:val="0"/>
        <w:kinsoku/>
        <w:wordWrap/>
        <w:overflowPunct/>
        <w:topLinePunct w:val="0"/>
        <w:autoSpaceDE/>
        <w:autoSpaceDN/>
        <w:bidi w:val="0"/>
        <w:snapToGrid/>
        <w:spacing w:before="0" w:after="0" w:afterAutospacing="0"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实施意见》中未设置工作目标、阶段性发展目标及重点工作任务，无法合理判断政策实施及任务完成情况。政策中仅列明奖励标准及奖励条件，一方面容易导致相关责任单位政策执行积极性不足，政策实施效果不好；另一方面，未设置工作目标会导致绩效目标缺失，从而进一步影响编制部门预算、实施绩效监控、开展绩效评价等工作的开展。</w:t>
      </w:r>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outlineLvl w:val="0"/>
        <w:rPr>
          <w:rFonts w:hint="eastAsia" w:ascii="黑体" w:hAnsi="黑体" w:eastAsia="黑体" w:cs="黑体"/>
          <w:bCs/>
          <w:sz w:val="32"/>
          <w:szCs w:val="32"/>
          <w:lang w:val="en-US" w:eastAsia="zh-CN"/>
        </w:rPr>
      </w:pPr>
      <w:r>
        <w:rPr>
          <w:rFonts w:hint="eastAsia" w:ascii="黑体" w:hAnsi="黑体" w:eastAsia="黑体" w:cs="黑体"/>
          <w:bCs/>
          <w:sz w:val="32"/>
          <w:szCs w:val="32"/>
          <w:lang w:val="en-US" w:eastAsia="zh-CN"/>
        </w:rPr>
        <w:t>五、有关建议</w:t>
      </w:r>
    </w:p>
    <w:p>
      <w:pPr>
        <w:widowControl/>
        <w:adjustRightInd w:val="0"/>
        <w:spacing w:line="560" w:lineRule="exact"/>
        <w:ind w:firstLine="640" w:firstLineChars="200"/>
        <w:jc w:val="left"/>
        <w:textAlignment w:val="baseline"/>
        <w:outlineLvl w:val="1"/>
        <w:rPr>
          <w:rFonts w:hint="default" w:eastAsia="楷体_GB2312"/>
          <w:color w:val="auto"/>
          <w:sz w:val="32"/>
          <w:szCs w:val="32"/>
          <w:lang w:val="en-US" w:eastAsia="zh-CN"/>
        </w:rPr>
      </w:pPr>
      <w:bookmarkStart w:id="54" w:name="_Toc24970"/>
      <w:bookmarkStart w:id="55" w:name="_Toc4309"/>
      <w:bookmarkStart w:id="56" w:name="_Toc6232"/>
      <w:bookmarkStart w:id="57" w:name="_Toc3214"/>
      <w:bookmarkStart w:id="58" w:name="_Toc22446"/>
      <w:bookmarkStart w:id="59" w:name="_Toc27842"/>
      <w:bookmarkStart w:id="60" w:name="_Toc23821"/>
      <w:bookmarkStart w:id="61" w:name="_Toc20563"/>
      <w:bookmarkStart w:id="62" w:name="_Toc29640"/>
      <w:bookmarkStart w:id="63" w:name="_Toc12727"/>
      <w:bookmarkStart w:id="64" w:name="_Toc18373"/>
      <w:bookmarkStart w:id="65" w:name="_Toc26463"/>
      <w:bookmarkStart w:id="66" w:name="_Toc31903"/>
      <w:bookmarkStart w:id="67" w:name="_Toc23615"/>
      <w:bookmarkStart w:id="68" w:name="_Toc22437"/>
      <w:bookmarkStart w:id="69" w:name="_Toc24478"/>
      <w:bookmarkStart w:id="70" w:name="_Toc26684"/>
      <w:bookmarkStart w:id="71" w:name="_Toc11691"/>
      <w:bookmarkStart w:id="72" w:name="_Toc21933"/>
      <w:bookmarkStart w:id="73" w:name="_Toc26544"/>
      <w:r>
        <w:rPr>
          <w:rFonts w:eastAsia="楷体_GB2312"/>
          <w:color w:val="auto"/>
          <w:sz w:val="32"/>
          <w:szCs w:val="32"/>
        </w:rPr>
        <w:t>（</w:t>
      </w:r>
      <w:r>
        <w:rPr>
          <w:rFonts w:hint="eastAsia" w:eastAsia="楷体_GB2312"/>
          <w:color w:val="auto"/>
          <w:sz w:val="32"/>
          <w:szCs w:val="32"/>
          <w:lang w:val="en-US" w:eastAsia="zh-CN"/>
        </w:rPr>
        <w:t>一</w:t>
      </w:r>
      <w:r>
        <w:rPr>
          <w:rFonts w:eastAsia="楷体_GB2312"/>
          <w:color w:val="auto"/>
          <w:sz w:val="32"/>
          <w:szCs w:val="32"/>
        </w:rPr>
        <w:t>）</w:t>
      </w:r>
      <w:bookmarkEnd w:id="54"/>
      <w:bookmarkEnd w:id="55"/>
      <w:bookmarkEnd w:id="56"/>
      <w:r>
        <w:rPr>
          <w:rFonts w:hint="eastAsia" w:eastAsia="楷体_GB2312"/>
          <w:color w:val="auto"/>
          <w:sz w:val="32"/>
          <w:szCs w:val="32"/>
        </w:rPr>
        <w:t>综合优化政策奖补范围</w:t>
      </w:r>
      <w:bookmarkEnd w:id="57"/>
      <w:bookmarkEnd w:id="58"/>
      <w:bookmarkEnd w:id="59"/>
      <w:bookmarkEnd w:id="60"/>
      <w:bookmarkEnd w:id="61"/>
      <w:bookmarkEnd w:id="62"/>
      <w:bookmarkEnd w:id="63"/>
    </w:p>
    <w:p>
      <w:pPr>
        <w:pStyle w:val="2"/>
        <w:spacing w:before="0" w:after="0" w:afterAutospacing="0" w:line="560" w:lineRule="exact"/>
        <w:ind w:firstLine="643" w:firstLineChars="200"/>
        <w:rPr>
          <w:rFonts w:hint="default"/>
          <w:color w:val="auto"/>
          <w:lang w:val="en-US" w:eastAsia="zh-CN"/>
        </w:rPr>
      </w:pPr>
      <w:r>
        <w:rPr>
          <w:rFonts w:hint="eastAsia" w:eastAsia="仿宋_GB2312"/>
          <w:b/>
          <w:bCs/>
          <w:color w:val="auto"/>
          <w:sz w:val="32"/>
          <w:szCs w:val="32"/>
          <w:lang w:val="en-US" w:eastAsia="zh-CN"/>
        </w:rPr>
        <w:t>一是细化人才支持政策。</w:t>
      </w:r>
      <w:r>
        <w:rPr>
          <w:rFonts w:hint="eastAsia" w:eastAsia="仿宋_GB2312"/>
          <w:color w:val="auto"/>
          <w:sz w:val="32"/>
          <w:szCs w:val="32"/>
          <w:lang w:val="en-US" w:eastAsia="zh-CN"/>
        </w:rPr>
        <w:t>第一，支持企业引进高中端电子商务人才，对于每年吸收一定量人才的企业给予一定的奖励，同时纳入全市人才政策范围；第二，支持学校、企业及社会组织合作办学，探索建立实训式电子商务人才培养与培训机制，加大电子商务人才培训力度。一方面可以提高对电商培训单位的补贴标准，细化补贴方向，提高补贴的针对性和有效性。鼓励企业、社会组织、中介机构等开展电子商务应用宣传、行业高峰论坛、主题沙龙、创新大赛等活动，为电子商务加快发展创造良好环境。另一方面，加快电商培训体系建设，鼓励市级单位承担电商人才技能培训及创业培训活动，节省财政支出。</w:t>
      </w:r>
    </w:p>
    <w:p>
      <w:pPr>
        <w:adjustRightInd w:val="0"/>
        <w:spacing w:afterAutospacing="0" w:line="560" w:lineRule="exact"/>
        <w:ind w:firstLine="643" w:firstLineChars="200"/>
        <w:textAlignment w:val="baseline"/>
        <w:outlineLvl w:val="9"/>
        <w:rPr>
          <w:rFonts w:hint="eastAsia" w:ascii="Times New Roman" w:hAnsi="Times New Roman" w:eastAsia="仿宋_GB2312" w:cs="Times New Roman"/>
          <w:color w:val="auto"/>
          <w:sz w:val="32"/>
          <w:szCs w:val="32"/>
          <w:lang w:val="en-US" w:eastAsia="zh-CN"/>
        </w:rPr>
      </w:pPr>
      <w:r>
        <w:rPr>
          <w:rFonts w:hint="eastAsia" w:ascii="仿宋_GB2312" w:hAnsi="仿宋_GB2312" w:eastAsia="仿宋_GB2312" w:cs="仿宋_GB2312"/>
          <w:b/>
          <w:bCs/>
          <w:color w:val="auto"/>
          <w:sz w:val="32"/>
          <w:szCs w:val="32"/>
          <w:lang w:val="en-US" w:eastAsia="zh-CN"/>
        </w:rPr>
        <w:t>二是综合考虑上级政策要求及行业发展需要制定政策。</w:t>
      </w:r>
      <w:r>
        <w:rPr>
          <w:rFonts w:hint="eastAsia" w:ascii="仿宋_GB2312" w:hAnsi="仿宋_GB2312" w:eastAsia="仿宋_GB2312" w:cs="仿宋_GB2312"/>
          <w:color w:val="auto"/>
          <w:sz w:val="32"/>
          <w:szCs w:val="32"/>
          <w:lang w:val="en-US" w:eastAsia="zh-CN"/>
        </w:rPr>
        <w:t>建</w:t>
      </w:r>
      <w:r>
        <w:rPr>
          <w:rFonts w:hint="eastAsia" w:ascii="Times New Roman" w:hAnsi="Times New Roman" w:eastAsia="仿宋_GB2312" w:cs="Times New Roman"/>
          <w:color w:val="auto"/>
          <w:sz w:val="32"/>
          <w:szCs w:val="32"/>
          <w:lang w:val="en-US" w:eastAsia="zh-CN"/>
        </w:rPr>
        <w:t>议市商务局在政策制定时结合《“十四五”电子商务发展规划》任务，对标上级文件要求，充分考虑本市电子商务行业发展需要，对到期政策研究评估，进一步改进创新政策内容。重点针对网络零售额总额增幅设置奖励条款，支持电商龙头企业发展，同时大力培育招引电商中小微企业。此外，在资金分配时要适当聚焦，在电商发展的重点难点热点问题上集中发力。</w:t>
      </w:r>
    </w:p>
    <w:bookmarkEnd w:id="64"/>
    <w:bookmarkEnd w:id="65"/>
    <w:bookmarkEnd w:id="66"/>
    <w:bookmarkEnd w:id="67"/>
    <w:bookmarkEnd w:id="68"/>
    <w:bookmarkEnd w:id="69"/>
    <w:bookmarkEnd w:id="70"/>
    <w:bookmarkEnd w:id="71"/>
    <w:bookmarkEnd w:id="72"/>
    <w:bookmarkEnd w:id="73"/>
    <w:p>
      <w:pPr>
        <w:widowControl/>
        <w:adjustRightInd w:val="0"/>
        <w:spacing w:line="560" w:lineRule="exact"/>
        <w:ind w:firstLine="640" w:firstLineChars="200"/>
        <w:jc w:val="left"/>
        <w:textAlignment w:val="baseline"/>
        <w:outlineLvl w:val="1"/>
        <w:rPr>
          <w:rFonts w:hint="default" w:eastAsia="楷体_GB2312"/>
          <w:color w:val="auto"/>
          <w:sz w:val="32"/>
          <w:szCs w:val="32"/>
          <w:lang w:val="en-US" w:eastAsia="zh-CN"/>
        </w:rPr>
      </w:pPr>
      <w:bookmarkStart w:id="74" w:name="_Toc15721"/>
      <w:bookmarkStart w:id="75" w:name="_Toc18077"/>
      <w:bookmarkStart w:id="76" w:name="_Toc24486"/>
      <w:bookmarkStart w:id="77" w:name="_Toc21295"/>
      <w:bookmarkStart w:id="78" w:name="_Toc21800"/>
      <w:bookmarkStart w:id="79" w:name="_Toc26932"/>
      <w:bookmarkStart w:id="80" w:name="_Toc13914"/>
      <w:bookmarkStart w:id="81" w:name="_Toc9957"/>
      <w:bookmarkStart w:id="82" w:name="_Toc11545"/>
      <w:r>
        <w:rPr>
          <w:rFonts w:eastAsia="楷体_GB2312"/>
          <w:color w:val="auto"/>
          <w:sz w:val="32"/>
          <w:szCs w:val="32"/>
        </w:rPr>
        <w:t>（</w:t>
      </w:r>
      <w:r>
        <w:rPr>
          <w:rFonts w:hint="eastAsia" w:eastAsia="楷体_GB2312"/>
          <w:color w:val="auto"/>
          <w:sz w:val="32"/>
          <w:szCs w:val="32"/>
          <w:lang w:val="en-US" w:eastAsia="zh-CN"/>
        </w:rPr>
        <w:t>二</w:t>
      </w:r>
      <w:r>
        <w:rPr>
          <w:rFonts w:eastAsia="楷体_GB2312"/>
          <w:color w:val="auto"/>
          <w:sz w:val="32"/>
          <w:szCs w:val="32"/>
        </w:rPr>
        <w:t>）</w:t>
      </w:r>
      <w:bookmarkEnd w:id="74"/>
      <w:bookmarkEnd w:id="75"/>
      <w:bookmarkEnd w:id="76"/>
      <w:bookmarkEnd w:id="77"/>
      <w:bookmarkEnd w:id="78"/>
      <w:bookmarkEnd w:id="79"/>
      <w:bookmarkEnd w:id="80"/>
      <w:bookmarkEnd w:id="81"/>
      <w:bookmarkEnd w:id="82"/>
      <w:r>
        <w:rPr>
          <w:rFonts w:hint="eastAsia" w:eastAsia="楷体_GB2312"/>
          <w:color w:val="auto"/>
          <w:sz w:val="32"/>
          <w:szCs w:val="32"/>
          <w:lang w:val="en-US" w:eastAsia="zh-CN"/>
        </w:rPr>
        <w:t>统一实施意见与资金管理办法</w:t>
      </w:r>
    </w:p>
    <w:p>
      <w:pPr>
        <w:keepNext w:val="0"/>
        <w:keepLines w:val="0"/>
        <w:pageBreakBefore w:val="0"/>
        <w:kinsoku/>
        <w:wordWrap/>
        <w:overflowPunct/>
        <w:topLinePunct w:val="0"/>
        <w:autoSpaceDE/>
        <w:autoSpaceDN/>
        <w:bidi w:val="0"/>
        <w:snapToGrid/>
        <w:spacing w:afterAutospacing="0" w:line="560" w:lineRule="exact"/>
        <w:ind w:firstLine="640" w:firstLineChars="200"/>
        <w:textAlignment w:val="center"/>
        <w:rPr>
          <w:rFonts w:hint="eastAsia" w:eastAsia="仿宋_GB2312"/>
          <w:color w:val="auto"/>
          <w:sz w:val="32"/>
          <w:szCs w:val="32"/>
          <w:lang w:val="en-US" w:eastAsia="zh-CN"/>
        </w:rPr>
      </w:pPr>
      <w:r>
        <w:rPr>
          <w:rFonts w:hint="eastAsia" w:eastAsia="仿宋_GB2312"/>
          <w:color w:val="auto"/>
          <w:sz w:val="32"/>
          <w:szCs w:val="32"/>
          <w:lang w:val="en-US" w:eastAsia="zh-CN"/>
        </w:rPr>
        <w:t>实施意见出台以后，具体的资金管理办法应以实施意见为基准，进一步细化政策资金支持方式、方向和标准，明确政策相关奖励补贴申报基本条件及申报程序、资金审批下达方式以及资金评审细则</w:t>
      </w:r>
      <w:r>
        <w:rPr>
          <w:rFonts w:hint="eastAsia" w:eastAsia="仿宋_GB2312"/>
          <w:color w:val="auto"/>
          <w:sz w:val="32"/>
          <w:szCs w:val="32"/>
        </w:rPr>
        <w:t>。</w:t>
      </w:r>
      <w:r>
        <w:rPr>
          <w:rFonts w:hint="eastAsia" w:eastAsia="仿宋_GB2312"/>
          <w:color w:val="auto"/>
          <w:sz w:val="32"/>
          <w:szCs w:val="32"/>
          <w:lang w:val="en-US" w:eastAsia="zh-CN"/>
        </w:rPr>
        <w:t>确保相关政策实施工具进一步推动政策落地实施。</w:t>
      </w:r>
    </w:p>
    <w:p>
      <w:pPr>
        <w:widowControl/>
        <w:adjustRightInd w:val="0"/>
        <w:spacing w:line="560" w:lineRule="exact"/>
        <w:ind w:firstLine="640" w:firstLineChars="200"/>
        <w:jc w:val="left"/>
        <w:textAlignment w:val="baseline"/>
        <w:outlineLvl w:val="1"/>
        <w:rPr>
          <w:rFonts w:hint="default" w:eastAsia="楷体_GB2312"/>
          <w:color w:val="auto"/>
          <w:sz w:val="32"/>
          <w:szCs w:val="32"/>
          <w:lang w:val="en-US" w:eastAsia="zh-CN"/>
        </w:rPr>
      </w:pPr>
      <w:bookmarkStart w:id="83" w:name="_Toc25317"/>
      <w:bookmarkStart w:id="84" w:name="_Toc30098"/>
      <w:bookmarkStart w:id="85" w:name="_Toc32343"/>
      <w:bookmarkStart w:id="86" w:name="_Toc10431"/>
      <w:bookmarkStart w:id="87" w:name="_Toc26654"/>
      <w:bookmarkStart w:id="88" w:name="_Toc19309"/>
      <w:r>
        <w:rPr>
          <w:rFonts w:eastAsia="楷体_GB2312"/>
          <w:color w:val="auto"/>
          <w:sz w:val="32"/>
          <w:szCs w:val="32"/>
        </w:rPr>
        <w:t>（</w:t>
      </w:r>
      <w:r>
        <w:rPr>
          <w:rFonts w:hint="eastAsia" w:eastAsia="楷体_GB2312"/>
          <w:color w:val="auto"/>
          <w:sz w:val="32"/>
          <w:szCs w:val="32"/>
          <w:lang w:val="en-US" w:eastAsia="zh-CN"/>
        </w:rPr>
        <w:t>三</w:t>
      </w:r>
      <w:r>
        <w:rPr>
          <w:rFonts w:eastAsia="楷体_GB2312"/>
          <w:color w:val="auto"/>
          <w:sz w:val="32"/>
          <w:szCs w:val="32"/>
        </w:rPr>
        <w:t>）</w:t>
      </w:r>
      <w:r>
        <w:rPr>
          <w:rFonts w:hint="eastAsia" w:eastAsia="楷体_GB2312"/>
          <w:color w:val="auto"/>
          <w:sz w:val="32"/>
          <w:szCs w:val="32"/>
          <w:lang w:val="en-US" w:eastAsia="zh-CN"/>
        </w:rPr>
        <w:t>健全资金发放监督保障机制</w:t>
      </w:r>
      <w:bookmarkEnd w:id="83"/>
      <w:bookmarkEnd w:id="84"/>
      <w:bookmarkEnd w:id="85"/>
      <w:bookmarkEnd w:id="86"/>
      <w:bookmarkEnd w:id="87"/>
      <w:bookmarkEnd w:id="88"/>
    </w:p>
    <w:p>
      <w:pPr>
        <w:spacing w:line="560" w:lineRule="exact"/>
        <w:ind w:firstLine="640" w:firstLineChars="200"/>
        <w:rPr>
          <w:rFonts w:hint="default"/>
          <w:color w:val="auto"/>
          <w:lang w:val="en-US" w:eastAsia="zh-CN"/>
        </w:rPr>
      </w:pPr>
      <w:r>
        <w:rPr>
          <w:rFonts w:hint="eastAsia" w:eastAsia="仿宋_GB2312"/>
          <w:color w:val="auto"/>
          <w:sz w:val="32"/>
          <w:szCs w:val="32"/>
          <w:lang w:val="en-US" w:eastAsia="zh-CN"/>
        </w:rPr>
        <w:t>相关责任单位在政策制定时应综合考虑电子商务发展专项资金倾斜方向，奖补标准设置应预估奖补条件符合单位数量及政府财政承担能力，合理设置奖补标准，保障后续奖补政策能够持续推进。</w:t>
      </w:r>
    </w:p>
    <w:p>
      <w:pPr>
        <w:keepNext w:val="0"/>
        <w:keepLines w:val="0"/>
        <w:pageBreakBefore w:val="0"/>
        <w:widowControl/>
        <w:kinsoku/>
        <w:wordWrap/>
        <w:overflowPunct/>
        <w:topLinePunct w:val="0"/>
        <w:autoSpaceDE/>
        <w:autoSpaceDN/>
        <w:bidi w:val="0"/>
        <w:adjustRightInd w:val="0"/>
        <w:snapToGrid/>
        <w:spacing w:afterAutospacing="0" w:line="560" w:lineRule="exact"/>
        <w:ind w:firstLine="640" w:firstLineChars="200"/>
        <w:jc w:val="left"/>
        <w:textAlignment w:val="baseline"/>
        <w:outlineLvl w:val="1"/>
        <w:rPr>
          <w:rFonts w:hint="default" w:eastAsia="楷体_GB2312"/>
          <w:color w:val="auto"/>
          <w:sz w:val="32"/>
          <w:szCs w:val="32"/>
          <w:lang w:val="en-US" w:eastAsia="zh-CN"/>
        </w:rPr>
      </w:pPr>
      <w:bookmarkStart w:id="89" w:name="_Toc3158"/>
      <w:bookmarkStart w:id="90" w:name="_Toc30860"/>
      <w:bookmarkStart w:id="91" w:name="_Toc25780"/>
      <w:bookmarkStart w:id="92" w:name="_Toc18183"/>
      <w:bookmarkStart w:id="93" w:name="_Toc12172"/>
      <w:bookmarkStart w:id="94" w:name="_Toc5724"/>
      <w:r>
        <w:rPr>
          <w:rFonts w:eastAsia="楷体_GB2312"/>
          <w:color w:val="auto"/>
          <w:sz w:val="32"/>
          <w:szCs w:val="32"/>
        </w:rPr>
        <w:t>（</w:t>
      </w:r>
      <w:r>
        <w:rPr>
          <w:rFonts w:hint="eastAsia" w:eastAsia="楷体_GB2312"/>
          <w:color w:val="auto"/>
          <w:sz w:val="32"/>
          <w:szCs w:val="32"/>
          <w:lang w:val="en-US" w:eastAsia="zh-CN"/>
        </w:rPr>
        <w:t>四</w:t>
      </w:r>
      <w:r>
        <w:rPr>
          <w:rFonts w:eastAsia="楷体_GB2312"/>
          <w:color w:val="auto"/>
          <w:sz w:val="32"/>
          <w:szCs w:val="32"/>
        </w:rPr>
        <w:t>）</w:t>
      </w:r>
      <w:r>
        <w:rPr>
          <w:rFonts w:hint="eastAsia" w:eastAsia="楷体_GB2312"/>
          <w:color w:val="auto"/>
          <w:sz w:val="32"/>
          <w:szCs w:val="32"/>
          <w:lang w:val="en-US" w:eastAsia="zh-CN"/>
        </w:rPr>
        <w:t>设置奖补标准限额，加强专项资金成本控制</w:t>
      </w:r>
      <w:bookmarkEnd w:id="89"/>
      <w:bookmarkEnd w:id="90"/>
      <w:bookmarkEnd w:id="91"/>
      <w:bookmarkEnd w:id="92"/>
      <w:bookmarkEnd w:id="93"/>
      <w:bookmarkEnd w:id="94"/>
    </w:p>
    <w:p>
      <w:pPr>
        <w:keepNext w:val="0"/>
        <w:keepLines w:val="0"/>
        <w:pageBreakBefore w:val="0"/>
        <w:widowControl w:val="0"/>
        <w:kinsoku/>
        <w:wordWrap/>
        <w:overflowPunct/>
        <w:topLinePunct w:val="0"/>
        <w:autoSpaceDE/>
        <w:autoSpaceDN/>
        <w:bidi w:val="0"/>
        <w:snapToGrid/>
        <w:spacing w:before="0" w:after="0" w:afterAutospacing="0" w:line="560" w:lineRule="exact"/>
        <w:ind w:firstLine="643" w:firstLineChars="200"/>
        <w:jc w:val="both"/>
        <w:rPr>
          <w:rFonts w:hint="default" w:eastAsia="仿宋_GB2312"/>
          <w:color w:val="auto"/>
          <w:sz w:val="32"/>
          <w:szCs w:val="32"/>
          <w:lang w:val="en-US" w:eastAsia="zh-CN"/>
        </w:rPr>
      </w:pPr>
      <w:r>
        <w:rPr>
          <w:rFonts w:hint="eastAsia" w:ascii="Arial" w:hAnsi="Arial" w:eastAsia="仿宋_GB2312" w:cs="Arial"/>
          <w:b/>
          <w:bCs/>
          <w:color w:val="auto"/>
          <w:kern w:val="2"/>
          <w:sz w:val="32"/>
          <w:szCs w:val="32"/>
          <w:lang w:val="en-US" w:eastAsia="zh-CN" w:bidi="ar-SA"/>
        </w:rPr>
        <w:t>一是</w:t>
      </w:r>
      <w:r>
        <w:rPr>
          <w:rFonts w:hint="eastAsia" w:ascii="Arial" w:hAnsi="Arial" w:eastAsia="仿宋_GB2312" w:cs="Arial"/>
          <w:color w:val="auto"/>
          <w:kern w:val="2"/>
          <w:sz w:val="32"/>
          <w:szCs w:val="32"/>
          <w:lang w:val="en-US" w:eastAsia="zh-CN" w:bidi="ar-SA"/>
        </w:rPr>
        <w:t>进一步优化预算资金安排，相关责任单位需充分评估各项奖补项目资金需求，完善专项资金管理办法，明确各项奖励补助最高标准，避免资金使用不精细的问题。</w:t>
      </w:r>
      <w:r>
        <w:rPr>
          <w:rFonts w:hint="eastAsia" w:ascii="Arial" w:hAnsi="Arial" w:eastAsia="仿宋_GB2312" w:cs="Arial"/>
          <w:b/>
          <w:bCs/>
          <w:color w:val="auto"/>
          <w:kern w:val="2"/>
          <w:sz w:val="32"/>
          <w:szCs w:val="32"/>
          <w:lang w:val="en-US" w:eastAsia="zh-CN" w:bidi="ar-SA"/>
        </w:rPr>
        <w:t>二是</w:t>
      </w:r>
      <w:r>
        <w:rPr>
          <w:rFonts w:hint="eastAsia" w:ascii="Arial" w:hAnsi="Arial" w:eastAsia="仿宋_GB2312" w:cs="Arial"/>
          <w:color w:val="auto"/>
          <w:kern w:val="2"/>
          <w:sz w:val="32"/>
          <w:szCs w:val="32"/>
          <w:lang w:val="en-US" w:eastAsia="zh-CN" w:bidi="ar-SA"/>
        </w:rPr>
        <w:t>合理制定奖补最高标准。标准制定一方面可以参考发展水平类似地区奖补标准，另一方面也要考虑本地行业发展现状，在奖补标准具有激励性作用的前提下，合理制定奖补最高标准</w:t>
      </w:r>
      <w:r>
        <w:rPr>
          <w:rFonts w:hint="eastAsia" w:eastAsia="仿宋_GB2312"/>
          <w:color w:val="auto"/>
          <w:sz w:val="32"/>
          <w:szCs w:val="32"/>
          <w:lang w:val="en-US" w:eastAsia="zh-CN"/>
        </w:rPr>
        <w:t>。</w:t>
      </w:r>
    </w:p>
    <w:p>
      <w:pPr>
        <w:keepNext w:val="0"/>
        <w:keepLines w:val="0"/>
        <w:pageBreakBefore w:val="0"/>
        <w:widowControl/>
        <w:kinsoku/>
        <w:wordWrap/>
        <w:overflowPunct/>
        <w:topLinePunct w:val="0"/>
        <w:autoSpaceDE/>
        <w:autoSpaceDN/>
        <w:bidi w:val="0"/>
        <w:adjustRightInd w:val="0"/>
        <w:snapToGrid/>
        <w:spacing w:afterAutospacing="0" w:line="560" w:lineRule="exact"/>
        <w:ind w:firstLine="640" w:firstLineChars="200"/>
        <w:jc w:val="left"/>
        <w:textAlignment w:val="baseline"/>
        <w:outlineLvl w:val="1"/>
        <w:rPr>
          <w:rFonts w:hint="default" w:eastAsia="楷体_GB2312"/>
          <w:color w:val="auto"/>
          <w:sz w:val="32"/>
          <w:szCs w:val="32"/>
          <w:lang w:val="en-US" w:eastAsia="zh-CN"/>
        </w:rPr>
      </w:pPr>
      <w:bookmarkStart w:id="95" w:name="_Toc21084"/>
      <w:bookmarkStart w:id="96" w:name="_Toc32755"/>
      <w:bookmarkStart w:id="97" w:name="_Toc13752"/>
      <w:bookmarkStart w:id="98" w:name="_Toc30845"/>
      <w:bookmarkStart w:id="99" w:name="_Toc2912"/>
      <w:bookmarkStart w:id="100" w:name="_Toc12677"/>
      <w:r>
        <w:rPr>
          <w:rFonts w:eastAsia="楷体_GB2312"/>
          <w:color w:val="auto"/>
          <w:sz w:val="32"/>
          <w:szCs w:val="32"/>
        </w:rPr>
        <w:t>（</w:t>
      </w:r>
      <w:r>
        <w:rPr>
          <w:rFonts w:hint="eastAsia" w:eastAsia="楷体_GB2312"/>
          <w:color w:val="auto"/>
          <w:sz w:val="32"/>
          <w:szCs w:val="32"/>
          <w:lang w:val="en-US" w:eastAsia="zh-CN"/>
        </w:rPr>
        <w:t>五</w:t>
      </w:r>
      <w:r>
        <w:rPr>
          <w:rFonts w:eastAsia="楷体_GB2312"/>
          <w:color w:val="auto"/>
          <w:sz w:val="32"/>
          <w:szCs w:val="32"/>
        </w:rPr>
        <w:t>）</w:t>
      </w:r>
      <w:r>
        <w:rPr>
          <w:rFonts w:hint="eastAsia" w:eastAsia="楷体_GB2312"/>
          <w:color w:val="auto"/>
          <w:sz w:val="32"/>
          <w:szCs w:val="32"/>
          <w:lang w:val="en-US" w:eastAsia="zh-CN"/>
        </w:rPr>
        <w:t>降低部分奖补门槛，推动政策落地</w:t>
      </w:r>
      <w:bookmarkEnd w:id="95"/>
      <w:bookmarkEnd w:id="96"/>
      <w:bookmarkEnd w:id="97"/>
      <w:bookmarkEnd w:id="98"/>
      <w:bookmarkEnd w:id="99"/>
      <w:bookmarkEnd w:id="100"/>
    </w:p>
    <w:p>
      <w:pPr>
        <w:keepNext w:val="0"/>
        <w:keepLines w:val="0"/>
        <w:pageBreakBefore w:val="0"/>
        <w:kinsoku/>
        <w:wordWrap/>
        <w:overflowPunct/>
        <w:topLinePunct w:val="0"/>
        <w:autoSpaceDE/>
        <w:autoSpaceDN/>
        <w:bidi w:val="0"/>
        <w:snapToGrid/>
        <w:spacing w:afterAutospacing="0" w:line="560" w:lineRule="exact"/>
        <w:ind w:firstLine="643" w:firstLineChars="200"/>
        <w:rPr>
          <w:rFonts w:hint="eastAsia" w:eastAsia="仿宋_GB2312"/>
          <w:color w:val="auto"/>
          <w:sz w:val="32"/>
          <w:szCs w:val="32"/>
          <w:lang w:val="en-US" w:eastAsia="zh-CN"/>
        </w:rPr>
      </w:pPr>
      <w:r>
        <w:rPr>
          <w:rFonts w:hint="eastAsia" w:eastAsia="仿宋_GB2312"/>
          <w:b/>
          <w:bCs/>
          <w:color w:val="auto"/>
          <w:sz w:val="32"/>
          <w:szCs w:val="32"/>
          <w:lang w:val="en-US" w:eastAsia="zh-CN"/>
        </w:rPr>
        <w:t>一是优化政策，降低电商平台建设奖励标准。</w:t>
      </w:r>
      <w:r>
        <w:rPr>
          <w:rFonts w:hint="eastAsia" w:eastAsia="仿宋_GB2312"/>
          <w:color w:val="auto"/>
          <w:sz w:val="32"/>
          <w:szCs w:val="32"/>
          <w:lang w:val="en-US" w:eastAsia="zh-CN"/>
        </w:rPr>
        <w:t>相关责任单位应对本地电子商务发展现状、各区县电商行业发展差异进行充分调研，制定合理奖励标准。取消部分难以达标的奖励政策，例如国家、省物流园区企业获批奖励。</w:t>
      </w:r>
      <w:r>
        <w:rPr>
          <w:rFonts w:hint="eastAsia" w:eastAsia="仿宋_GB2312"/>
          <w:b/>
          <w:bCs/>
          <w:color w:val="auto"/>
          <w:sz w:val="32"/>
          <w:szCs w:val="32"/>
          <w:lang w:val="en-US" w:eastAsia="zh-CN"/>
        </w:rPr>
        <w:t>二是政策制定要充分考虑本市发展现状。</w:t>
      </w:r>
      <w:r>
        <w:rPr>
          <w:rFonts w:hint="eastAsia" w:eastAsia="仿宋_GB2312"/>
          <w:color w:val="auto"/>
          <w:sz w:val="32"/>
          <w:szCs w:val="32"/>
          <w:lang w:val="en-US" w:eastAsia="zh-CN"/>
        </w:rPr>
        <w:t>相关责任单位应加快打通快递进村“最后一公里”，加强对快递企业支持力度，设置奖励标准鼓励快递企业设立村级服务站点，取消激励性不足的新增淘宝镇村奖励；此外，《山东省人民政府关于促进电子商务高质量发展若干措施的通知》（鲁政字〔2022〕42号）文件提出要“加快直播电商发展”，市商务局可进一步贯彻上级文件要求，制定支持直播电商发展相关措施。</w:t>
      </w:r>
      <w:r>
        <w:rPr>
          <w:rFonts w:hint="eastAsia" w:eastAsia="仿宋_GB2312" w:cs="仿宋_GB2312"/>
          <w:b/>
          <w:bCs/>
          <w:color w:val="auto"/>
          <w:sz w:val="32"/>
          <w:szCs w:val="32"/>
          <w:lang w:val="en-US" w:eastAsia="zh-CN"/>
        </w:rPr>
        <w:t>三是确保政策落地见效。</w:t>
      </w:r>
      <w:r>
        <w:rPr>
          <w:rFonts w:hint="eastAsia" w:eastAsia="仿宋_GB2312"/>
          <w:color w:val="auto"/>
          <w:sz w:val="32"/>
          <w:szCs w:val="32"/>
          <w:lang w:val="en-US" w:eastAsia="zh-CN"/>
        </w:rPr>
        <w:t>在政策具体实施过程中相关责任单位应结合实际情况做到灵活执行、科学施策，必要时要及时调整政策，让政策真正服务于企业。</w:t>
      </w:r>
    </w:p>
    <w:p>
      <w:pPr>
        <w:widowControl/>
        <w:adjustRightInd w:val="0"/>
        <w:spacing w:line="560" w:lineRule="exact"/>
        <w:ind w:firstLine="640" w:firstLineChars="200"/>
        <w:jc w:val="left"/>
        <w:textAlignment w:val="baseline"/>
        <w:outlineLvl w:val="1"/>
        <w:rPr>
          <w:rFonts w:hint="default" w:eastAsia="楷体_GB2312"/>
          <w:color w:val="auto"/>
          <w:sz w:val="32"/>
          <w:szCs w:val="32"/>
          <w:lang w:val="en-US" w:eastAsia="zh-CN"/>
        </w:rPr>
      </w:pPr>
      <w:bookmarkStart w:id="101" w:name="_Toc30649"/>
      <w:bookmarkStart w:id="102" w:name="_Toc26889"/>
      <w:bookmarkStart w:id="103" w:name="_Toc5859"/>
      <w:bookmarkStart w:id="104" w:name="_Toc16861"/>
      <w:r>
        <w:rPr>
          <w:rFonts w:eastAsia="楷体_GB2312"/>
          <w:color w:val="auto"/>
          <w:sz w:val="32"/>
          <w:szCs w:val="32"/>
        </w:rPr>
        <w:t>（</w:t>
      </w:r>
      <w:r>
        <w:rPr>
          <w:rFonts w:hint="eastAsia" w:eastAsia="楷体_GB2312"/>
          <w:color w:val="auto"/>
          <w:sz w:val="32"/>
          <w:szCs w:val="32"/>
          <w:lang w:val="en-US" w:eastAsia="zh-CN"/>
        </w:rPr>
        <w:t>六</w:t>
      </w:r>
      <w:r>
        <w:rPr>
          <w:rFonts w:eastAsia="楷体_GB2312"/>
          <w:color w:val="auto"/>
          <w:sz w:val="32"/>
          <w:szCs w:val="32"/>
        </w:rPr>
        <w:t>）</w:t>
      </w:r>
      <w:r>
        <w:rPr>
          <w:rFonts w:hint="eastAsia" w:eastAsia="楷体_GB2312"/>
          <w:color w:val="auto"/>
          <w:sz w:val="32"/>
          <w:szCs w:val="32"/>
          <w:lang w:val="en-US" w:eastAsia="zh-CN"/>
        </w:rPr>
        <w:t>建立政策工作目标及重点工作任务</w:t>
      </w:r>
      <w:bookmarkEnd w:id="101"/>
      <w:bookmarkEnd w:id="102"/>
      <w:bookmarkEnd w:id="103"/>
      <w:bookmarkEnd w:id="104"/>
    </w:p>
    <w:p>
      <w:pPr>
        <w:keepNext w:val="0"/>
        <w:keepLines w:val="0"/>
        <w:pageBreakBefore w:val="0"/>
        <w:widowControl w:val="0"/>
        <w:kinsoku/>
        <w:wordWrap/>
        <w:overflowPunct/>
        <w:topLinePunct w:val="0"/>
        <w:autoSpaceDE/>
        <w:autoSpaceDN/>
        <w:bidi w:val="0"/>
        <w:adjustRightInd w:val="0"/>
        <w:snapToGrid w:val="0"/>
        <w:spacing w:line="560" w:lineRule="exact"/>
        <w:ind w:firstLine="640" w:firstLineChars="200"/>
        <w:textAlignment w:val="auto"/>
        <w:rPr>
          <w:rFonts w:hint="eastAsia" w:ascii="仿宋" w:hAnsi="仿宋" w:eastAsia="仿宋" w:cs="Arial"/>
          <w:bCs/>
          <w:sz w:val="32"/>
          <w:szCs w:val="32"/>
          <w:lang w:eastAsia="zh-CN"/>
        </w:rPr>
      </w:pPr>
      <w:r>
        <w:rPr>
          <w:rFonts w:hint="eastAsia" w:eastAsia="仿宋_GB2312"/>
          <w:color w:val="auto"/>
          <w:sz w:val="32"/>
          <w:szCs w:val="32"/>
          <w:lang w:val="en-US" w:eastAsia="zh-CN"/>
        </w:rPr>
        <w:t>相关部门应对本市电子商务发展现状进行充分调研和分析，制定合理的年度工作目标、阶段性发展目标，在确保对实际情况有充分了解和认识的基础上，明确目标年限内重点工作任务和工作安排</w:t>
      </w:r>
      <w:r>
        <w:rPr>
          <w:rFonts w:hint="eastAsia" w:eastAsia="仿宋_GB2312"/>
          <w:color w:val="auto"/>
          <w:sz w:val="32"/>
          <w:szCs w:val="32"/>
        </w:rPr>
        <w:t>。</w:t>
      </w:r>
      <w:r>
        <w:rPr>
          <w:rFonts w:hint="eastAsia" w:eastAsia="仿宋_GB2312"/>
          <w:color w:val="auto"/>
          <w:sz w:val="32"/>
          <w:szCs w:val="32"/>
          <w:lang w:val="en-US" w:eastAsia="zh-CN"/>
        </w:rPr>
        <w:t>同时充分考虑时间和成本等关键要素，及时调整和优化推进进度，确保最终达到工作目标要求，完成重点工作任务。</w:t>
      </w:r>
    </w:p>
    <w:sectPr>
      <w:footerReference r:id="rId4" w:type="default"/>
      <w:pgSz w:w="11906" w:h="16838"/>
      <w:pgMar w:top="1701" w:right="1474" w:bottom="1701" w:left="1587" w:header="851" w:footer="1474" w:gutter="0"/>
      <w:paperSrc/>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rPr>
        <w:rFonts w:ascii="宋体" w:hAnsi="宋体" w:eastAsia="宋体"/>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7"/>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7"/>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10"/>
        <w:keepNext w:val="0"/>
        <w:keepLines w:val="0"/>
        <w:pageBreakBefore w:val="0"/>
        <w:widowControl/>
        <w:kinsoku/>
        <w:wordWrap/>
        <w:overflowPunct/>
        <w:topLinePunct w:val="0"/>
        <w:bidi w:val="0"/>
        <w:adjustRightInd/>
        <w:snapToGrid w:val="0"/>
        <w:spacing w:line="240" w:lineRule="auto"/>
        <w:ind w:left="0" w:leftChars="0" w:firstLine="0" w:firstLineChars="0"/>
        <w:textAlignment w:val="auto"/>
      </w:pPr>
      <w:r>
        <w:rPr>
          <w:rStyle w:val="18"/>
        </w:rPr>
        <w:footnoteRef/>
      </w:r>
      <w:r>
        <w:t xml:space="preserve"> </w:t>
      </w:r>
      <w:r>
        <w:rPr>
          <w:rFonts w:hint="eastAsia"/>
        </w:rPr>
        <w:t>农产品上行指的是将农产品标准化、规模化、品牌化之后销往城市、发展县域经济、农村经济，激活农村市场活力。</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9129BD0"/>
    <w:multiLevelType w:val="singleLevel"/>
    <w:tmpl w:val="E9129BD0"/>
    <w:lvl w:ilvl="0" w:tentative="0">
      <w:start w:val="1"/>
      <w:numFmt w:val="chineseCounting"/>
      <w:suff w:val="nothing"/>
      <w:lvlText w:val="%1、"/>
      <w:lvlJc w:val="left"/>
      <w:pPr>
        <w:ind w:left="-1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2"/>
    <w:footnote w:id="3"/>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wM2NmNjc2ZDBkN2JjNmRlNzllNTUwMzQ2OWJhYjAifQ=="/>
  </w:docVars>
  <w:rsids>
    <w:rsidRoot w:val="00000000"/>
    <w:rsid w:val="00DF11E3"/>
    <w:rsid w:val="00F505A0"/>
    <w:rsid w:val="061B1299"/>
    <w:rsid w:val="06351910"/>
    <w:rsid w:val="067610D2"/>
    <w:rsid w:val="075F04D3"/>
    <w:rsid w:val="0A4136DC"/>
    <w:rsid w:val="0A891503"/>
    <w:rsid w:val="0CF77A73"/>
    <w:rsid w:val="0D2C799D"/>
    <w:rsid w:val="142E449C"/>
    <w:rsid w:val="15A2564A"/>
    <w:rsid w:val="16AA2D18"/>
    <w:rsid w:val="16D642C8"/>
    <w:rsid w:val="18826EA4"/>
    <w:rsid w:val="1AD64829"/>
    <w:rsid w:val="1B697783"/>
    <w:rsid w:val="1F037166"/>
    <w:rsid w:val="23802D1B"/>
    <w:rsid w:val="25D37633"/>
    <w:rsid w:val="27CE7742"/>
    <w:rsid w:val="28AE4351"/>
    <w:rsid w:val="2B515655"/>
    <w:rsid w:val="2C005C55"/>
    <w:rsid w:val="304C1E1A"/>
    <w:rsid w:val="3ADB364D"/>
    <w:rsid w:val="3C1B425F"/>
    <w:rsid w:val="3CAE71FE"/>
    <w:rsid w:val="3E022E82"/>
    <w:rsid w:val="3E503AF7"/>
    <w:rsid w:val="3FF0764E"/>
    <w:rsid w:val="421C3283"/>
    <w:rsid w:val="42204EB5"/>
    <w:rsid w:val="45EE7D8D"/>
    <w:rsid w:val="4A6322C3"/>
    <w:rsid w:val="4A661256"/>
    <w:rsid w:val="4C6E0437"/>
    <w:rsid w:val="4D62704B"/>
    <w:rsid w:val="4E73291C"/>
    <w:rsid w:val="4FC32394"/>
    <w:rsid w:val="522462FB"/>
    <w:rsid w:val="52601456"/>
    <w:rsid w:val="54745318"/>
    <w:rsid w:val="54921C42"/>
    <w:rsid w:val="56006068"/>
    <w:rsid w:val="575B67D4"/>
    <w:rsid w:val="587934B1"/>
    <w:rsid w:val="5C924D42"/>
    <w:rsid w:val="5D5F46F0"/>
    <w:rsid w:val="60695812"/>
    <w:rsid w:val="61D153CB"/>
    <w:rsid w:val="62EB2352"/>
    <w:rsid w:val="63133E9C"/>
    <w:rsid w:val="634F36C6"/>
    <w:rsid w:val="63AA57A7"/>
    <w:rsid w:val="64BF5812"/>
    <w:rsid w:val="64E37928"/>
    <w:rsid w:val="659547A6"/>
    <w:rsid w:val="677A37D4"/>
    <w:rsid w:val="68302CED"/>
    <w:rsid w:val="68A64545"/>
    <w:rsid w:val="690559C4"/>
    <w:rsid w:val="6B614ECF"/>
    <w:rsid w:val="6F073FD6"/>
    <w:rsid w:val="742762AB"/>
    <w:rsid w:val="764C2934"/>
    <w:rsid w:val="76822B5C"/>
    <w:rsid w:val="794908F9"/>
    <w:rsid w:val="7B7272B2"/>
    <w:rsid w:val="7E1E1679"/>
    <w:rsid w:val="7EE86B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等线" w:hAnsi="等线" w:eastAsia="等线" w:cs="Times New Roman"/>
      <w:kern w:val="2"/>
      <w:sz w:val="21"/>
      <w:szCs w:val="22"/>
      <w:lang w:val="en-US" w:eastAsia="zh-CN" w:bidi="ar-SA"/>
    </w:rPr>
  </w:style>
  <w:style w:type="paragraph" w:styleId="3">
    <w:name w:val="heading 1"/>
    <w:basedOn w:val="1"/>
    <w:next w:val="1"/>
    <w:qFormat/>
    <w:uiPriority w:val="9"/>
    <w:pPr>
      <w:keepNext/>
      <w:keepLines/>
      <w:spacing w:line="360" w:lineRule="auto"/>
      <w:ind w:firstLine="723" w:firstLineChars="200"/>
      <w:outlineLvl w:val="0"/>
    </w:pPr>
    <w:rPr>
      <w:rFonts w:eastAsia="黑体"/>
      <w:kern w:val="44"/>
      <w:sz w:val="32"/>
    </w:rPr>
  </w:style>
  <w:style w:type="paragraph" w:styleId="4">
    <w:name w:val="heading 2"/>
    <w:basedOn w:val="1"/>
    <w:next w:val="1"/>
    <w:unhideWhenUsed/>
    <w:qFormat/>
    <w:uiPriority w:val="9"/>
    <w:pPr>
      <w:keepNext/>
      <w:keepLines/>
      <w:spacing w:line="360" w:lineRule="auto"/>
      <w:ind w:firstLine="723" w:firstLineChars="200"/>
      <w:outlineLvl w:val="1"/>
    </w:pPr>
    <w:rPr>
      <w:rFonts w:ascii="Arial" w:hAnsi="Arial" w:eastAsia="楷体"/>
      <w:b/>
      <w:sz w:val="32"/>
    </w:rPr>
  </w:style>
  <w:style w:type="paragraph" w:styleId="5">
    <w:name w:val="heading 3"/>
    <w:basedOn w:val="1"/>
    <w:next w:val="1"/>
    <w:semiHidden/>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toa heading"/>
    <w:basedOn w:val="1"/>
    <w:next w:val="1"/>
    <w:unhideWhenUsed/>
    <w:qFormat/>
    <w:uiPriority w:val="99"/>
    <w:pPr>
      <w:spacing w:before="120" w:after="100" w:afterAutospacing="1"/>
    </w:pPr>
    <w:rPr>
      <w:rFonts w:ascii="Arial" w:hAnsi="Arial" w:cs="Arial"/>
    </w:rPr>
  </w:style>
  <w:style w:type="paragraph" w:styleId="6">
    <w:name w:val="Body Text Indent"/>
    <w:basedOn w:val="1"/>
    <w:qFormat/>
    <w:uiPriority w:val="0"/>
    <w:pPr>
      <w:ind w:firstLine="645"/>
    </w:pPr>
    <w:rPr>
      <w:rFonts w:ascii="Calibri" w:hAnsi="Calibri" w:eastAsia="宋体" w:cs="Times New Roman"/>
      <w:sz w:val="32"/>
      <w:szCs w:val="24"/>
    </w:r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unhideWhenUsed/>
    <w:qFormat/>
    <w:uiPriority w:val="39"/>
    <w:pPr>
      <w:tabs>
        <w:tab w:val="right" w:leader="dot" w:pos="8296"/>
      </w:tabs>
    </w:pPr>
    <w:rPr>
      <w:rFonts w:ascii="仿宋" w:hAnsi="仿宋" w:eastAsia="仿宋"/>
      <w:b/>
      <w:bCs/>
      <w:w w:val="90"/>
      <w:sz w:val="32"/>
      <w:szCs w:val="32"/>
    </w:rPr>
  </w:style>
  <w:style w:type="paragraph" w:styleId="10">
    <w:name w:val="footnote text"/>
    <w:basedOn w:val="1"/>
    <w:qFormat/>
    <w:uiPriority w:val="0"/>
    <w:pPr>
      <w:widowControl/>
      <w:snapToGrid w:val="0"/>
      <w:spacing w:line="560" w:lineRule="exact"/>
      <w:ind w:firstLine="960" w:firstLineChars="200"/>
      <w:jc w:val="left"/>
    </w:pPr>
    <w:rPr>
      <w:rFonts w:ascii="宋体" w:hAnsi="宋体" w:eastAsia="仿宋_GB2312" w:cs="宋体"/>
      <w:kern w:val="0"/>
      <w:sz w:val="18"/>
      <w:szCs w:val="18"/>
    </w:rPr>
  </w:style>
  <w:style w:type="paragraph" w:styleId="11">
    <w:name w:val="toc 2"/>
    <w:basedOn w:val="1"/>
    <w:next w:val="1"/>
    <w:unhideWhenUsed/>
    <w:qFormat/>
    <w:uiPriority w:val="39"/>
    <w:pPr>
      <w:ind w:left="420" w:leftChars="200"/>
    </w:pPr>
  </w:style>
  <w:style w:type="paragraph" w:styleId="12">
    <w:name w:val="Title"/>
    <w:basedOn w:val="1"/>
    <w:next w:val="1"/>
    <w:qFormat/>
    <w:uiPriority w:val="0"/>
    <w:pPr>
      <w:adjustRightInd w:val="0"/>
      <w:snapToGrid w:val="0"/>
      <w:spacing w:line="360" w:lineRule="auto"/>
      <w:ind w:firstLine="800" w:firstLineChars="200"/>
      <w:jc w:val="left"/>
      <w:outlineLvl w:val="0"/>
    </w:pPr>
    <w:rPr>
      <w:rFonts w:ascii="Arial" w:hAnsi="Arial" w:eastAsia="仿宋" w:cs="Times New Roman"/>
      <w:sz w:val="32"/>
      <w:szCs w:val="32"/>
    </w:rPr>
  </w:style>
  <w:style w:type="paragraph" w:styleId="13">
    <w:name w:val="Body Text First Indent 2"/>
    <w:basedOn w:val="6"/>
    <w:unhideWhenUsed/>
    <w:qFormat/>
    <w:uiPriority w:val="99"/>
    <w:pPr>
      <w:ind w:firstLine="420" w:firstLineChars="200"/>
    </w:pPr>
    <w:rPr>
      <w:rFonts w:ascii="Calibri" w:hAnsi="Calibri" w:eastAsia="宋体" w:cs="Times New Roman"/>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Hyperlink"/>
    <w:basedOn w:val="16"/>
    <w:unhideWhenUsed/>
    <w:qFormat/>
    <w:uiPriority w:val="99"/>
    <w:rPr>
      <w:color w:val="0563C1" w:themeColor="hyperlink"/>
      <w:u w:val="single"/>
      <w14:textFill>
        <w14:solidFill>
          <w14:schemeClr w14:val="hlink"/>
        </w14:solidFill>
      </w14:textFill>
    </w:rPr>
  </w:style>
  <w:style w:type="character" w:styleId="18">
    <w:name w:val="footnote reference"/>
    <w:basedOn w:val="16"/>
    <w:qFormat/>
    <w:uiPriority w:val="0"/>
    <w:rPr>
      <w:vertAlign w:val="superscript"/>
    </w:rPr>
  </w:style>
  <w:style w:type="paragraph" w:customStyle="1" w:styleId="19">
    <w:name w:val="_Style 3"/>
    <w:basedOn w:val="1"/>
    <w:next w:val="20"/>
    <w:unhideWhenUsed/>
    <w:qFormat/>
    <w:uiPriority w:val="99"/>
    <w:pPr>
      <w:spacing w:line="360" w:lineRule="auto"/>
      <w:ind w:firstLine="420" w:firstLineChars="200"/>
      <w:jc w:val="left"/>
    </w:pPr>
    <w:rPr>
      <w:rFonts w:ascii="Times New Roman" w:hAnsi="Times New Roman" w:eastAsia="仿宋"/>
      <w:sz w:val="32"/>
      <w:szCs w:val="24"/>
      <w:lang w:eastAsia="zh-TW"/>
    </w:rPr>
  </w:style>
  <w:style w:type="paragraph" w:styleId="20">
    <w:name w:val="List Paragraph"/>
    <w:basedOn w:val="1"/>
    <w:qFormat/>
    <w:uiPriority w:val="34"/>
    <w:pPr>
      <w:ind w:firstLine="420" w:firstLineChars="200"/>
    </w:pPr>
  </w:style>
  <w:style w:type="paragraph" w:customStyle="1" w:styleId="21">
    <w:name w:val="p0"/>
    <w:basedOn w:val="1"/>
    <w:qFormat/>
    <w:uiPriority w:val="0"/>
    <w:rPr>
      <w:rFonts w:eastAsia="宋体" w:cs="Times New Roman"/>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293</Words>
  <Characters>319</Characters>
  <Lines>0</Lines>
  <Paragraphs>0</Paragraphs>
  <TotalTime>9</TotalTime>
  <ScaleCrop>false</ScaleCrop>
  <LinksUpToDate>false</LinksUpToDate>
  <CharactersWithSpaces>335</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2020-03-10T07:35:00Z</dcterms:created>
  <dc:creator>48933</dc:creator>
  <cp:lastModifiedBy>瑾王</cp:lastModifiedBy>
  <cp:lastPrinted>2022-04-25T08:04:00Z</cp:lastPrinted>
  <dcterms:modified xsi:type="dcterms:W3CDTF">2023-12-27T03:35:58Z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16E8D119AA464C11A1DE6BC85F430FA4_13</vt:lpwstr>
  </property>
</Properties>
</file>