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2022年度菏泽市动物防疫资金</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ascii="宋体" w:hAnsi="宋体" w:eastAsia="宋体" w:cs="楷体"/>
          <w:bCs/>
          <w:sz w:val="32"/>
          <w:szCs w:val="32"/>
        </w:rPr>
      </w:pPr>
      <w:r>
        <w:rPr>
          <w:rFonts w:hint="eastAsia" w:ascii="方正小标宋简体" w:hAnsi="方正小标宋简体" w:eastAsia="方正小标宋简体" w:cs="方正小标宋简体"/>
          <w:b w:val="0"/>
          <w:bCs/>
          <w:sz w:val="44"/>
          <w:szCs w:val="44"/>
          <w:lang w:val="en-US" w:eastAsia="zh-CN"/>
        </w:rPr>
        <w:t>项目支出绩效评价报告</w:t>
      </w:r>
    </w:p>
    <w:p>
      <w:pPr>
        <w:pStyle w:val="2"/>
      </w:pP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sz w:val="32"/>
          <w:szCs w:val="32"/>
          <w:lang w:val="en-US" w:eastAsia="zh-CN"/>
        </w:rPr>
        <w:t>项目</w:t>
      </w:r>
      <w:r>
        <w:rPr>
          <w:rFonts w:hint="eastAsia" w:ascii="黑体" w:hAnsi="黑体" w:eastAsia="黑体" w:cs="黑体"/>
          <w:bCs/>
          <w:sz w:val="32"/>
          <w:szCs w:val="32"/>
          <w:lang w:val="en-US" w:eastAsia="zh-CN"/>
        </w:rPr>
        <w:t>基本情况</w:t>
      </w:r>
    </w:p>
    <w:p>
      <w:pPr>
        <w:pStyle w:val="15"/>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lang w:val="en-US" w:eastAsia="zh-CN"/>
        </w:rPr>
      </w:pPr>
      <w:r>
        <w:rPr>
          <w:rFonts w:hint="eastAsia" w:ascii="楷体" w:hAnsi="楷体" w:eastAsia="楷体" w:cs="楷体"/>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1.项目立项背景</w:t>
      </w:r>
    </w:p>
    <w:p>
      <w:pPr>
        <w:keepNext w:val="0"/>
        <w:keepLines w:val="0"/>
        <w:widowControl w:val="0"/>
        <w:suppressLineNumbers w:val="0"/>
        <w:overflowPunct w:val="0"/>
        <w:autoSpaceDE w:val="0"/>
        <w:autoSpaceDN/>
        <w:spacing w:before="0" w:beforeAutospacing="0" w:after="0" w:afterLines="0" w:afterAutospacing="0" w:line="580" w:lineRule="exact"/>
        <w:ind w:left="0" w:right="0" w:firstLine="640" w:firstLineChars="200"/>
        <w:jc w:val="both"/>
        <w:rPr>
          <w:rFonts w:hint="default" w:ascii="仿宋" w:hAnsi="仿宋" w:eastAsia="仿宋" w:cs="仿宋"/>
          <w:color w:val="auto"/>
          <w:kern w:val="2"/>
          <w:sz w:val="32"/>
          <w:szCs w:val="32"/>
          <w:highlight w:val="none"/>
          <w:lang w:val="en-US" w:eastAsia="zh-CN" w:bidi="ar"/>
        </w:rPr>
      </w:pPr>
      <w:r>
        <w:rPr>
          <w:rFonts w:hint="default" w:ascii="仿宋" w:hAnsi="仿宋" w:eastAsia="仿宋" w:cs="仿宋"/>
          <w:color w:val="auto"/>
          <w:kern w:val="2"/>
          <w:sz w:val="32"/>
          <w:szCs w:val="32"/>
          <w:highlight w:val="none"/>
          <w:lang w:val="en-US" w:eastAsia="zh-CN" w:bidi="ar"/>
        </w:rPr>
        <w:t>传染病依然是畜禽养殖的重要威胁。为做好动物防疫工作，菏泽市出台《“十四五”动物疫病防控规划</w:t>
      </w:r>
      <w:r>
        <w:rPr>
          <w:rFonts w:hint="eastAsia" w:ascii="仿宋" w:hAnsi="仿宋" w:eastAsia="仿宋" w:cs="仿宋"/>
          <w:color w:val="auto"/>
          <w:kern w:val="2"/>
          <w:sz w:val="32"/>
          <w:szCs w:val="32"/>
          <w:highlight w:val="none"/>
          <w:lang w:val="en-US" w:eastAsia="zh-CN" w:bidi="ar"/>
        </w:rPr>
        <w:t>（</w:t>
      </w:r>
      <w:r>
        <w:rPr>
          <w:rFonts w:hint="default" w:ascii="仿宋" w:hAnsi="仿宋" w:eastAsia="仿宋" w:cs="仿宋"/>
          <w:color w:val="auto"/>
          <w:kern w:val="2"/>
          <w:sz w:val="32"/>
          <w:szCs w:val="32"/>
          <w:highlight w:val="none"/>
          <w:lang w:val="en-US" w:eastAsia="zh-CN" w:bidi="ar"/>
        </w:rPr>
        <w:t>2022</w:t>
      </w:r>
      <w:r>
        <w:rPr>
          <w:rFonts w:hint="eastAsia" w:ascii="仿宋" w:hAnsi="仿宋" w:eastAsia="仿宋" w:cs="仿宋"/>
          <w:color w:val="auto"/>
          <w:kern w:val="2"/>
          <w:sz w:val="32"/>
          <w:szCs w:val="32"/>
          <w:highlight w:val="none"/>
          <w:lang w:val="en-US" w:eastAsia="zh-CN" w:bidi="ar"/>
        </w:rPr>
        <w:t>—2</w:t>
      </w:r>
      <w:r>
        <w:rPr>
          <w:rFonts w:hint="default" w:ascii="仿宋" w:hAnsi="仿宋" w:eastAsia="仿宋" w:cs="仿宋"/>
          <w:color w:val="auto"/>
          <w:kern w:val="2"/>
          <w:sz w:val="32"/>
          <w:szCs w:val="32"/>
          <w:highlight w:val="none"/>
          <w:lang w:val="en-US" w:eastAsia="zh-CN" w:bidi="ar"/>
        </w:rPr>
        <w:t>025年</w:t>
      </w:r>
      <w:r>
        <w:rPr>
          <w:rFonts w:hint="eastAsia" w:ascii="仿宋" w:hAnsi="仿宋" w:eastAsia="仿宋" w:cs="仿宋"/>
          <w:color w:val="auto"/>
          <w:kern w:val="2"/>
          <w:sz w:val="32"/>
          <w:szCs w:val="32"/>
          <w:highlight w:val="none"/>
          <w:lang w:val="en-US" w:eastAsia="zh-CN" w:bidi="ar"/>
        </w:rPr>
        <w:t>）</w:t>
      </w:r>
      <w:r>
        <w:rPr>
          <w:rFonts w:hint="default" w:ascii="仿宋" w:hAnsi="仿宋" w:eastAsia="仿宋" w:cs="仿宋"/>
          <w:color w:val="auto"/>
          <w:kern w:val="2"/>
          <w:sz w:val="32"/>
          <w:szCs w:val="32"/>
          <w:highlight w:val="none"/>
          <w:lang w:val="en-US" w:eastAsia="zh-CN" w:bidi="ar"/>
        </w:rPr>
        <w:t>》，全面推进强制免疫“先打后补”、全市免疫无口蹄疫和无高致病性禽流感区创建工作，以保障养殖业生产安全、畜产品质量安全、公共卫生安全和生态安全。</w:t>
      </w:r>
    </w:p>
    <w:p>
      <w:pPr>
        <w:keepNext w:val="0"/>
        <w:keepLines w:val="0"/>
        <w:widowControl w:val="0"/>
        <w:suppressLineNumbers w:val="0"/>
        <w:overflowPunct w:val="0"/>
        <w:autoSpaceDE w:val="0"/>
        <w:autoSpaceDN/>
        <w:spacing w:before="0" w:beforeAutospacing="0" w:after="0" w:afterLines="0" w:afterAutospacing="0" w:line="580" w:lineRule="exact"/>
        <w:ind w:left="0" w:right="0" w:firstLine="640" w:firstLineChars="200"/>
        <w:jc w:val="both"/>
        <w:rPr>
          <w:rFonts w:hint="default"/>
          <w:lang w:val="en-US" w:eastAsia="zh-CN"/>
        </w:rPr>
      </w:pPr>
      <w:r>
        <w:rPr>
          <w:rFonts w:hint="default" w:ascii="仿宋" w:hAnsi="仿宋" w:eastAsia="仿宋" w:cs="仿宋"/>
          <w:color w:val="auto"/>
          <w:kern w:val="2"/>
          <w:sz w:val="32"/>
          <w:szCs w:val="32"/>
          <w:highlight w:val="none"/>
          <w:lang w:val="en-US" w:eastAsia="zh-CN" w:bidi="ar"/>
        </w:rPr>
        <w:t>为贯彻落实文件要求，确保动物疫病得到有效控制，菏泽市投入预算资金共计9255.9万元，用于村级防疫员工资、病死畜禽无害化处理、动物疫病强制免疫三方面支出补助。</w:t>
      </w:r>
    </w:p>
    <w:p>
      <w:pPr>
        <w:pStyle w:val="15"/>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2.</w:t>
      </w:r>
      <w:r>
        <w:rPr>
          <w:rFonts w:hint="eastAsia" w:ascii="仿宋_GB2312" w:hAnsi="仿宋_GB2312" w:eastAsia="仿宋_GB2312" w:cs="仿宋_GB2312"/>
          <w:b/>
          <w:bCs/>
          <w:sz w:val="32"/>
          <w:szCs w:val="32"/>
          <w:lang w:val="en-US" w:eastAsia="zh-CN"/>
        </w:rPr>
        <w:t>实施内容</w:t>
      </w:r>
    </w:p>
    <w:p>
      <w:pPr>
        <w:keepNext w:val="0"/>
        <w:keepLines w:val="0"/>
        <w:pageBreakBefore w:val="0"/>
        <w:widowControl w:val="0"/>
        <w:numPr>
          <w:ilvl w:val="0"/>
          <w:numId w:val="0"/>
        </w:numPr>
        <w:kinsoku/>
        <w:wordWrap/>
        <w:overflowPunct/>
        <w:topLinePunct w:val="0"/>
        <w:autoSpaceDE/>
        <w:autoSpaceDN/>
        <w:bidi w:val="0"/>
        <w:spacing w:line="58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本项目共包括村级防疫员工资、病死畜禽无害化处理、动物疫病强制免疫三方面支出补助。</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的资金管理单位为菏泽市财政局和各县区财政局，负责安排补助资金，进行资金使用监管；主管单位为菏泽市农业农村局，负责项目的规划、管理、指导、监督考核；项目实施单位为各县区畜牧服务中心，负责动物防疫工作统筹规划，实施管理。各相关单位结合职能履责，通力合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4.资金投入和使用情况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本项目预算资金共计9,255.9万元，其中中央资金6,842.9万元，省级资金1,476万元，市级资金937万元。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（二）绩效目标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1.总体绩效目标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通过招聘村级防疫员、对病死畜禽无害化处理厂进行补助及开展动物疫病强制免疫，实现落实重大动物疫病和人畜共患病防控、强化病死畜禽无害化处理工作开展、贯彻实施动物疫病强制免疫计划的目标，达到防疫保障能力大幅提升、全链条监管全面加强、疫病防控能力全面增强的目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2.年度绩效目标</w:t>
      </w:r>
    </w:p>
    <w:p>
      <w:pPr>
        <w:pStyle w:val="2"/>
        <w:keepNext w:val="0"/>
        <w:keepLines w:val="0"/>
        <w:pageBreakBefore w:val="0"/>
        <w:widowControl w:val="0"/>
        <w:kinsoku/>
        <w:wordWrap/>
        <w:overflowPunct/>
        <w:topLinePunct w:val="0"/>
        <w:autoSpaceDE/>
        <w:autoSpaceDN/>
        <w:bidi w:val="0"/>
        <w:spacing w:after="0" w:line="580" w:lineRule="exact"/>
        <w:ind w:left="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2022年，该项目的主要绩效目标是：</w:t>
      </w:r>
    </w:p>
    <w:p>
      <w:pPr>
        <w:pStyle w:val="2"/>
        <w:keepNext w:val="0"/>
        <w:keepLines w:val="0"/>
        <w:pageBreakBefore w:val="0"/>
        <w:widowControl w:val="0"/>
        <w:kinsoku/>
        <w:wordWrap/>
        <w:overflowPunct/>
        <w:topLinePunct w:val="0"/>
        <w:autoSpaceDE/>
        <w:autoSpaceDN/>
        <w:bidi w:val="0"/>
        <w:spacing w:after="0" w:line="580" w:lineRule="exact"/>
        <w:ind w:left="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（1）招聘688名村级动物防疫员，加强基层防疫力量；</w:t>
      </w:r>
    </w:p>
    <w:p>
      <w:pPr>
        <w:pStyle w:val="2"/>
        <w:keepNext w:val="0"/>
        <w:keepLines w:val="0"/>
        <w:pageBreakBefore w:val="0"/>
        <w:widowControl w:val="0"/>
        <w:kinsoku/>
        <w:wordWrap/>
        <w:overflowPunct/>
        <w:topLinePunct w:val="0"/>
        <w:autoSpaceDE/>
        <w:autoSpaceDN/>
        <w:bidi w:val="0"/>
        <w:spacing w:after="0" w:line="580" w:lineRule="exact"/>
        <w:ind w:left="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（2）对全市9个无害化处理厂进行补助，以实现病死畜禽及时无害化处理，避免因随意抛弃病死畜禽造成环境污染；</w:t>
      </w:r>
    </w:p>
    <w:p>
      <w:pPr>
        <w:pStyle w:val="2"/>
        <w:keepNext w:val="0"/>
        <w:keepLines w:val="0"/>
        <w:pageBreakBefore w:val="0"/>
        <w:widowControl w:val="0"/>
        <w:kinsoku/>
        <w:wordWrap/>
        <w:overflowPunct/>
        <w:topLinePunct w:val="0"/>
        <w:autoSpaceDE/>
        <w:autoSpaceDN/>
        <w:bidi w:val="0"/>
        <w:spacing w:after="0" w:line="580" w:lineRule="exact"/>
        <w:ind w:left="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（3）开展动物疫病强制免疫，实现重大动物强制免疫病种应免畜禽的免疫密度达到90%以上，平均免疫抗体合格率达到70%以上。</w:t>
      </w:r>
    </w:p>
    <w:p>
      <w:pPr>
        <w:pStyle w:val="15"/>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二、评价基本情况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1.评价目的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进一步加强预算绩效管理，强化支出责任，做好重点项目支出绩效评价工作，本次评价的主要目的是从2022年度动物防疫资金项目决策、过程、产出和效益四个方面，对项目实施的社会性、效率性和有效性进行全面分析，重点关注该项目补助资金发放情况、政策执行准确度情况、强制免疫力效果等情况。在此基础上总结经验，针对项目实施过程中的问题提出合理意见和改进措施，进一步提高项目管理水平。</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2.评价对象：</w:t>
      </w:r>
      <w:r>
        <w:rPr>
          <w:rFonts w:hint="eastAsia" w:ascii="仿宋" w:hAnsi="仿宋" w:eastAsia="仿宋" w:cs="仿宋"/>
          <w:sz w:val="32"/>
          <w:szCs w:val="32"/>
          <w:lang w:val="en-US" w:eastAsia="zh-CN"/>
        </w:rPr>
        <w:t>菏泽市2022年动物防疫资金9,255.9万元。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3.评价范围：</w:t>
      </w:r>
      <w:r>
        <w:rPr>
          <w:rFonts w:hint="eastAsia" w:ascii="仿宋" w:hAnsi="仿宋" w:eastAsia="仿宋" w:cs="仿宋"/>
          <w:sz w:val="32"/>
          <w:szCs w:val="32"/>
          <w:lang w:val="en-US" w:eastAsia="zh-CN"/>
        </w:rPr>
        <w:t>对菏泽市2022年度动物防疫项目资金9255.9万元的使用及效益的情况进行绩效评价，项目覆盖菏泽市10个县区，评价基准日为2022年</w:t>
      </w:r>
      <w:bookmarkStart w:id="0" w:name="_Toc25136"/>
      <w:r>
        <w:rPr>
          <w:rFonts w:hint="eastAsia" w:ascii="仿宋" w:hAnsi="仿宋" w:eastAsia="仿宋" w:cs="仿宋"/>
          <w:sz w:val="32"/>
          <w:szCs w:val="32"/>
          <w:lang w:val="en-US" w:eastAsia="zh-CN"/>
        </w:rPr>
        <w:t>12月31日。</w:t>
      </w:r>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（二）绩效评价指标体系</w:t>
      </w:r>
    </w:p>
    <w:p>
      <w:pPr>
        <w:keepNext w:val="0"/>
        <w:keepLines w:val="0"/>
        <w:pageBreakBefore w:val="0"/>
        <w:widowControl w:val="0"/>
        <w:suppressLineNumbers w:val="0"/>
        <w:kinsoku/>
        <w:wordWrap/>
        <w:overflowPunct/>
        <w:autoSpaceDE/>
        <w:autoSpaceDN/>
        <w:bidi w:val="0"/>
        <w:spacing w:before="0" w:beforeAutospacing="0" w:after="0" w:afterAutospacing="0" w:line="580" w:lineRule="exact"/>
        <w:ind w:left="0" w:right="0" w:firstLine="640" w:firstLineChars="200"/>
        <w:jc w:val="both"/>
        <w:textAlignment w:val="auto"/>
        <w:rPr>
          <w:rFonts w:hint="eastAsia" w:ascii="宋体" w:hAnsi="宋体" w:eastAsia="宋体" w:cs="宋体"/>
          <w:color w:val="auto"/>
          <w:kern w:val="2"/>
          <w:sz w:val="32"/>
          <w:szCs w:val="32"/>
          <w:highlight w:val="none"/>
        </w:rPr>
      </w:pPr>
      <w:r>
        <w:rPr>
          <w:rFonts w:hint="default" w:ascii="仿宋" w:hAnsi="仿宋" w:eastAsia="仿宋" w:cs="仿宋"/>
          <w:color w:val="auto"/>
          <w:kern w:val="2"/>
          <w:sz w:val="32"/>
          <w:szCs w:val="32"/>
          <w:highlight w:val="none"/>
          <w:lang w:val="en-US" w:eastAsia="zh-CN" w:bidi="ar"/>
        </w:rPr>
        <w:t>绩效评价指标体系是绩效评价工作的核心，包括绩效评价指标、指标权重和评价标准等内容。在与菏泽市财政局及被评价相关单位充分沟通基础上，考虑实用性、可操作性和可实现性等因素，科学编制绩效评价指标体系，以充分体现和真实反映项目的绩效状况和绩效目标的实现程度</w:t>
      </w:r>
      <w:r>
        <w:rPr>
          <w:rFonts w:hint="eastAsia" w:ascii="宋体" w:hAnsi="宋体" w:eastAsia="宋体" w:cs="宋体"/>
          <w:color w:val="auto"/>
          <w:kern w:val="2"/>
          <w:sz w:val="32"/>
          <w:szCs w:val="32"/>
          <w:highlight w:val="none"/>
          <w:lang w:val="en-US" w:eastAsia="zh-CN" w:bidi="ar"/>
        </w:rPr>
        <w:t>。</w:t>
      </w:r>
    </w:p>
    <w:p>
      <w:pPr>
        <w:pStyle w:val="15"/>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eastAsia" w:ascii="Times New Roman" w:hAnsi="Times New Roman" w:eastAsia="黑体"/>
          <w:sz w:val="24"/>
          <w:szCs w:val="32"/>
          <w:lang w:val="en-US" w:eastAsia="zh-CN"/>
        </w:rPr>
      </w:pPr>
      <w:r>
        <w:rPr>
          <w:rFonts w:hint="eastAsia" w:ascii="黑体" w:hAnsi="黑体" w:eastAsia="黑体" w:cs="黑体"/>
          <w:lang w:val="en-US" w:eastAsia="zh-CN"/>
        </w:rPr>
        <w:t>三、绩效评价结论</w:t>
      </w:r>
    </w:p>
    <w:p>
      <w:pPr>
        <w:keepNext w:val="0"/>
        <w:keepLines w:val="0"/>
        <w:pageBreakBefore w:val="0"/>
        <w:widowControl w:val="0"/>
        <w:kinsoku/>
        <w:wordWrap/>
        <w:overflowPunct/>
        <w:topLinePunct/>
        <w:autoSpaceDE/>
        <w:autoSpaceDN/>
        <w:bidi w:val="0"/>
        <w:adjustRightInd/>
        <w:snapToGrid/>
        <w:spacing w:line="580" w:lineRule="exact"/>
        <w:ind w:left="0"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color w:val="auto"/>
          <w:kern w:val="2"/>
          <w:sz w:val="32"/>
          <w:szCs w:val="32"/>
          <w:highlight w:val="none"/>
          <w:lang w:val="en-US" w:eastAsia="zh-CN"/>
        </w:rPr>
        <w:t>（一）综合评价结论</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黑体"/>
          <w:sz w:val="24"/>
          <w:szCs w:val="32"/>
          <w:lang w:val="en-US" w:eastAsia="zh-CN"/>
        </w:rPr>
      </w:pPr>
      <w:r>
        <w:rPr>
          <w:rFonts w:hint="eastAsia" w:ascii="Times New Roman" w:hAnsi="Times New Roman" w:eastAsia="黑体"/>
          <w:sz w:val="24"/>
          <w:szCs w:val="32"/>
          <w:lang w:val="en-US" w:eastAsia="zh-CN"/>
        </w:rPr>
        <w:t>项目综合绩效评价得分情况表</w:t>
      </w:r>
    </w:p>
    <w:tbl>
      <w:tblPr>
        <w:tblStyle w:val="16"/>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9"/>
        <w:gridCol w:w="2127"/>
        <w:gridCol w:w="2069"/>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blHeader/>
        </w:trPr>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评价指标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权重（%）</w:t>
            </w:r>
          </w:p>
        </w:tc>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评价得分</w:t>
            </w:r>
          </w:p>
        </w:tc>
        <w:tc>
          <w:tcPr>
            <w:tcW w:w="22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评价分值占比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1.</w:t>
            </w:r>
            <w:r>
              <w:rPr>
                <w:rFonts w:hint="eastAsia" w:ascii="宋体" w:hAnsi="宋体" w:eastAsia="宋体" w:cs="宋体"/>
                <w:b w:val="0"/>
                <w:bCs w:val="0"/>
                <w:kern w:val="0"/>
                <w:sz w:val="21"/>
                <w:szCs w:val="21"/>
              </w:rPr>
              <w:t>决策</w:t>
            </w:r>
          </w:p>
        </w:tc>
        <w:tc>
          <w:tcPr>
            <w:tcW w:w="2127" w:type="dxa"/>
            <w:tcBorders>
              <w:top w:val="single" w:color="auto" w:sz="4" w:space="0"/>
              <w:left w:val="single" w:color="auto" w:sz="4" w:space="0"/>
              <w:bottom w:val="single" w:color="auto" w:sz="4" w:space="0"/>
              <w:right w:val="single" w:color="auto" w:sz="4" w:space="0"/>
            </w:tcBorders>
            <w:vAlign w:val="center"/>
          </w:tcPr>
          <w:p>
            <w:pPr>
              <w:pStyle w:val="23"/>
              <w:widowControl/>
              <w:spacing w:line="240" w:lineRule="auto"/>
              <w:ind w:left="0" w:leftChars="0" w:right="0" w:rightChars="0"/>
              <w:rPr>
                <w:rFonts w:hint="eastAsia" w:ascii="宋体" w:hAnsi="宋体" w:eastAsia="宋体" w:cs="宋体"/>
                <w:b w:val="0"/>
                <w:bCs w:val="0"/>
                <w:kern w:val="0"/>
                <w:sz w:val="21"/>
                <w:szCs w:val="21"/>
              </w:rPr>
            </w:pPr>
            <w:r>
              <w:rPr>
                <w:rFonts w:hint="eastAsia" w:ascii="宋体" w:hAnsi="宋体" w:eastAsia="宋体" w:cs="宋体"/>
                <w:b w:val="0"/>
                <w:bCs/>
                <w:color w:val="auto"/>
                <w:kern w:val="0"/>
                <w:sz w:val="21"/>
                <w:szCs w:val="21"/>
                <w:highlight w:val="none"/>
              </w:rPr>
              <w:t>10</w:t>
            </w:r>
          </w:p>
        </w:tc>
        <w:tc>
          <w:tcPr>
            <w:tcW w:w="206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10.00</w:t>
            </w:r>
          </w:p>
        </w:tc>
        <w:tc>
          <w:tcPr>
            <w:tcW w:w="223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2.</w:t>
            </w:r>
            <w:r>
              <w:rPr>
                <w:rFonts w:hint="eastAsia" w:ascii="宋体" w:hAnsi="宋体" w:eastAsia="宋体" w:cs="宋体"/>
                <w:b w:val="0"/>
                <w:bCs w:val="0"/>
                <w:kern w:val="0"/>
                <w:sz w:val="21"/>
                <w:szCs w:val="21"/>
              </w:rPr>
              <w:t>过程</w:t>
            </w:r>
          </w:p>
        </w:tc>
        <w:tc>
          <w:tcPr>
            <w:tcW w:w="2127" w:type="dxa"/>
            <w:tcBorders>
              <w:top w:val="single" w:color="auto" w:sz="4" w:space="0"/>
              <w:left w:val="single" w:color="auto" w:sz="4" w:space="0"/>
              <w:bottom w:val="single" w:color="auto" w:sz="4" w:space="0"/>
              <w:right w:val="single" w:color="auto" w:sz="4" w:space="0"/>
            </w:tcBorders>
            <w:vAlign w:val="center"/>
          </w:tcPr>
          <w:p>
            <w:pPr>
              <w:pStyle w:val="23"/>
              <w:widowControl/>
              <w:spacing w:line="240" w:lineRule="auto"/>
              <w:ind w:left="0" w:leftChars="0" w:right="0" w:rightChars="0"/>
              <w:rPr>
                <w:rFonts w:hint="eastAsia" w:ascii="宋体" w:hAnsi="宋体" w:eastAsia="宋体" w:cs="宋体"/>
                <w:b w:val="0"/>
                <w:bCs w:val="0"/>
                <w:kern w:val="0"/>
                <w:sz w:val="21"/>
                <w:szCs w:val="21"/>
              </w:rPr>
            </w:pPr>
            <w:r>
              <w:rPr>
                <w:rFonts w:hint="eastAsia" w:ascii="宋体" w:hAnsi="宋体" w:eastAsia="宋体" w:cs="宋体"/>
                <w:b w:val="0"/>
                <w:bCs/>
                <w:color w:val="auto"/>
                <w:kern w:val="0"/>
                <w:sz w:val="21"/>
                <w:szCs w:val="21"/>
                <w:highlight w:val="none"/>
              </w:rPr>
              <w:t>20</w:t>
            </w:r>
          </w:p>
        </w:tc>
        <w:tc>
          <w:tcPr>
            <w:tcW w:w="206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17.44</w:t>
            </w:r>
          </w:p>
        </w:tc>
        <w:tc>
          <w:tcPr>
            <w:tcW w:w="223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87.20%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3.</w:t>
            </w:r>
            <w:r>
              <w:rPr>
                <w:rFonts w:hint="eastAsia" w:ascii="宋体" w:hAnsi="宋体" w:eastAsia="宋体" w:cs="宋体"/>
                <w:b w:val="0"/>
                <w:bCs w:val="0"/>
                <w:kern w:val="0"/>
                <w:sz w:val="21"/>
                <w:szCs w:val="21"/>
              </w:rPr>
              <w:t>产出</w:t>
            </w:r>
          </w:p>
        </w:tc>
        <w:tc>
          <w:tcPr>
            <w:tcW w:w="2127" w:type="dxa"/>
            <w:tcBorders>
              <w:top w:val="single" w:color="auto" w:sz="4" w:space="0"/>
              <w:left w:val="single" w:color="auto" w:sz="4" w:space="0"/>
              <w:bottom w:val="single" w:color="auto" w:sz="4" w:space="0"/>
              <w:right w:val="single" w:color="auto" w:sz="4" w:space="0"/>
            </w:tcBorders>
            <w:vAlign w:val="center"/>
          </w:tcPr>
          <w:p>
            <w:pPr>
              <w:pStyle w:val="23"/>
              <w:widowControl/>
              <w:spacing w:line="240" w:lineRule="auto"/>
              <w:ind w:left="0" w:leftChars="0" w:right="0" w:rightChars="0"/>
              <w:rPr>
                <w:rFonts w:hint="eastAsia" w:ascii="宋体" w:hAnsi="宋体" w:eastAsia="宋体" w:cs="宋体"/>
                <w:b w:val="0"/>
                <w:bCs w:val="0"/>
                <w:kern w:val="0"/>
                <w:sz w:val="21"/>
                <w:szCs w:val="21"/>
              </w:rPr>
            </w:pPr>
            <w:r>
              <w:rPr>
                <w:rFonts w:hint="eastAsia" w:ascii="宋体" w:hAnsi="宋体" w:eastAsia="宋体" w:cs="宋体"/>
                <w:b w:val="0"/>
                <w:bCs/>
                <w:color w:val="auto"/>
                <w:kern w:val="0"/>
                <w:sz w:val="21"/>
                <w:szCs w:val="21"/>
                <w:highlight w:val="none"/>
              </w:rPr>
              <w:t>30</w:t>
            </w:r>
          </w:p>
        </w:tc>
        <w:tc>
          <w:tcPr>
            <w:tcW w:w="206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25.40</w:t>
            </w:r>
          </w:p>
        </w:tc>
        <w:tc>
          <w:tcPr>
            <w:tcW w:w="223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84.67%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4.</w:t>
            </w:r>
            <w:r>
              <w:rPr>
                <w:rFonts w:hint="eastAsia" w:ascii="宋体" w:hAnsi="宋体" w:eastAsia="宋体" w:cs="宋体"/>
                <w:b w:val="0"/>
                <w:bCs w:val="0"/>
                <w:kern w:val="0"/>
                <w:sz w:val="21"/>
                <w:szCs w:val="21"/>
              </w:rPr>
              <w:t>效益</w:t>
            </w:r>
          </w:p>
        </w:tc>
        <w:tc>
          <w:tcPr>
            <w:tcW w:w="2127" w:type="dxa"/>
            <w:tcBorders>
              <w:top w:val="single" w:color="auto" w:sz="4" w:space="0"/>
              <w:left w:val="single" w:color="auto" w:sz="4" w:space="0"/>
              <w:bottom w:val="single" w:color="auto" w:sz="4" w:space="0"/>
              <w:right w:val="single" w:color="auto" w:sz="4" w:space="0"/>
            </w:tcBorders>
            <w:vAlign w:val="center"/>
          </w:tcPr>
          <w:p>
            <w:pPr>
              <w:pStyle w:val="23"/>
              <w:widowControl/>
              <w:spacing w:line="240" w:lineRule="auto"/>
              <w:ind w:left="0" w:leftChars="0" w:right="0" w:rightChars="0"/>
              <w:rPr>
                <w:rFonts w:hint="eastAsia" w:ascii="宋体" w:hAnsi="宋体" w:eastAsia="宋体" w:cs="宋体"/>
                <w:b w:val="0"/>
                <w:bCs w:val="0"/>
                <w:kern w:val="0"/>
                <w:sz w:val="21"/>
                <w:szCs w:val="21"/>
              </w:rPr>
            </w:pPr>
            <w:r>
              <w:rPr>
                <w:rFonts w:hint="eastAsia" w:ascii="宋体" w:hAnsi="宋体" w:eastAsia="宋体" w:cs="宋体"/>
                <w:b w:val="0"/>
                <w:bCs/>
                <w:color w:val="auto"/>
                <w:kern w:val="0"/>
                <w:sz w:val="21"/>
                <w:szCs w:val="21"/>
                <w:highlight w:val="none"/>
              </w:rPr>
              <w:t>40</w:t>
            </w:r>
          </w:p>
        </w:tc>
        <w:tc>
          <w:tcPr>
            <w:tcW w:w="206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34.10</w:t>
            </w:r>
          </w:p>
        </w:tc>
        <w:tc>
          <w:tcPr>
            <w:tcW w:w="223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85.25%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综合绩效</w:t>
            </w:r>
          </w:p>
        </w:tc>
        <w:tc>
          <w:tcPr>
            <w:tcW w:w="2127" w:type="dxa"/>
            <w:tcBorders>
              <w:top w:val="single" w:color="auto" w:sz="4" w:space="0"/>
              <w:left w:val="single" w:color="auto" w:sz="4" w:space="0"/>
              <w:bottom w:val="single" w:color="auto" w:sz="4" w:space="0"/>
              <w:right w:val="single" w:color="auto" w:sz="4" w:space="0"/>
            </w:tcBorders>
            <w:vAlign w:val="center"/>
          </w:tcPr>
          <w:p>
            <w:pPr>
              <w:pStyle w:val="23"/>
              <w:widowControl/>
              <w:spacing w:line="240" w:lineRule="auto"/>
              <w:ind w:left="0" w:leftChars="0" w:right="0" w:rightChars="0"/>
              <w:rPr>
                <w:rFonts w:hint="eastAsia" w:ascii="宋体" w:hAnsi="宋体" w:eastAsia="宋体" w:cs="宋体"/>
                <w:b w:val="0"/>
                <w:bCs w:val="0"/>
                <w:kern w:val="0"/>
                <w:sz w:val="21"/>
                <w:szCs w:val="21"/>
              </w:rPr>
            </w:pPr>
            <w:r>
              <w:rPr>
                <w:rFonts w:hint="eastAsia" w:ascii="宋体" w:hAnsi="宋体" w:eastAsia="宋体" w:cs="宋体"/>
                <w:b w:val="0"/>
                <w:bCs w:val="0"/>
                <w:color w:val="auto"/>
                <w:kern w:val="0"/>
                <w:sz w:val="21"/>
                <w:szCs w:val="21"/>
                <w:highlight w:val="none"/>
              </w:rPr>
              <w:t>100</w:t>
            </w:r>
          </w:p>
        </w:tc>
        <w:tc>
          <w:tcPr>
            <w:tcW w:w="206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86.94</w:t>
            </w:r>
          </w:p>
        </w:tc>
        <w:tc>
          <w:tcPr>
            <w:tcW w:w="2239"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widowControl/>
              <w:kinsoku/>
              <w:wordWrap/>
              <w:overflowPunct w:val="0"/>
              <w:topLinePunct/>
              <w:autoSpaceDE/>
              <w:autoSpaceDN/>
              <w:bidi w:val="0"/>
              <w:adjustRightInd/>
              <w:snapToGrid/>
              <w:spacing w:line="240" w:lineRule="auto"/>
              <w:ind w:firstLine="0" w:firstLine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color w:val="auto"/>
                <w:sz w:val="21"/>
                <w:szCs w:val="21"/>
                <w:highlight w:val="none"/>
              </w:rPr>
              <w:t>86.94%</w:t>
            </w:r>
          </w:p>
        </w:tc>
      </w:tr>
    </w:tbl>
    <w:p>
      <w:pPr>
        <w:pStyle w:val="15"/>
        <w:keepNext w:val="0"/>
        <w:keepLines w:val="0"/>
        <w:pageBreakBefore w:val="0"/>
        <w:kinsoku/>
        <w:wordWrap/>
        <w:overflowPunct/>
        <w:topLinePunct w:val="0"/>
        <w:autoSpaceDE/>
        <w:autoSpaceDN/>
        <w:bidi w:val="0"/>
        <w:spacing w:line="560" w:lineRule="exact"/>
        <w:outlineLvl w:val="9"/>
        <w:rPr>
          <w:rFonts w:hint="eastAsia" w:ascii="仿宋" w:hAnsi="仿宋" w:eastAsia="仿宋" w:cs="仿宋"/>
          <w:bCs/>
          <w:caps/>
          <w:sz w:val="32"/>
          <w:szCs w:val="32"/>
          <w:lang w:val="en-US" w:eastAsia="zh-CN"/>
        </w:rPr>
      </w:pPr>
      <w:r>
        <w:rPr>
          <w:rFonts w:hint="eastAsia" w:ascii="仿宋" w:hAnsi="仿宋" w:eastAsia="仿宋" w:cs="仿宋"/>
          <w:bCs/>
          <w:caps/>
          <w:sz w:val="32"/>
          <w:szCs w:val="32"/>
          <w:lang w:val="en-US" w:eastAsia="zh-CN"/>
        </w:rPr>
        <w:t>该项目为多年延续性项目，中央、山东省及菏泽市有完善的政策文件及实施方案支撑项目的实施。总体来看，该项目立项依据充分，目标明确，内容细化、合规；财务业务制度相对健全，制定了项目实施方案，项目的实施稳定和强化了基层动物防疫体系，建立健全动物疫病监测体系，提高了动物疫病防控能力，为菏泽市畜牧业高质量发展发挥积极作用。但该项目在资金投入、产出时效、生态效益及可持续影响等方面需要再优化完善。主要存在资金执行率低，村级防疫员工资补助及“先打后补”补助拨付不到位；村级防疫员配备数量、强制免疫“先打后补”及疫苗调拨使用等政策落实不彻底；病死畜禽收集不够及时；部分村级防疫员对空瓶和废弃疫苗未进行回收及无害化处理及项目管理制度不够合理细致等问题。</w:t>
      </w:r>
    </w:p>
    <w:p>
      <w:pPr>
        <w:pStyle w:val="15"/>
        <w:keepNext w:val="0"/>
        <w:keepLines w:val="0"/>
        <w:pageBreakBefore w:val="0"/>
        <w:kinsoku/>
        <w:wordWrap/>
        <w:overflowPunct/>
        <w:topLinePunct w:val="0"/>
        <w:autoSpaceDE/>
        <w:autoSpaceDN/>
        <w:bidi w:val="0"/>
        <w:spacing w:line="560" w:lineRule="exact"/>
        <w:outlineLvl w:val="9"/>
        <w:rPr>
          <w:rFonts w:hint="eastAsia" w:ascii="仿宋" w:hAnsi="仿宋" w:eastAsia="仿宋" w:cs="仿宋"/>
          <w:bCs/>
          <w:caps/>
          <w:sz w:val="32"/>
          <w:szCs w:val="32"/>
          <w:lang w:val="en-US" w:eastAsia="zh-CN"/>
        </w:rPr>
      </w:pPr>
      <w:r>
        <w:rPr>
          <w:rFonts w:hint="eastAsia" w:ascii="仿宋" w:hAnsi="仿宋" w:eastAsia="仿宋" w:cs="仿宋"/>
          <w:bCs/>
          <w:caps/>
          <w:sz w:val="32"/>
          <w:szCs w:val="32"/>
          <w:lang w:val="en-US" w:eastAsia="zh-CN"/>
        </w:rPr>
        <w:t>本项目安排预算资金9,255.9万元，经综合评价，该项目没有超预算补贴情况，各项成本总体控制较好。</w:t>
      </w:r>
    </w:p>
    <w:p>
      <w:pPr>
        <w:pStyle w:val="15"/>
        <w:keepNext w:val="0"/>
        <w:keepLines w:val="0"/>
        <w:pageBreakBefore w:val="0"/>
        <w:kinsoku/>
        <w:wordWrap/>
        <w:overflowPunct/>
        <w:topLinePunct w:val="0"/>
        <w:autoSpaceDE/>
        <w:autoSpaceDN/>
        <w:bidi w:val="0"/>
        <w:spacing w:line="560" w:lineRule="exact"/>
        <w:jc w:val="both"/>
        <w:outlineLvl w:val="9"/>
        <w:rPr>
          <w:rFonts w:hint="eastAsia" w:ascii="仿宋" w:hAnsi="仿宋" w:eastAsia="仿宋" w:cs="仿宋"/>
          <w:bCs/>
          <w:caps/>
          <w:sz w:val="32"/>
          <w:szCs w:val="32"/>
          <w:lang w:val="en-US" w:eastAsia="zh-CN"/>
        </w:rPr>
      </w:pPr>
      <w:r>
        <w:rPr>
          <w:rFonts w:hint="eastAsia" w:ascii="仿宋" w:hAnsi="仿宋" w:eastAsia="仿宋" w:cs="仿宋"/>
          <w:bCs/>
          <w:caps/>
          <w:sz w:val="32"/>
          <w:szCs w:val="32"/>
          <w:lang w:val="en-US" w:eastAsia="zh-CN"/>
        </w:rPr>
        <w:t>一是完成688名村级防疫员补助，村级防疫员年人均工资1.86万元，没有超预算补助现象，补贴成本控制较好。</w:t>
      </w:r>
    </w:p>
    <w:p>
      <w:pPr>
        <w:pStyle w:val="15"/>
        <w:keepNext w:val="0"/>
        <w:keepLines w:val="0"/>
        <w:pageBreakBefore w:val="0"/>
        <w:kinsoku/>
        <w:wordWrap/>
        <w:overflowPunct/>
        <w:topLinePunct w:val="0"/>
        <w:autoSpaceDE/>
        <w:autoSpaceDN/>
        <w:bidi w:val="0"/>
        <w:spacing w:line="560" w:lineRule="exact"/>
        <w:jc w:val="both"/>
        <w:outlineLvl w:val="9"/>
        <w:rPr>
          <w:rFonts w:hint="eastAsia" w:ascii="仿宋" w:hAnsi="仿宋" w:eastAsia="仿宋" w:cs="仿宋"/>
          <w:bCs/>
          <w:caps/>
          <w:sz w:val="32"/>
          <w:szCs w:val="32"/>
          <w:lang w:val="en-US" w:eastAsia="zh-CN"/>
        </w:rPr>
      </w:pPr>
      <w:r>
        <w:rPr>
          <w:rFonts w:hint="eastAsia" w:ascii="仿宋" w:hAnsi="仿宋" w:eastAsia="仿宋" w:cs="仿宋"/>
          <w:bCs/>
          <w:caps/>
          <w:sz w:val="32"/>
          <w:szCs w:val="32"/>
          <w:lang w:val="en-US" w:eastAsia="zh-CN"/>
        </w:rPr>
        <w:t>二是村级防疫员的配备成本测算不精准。《菏泽市人民政府办公室关于〈改革和完善村级动物防疫员管理制度〉的通知》（菏政办字〔2019〕44号）要求，村级防疫员人数的标准为原则上每10个左右行政村设立1名村级防疫员，根据各县区提供的2022年村级防疫员负责片区明细表统计，2022年菏泽市应配置485名村级防疫员。</w:t>
      </w:r>
    </w:p>
    <w:p>
      <w:pPr>
        <w:pStyle w:val="15"/>
        <w:keepNext w:val="0"/>
        <w:keepLines w:val="0"/>
        <w:pageBreakBefore w:val="0"/>
        <w:kinsoku/>
        <w:wordWrap/>
        <w:overflowPunct/>
        <w:topLinePunct w:val="0"/>
        <w:autoSpaceDE/>
        <w:autoSpaceDN/>
        <w:bidi w:val="0"/>
        <w:spacing w:line="560" w:lineRule="exact"/>
        <w:jc w:val="both"/>
        <w:outlineLvl w:val="9"/>
        <w:rPr>
          <w:rFonts w:hint="eastAsia" w:ascii="仿宋" w:hAnsi="仿宋" w:eastAsia="仿宋" w:cs="仿宋"/>
          <w:bCs/>
          <w:caps/>
          <w:sz w:val="32"/>
          <w:szCs w:val="32"/>
          <w:lang w:val="en-US" w:eastAsia="zh-CN"/>
        </w:rPr>
      </w:pPr>
      <w:r>
        <w:rPr>
          <w:rFonts w:hint="eastAsia" w:ascii="仿宋" w:hAnsi="仿宋" w:eastAsia="仿宋" w:cs="仿宋"/>
          <w:bCs/>
          <w:caps/>
          <w:sz w:val="32"/>
          <w:szCs w:val="32"/>
          <w:lang w:val="en-US" w:eastAsia="zh-CN"/>
        </w:rPr>
        <w:t>三是强制免疫疫苗均为省级供应，完成高致病性禽流感疫苗约3860万毫升、牲畜口蹄疫疫苗约840万毫升、小反刍兽疫疫苗约220万头份、布病疫苗约60万头份的强制免疫注射工作，疫苗支出成本和补贴成本控制较好。</w:t>
      </w:r>
    </w:p>
    <w:p>
      <w:pPr>
        <w:pStyle w:val="15"/>
        <w:keepNext w:val="0"/>
        <w:keepLines w:val="0"/>
        <w:pageBreakBefore w:val="0"/>
        <w:widowControl w:val="0"/>
        <w:kinsoku/>
        <w:wordWrap/>
        <w:overflowPunct/>
        <w:topLinePunct w:val="0"/>
        <w:autoSpaceDE/>
        <w:autoSpaceDN/>
        <w:bidi w:val="0"/>
        <w:spacing w:line="600" w:lineRule="exact"/>
        <w:ind w:firstLine="640" w:firstLineChars="200"/>
        <w:jc w:val="both"/>
        <w:textAlignment w:val="auto"/>
        <w:outlineLvl w:val="9"/>
        <w:rPr>
          <w:rFonts w:hint="eastAsia" w:ascii="仿宋" w:hAnsi="仿宋" w:eastAsia="仿宋" w:cs="仿宋"/>
          <w:bCs/>
          <w:caps/>
          <w:sz w:val="32"/>
          <w:szCs w:val="32"/>
          <w:lang w:val="en-US" w:eastAsia="zh-CN"/>
        </w:rPr>
      </w:pPr>
      <w:r>
        <w:rPr>
          <w:rFonts w:hint="eastAsia" w:ascii="仿宋" w:hAnsi="仿宋" w:eastAsia="仿宋" w:cs="仿宋"/>
          <w:bCs/>
          <w:caps/>
          <w:sz w:val="32"/>
          <w:szCs w:val="32"/>
          <w:lang w:val="en-US" w:eastAsia="zh-CN"/>
        </w:rPr>
        <w:t>四是对9个无害化处理厂按照相关规定及补助标准进行分档病死畜禽财政补贴，没有超预算补贴情况。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四、项目主要绩效、存在问题及原因分析</w:t>
      </w:r>
    </w:p>
    <w:p>
      <w:pPr>
        <w:pStyle w:val="15"/>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（一）项目主要绩效</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val="0"/>
          <w:sz w:val="32"/>
          <w:szCs w:val="32"/>
          <w:lang w:val="en-US" w:eastAsia="zh-CN"/>
        </w:rPr>
      </w:pPr>
      <w:bookmarkStart w:id="1" w:name="_Toc22613"/>
      <w:bookmarkStart w:id="2" w:name="_Toc28480"/>
      <w:bookmarkStart w:id="3" w:name="_Toc7447"/>
      <w:bookmarkStart w:id="4" w:name="_Toc12509"/>
      <w:bookmarkStart w:id="5" w:name="_Toc10496"/>
      <w:bookmarkStart w:id="6" w:name="_Toc25416"/>
      <w:bookmarkStart w:id="7" w:name="_Toc23122"/>
      <w:bookmarkStart w:id="8" w:name="_Toc1908"/>
      <w:r>
        <w:rPr>
          <w:rFonts w:hint="eastAsia" w:ascii="仿宋" w:hAnsi="仿宋" w:eastAsia="仿宋" w:cs="仿宋"/>
          <w:b/>
          <w:bCs w:val="0"/>
          <w:sz w:val="32"/>
          <w:szCs w:val="32"/>
          <w:lang w:val="en-US" w:eastAsia="zh-CN"/>
        </w:rPr>
        <w:t>1.扎实推进，</w:t>
      </w:r>
      <w:bookmarkEnd w:id="1"/>
      <w:bookmarkEnd w:id="2"/>
      <w:bookmarkEnd w:id="3"/>
      <w:bookmarkEnd w:id="4"/>
      <w:r>
        <w:rPr>
          <w:rFonts w:hint="eastAsia" w:ascii="仿宋" w:hAnsi="仿宋" w:eastAsia="仿宋" w:cs="仿宋"/>
          <w:b/>
          <w:bCs w:val="0"/>
          <w:sz w:val="32"/>
          <w:szCs w:val="32"/>
          <w:lang w:val="en-US" w:eastAsia="zh-CN"/>
        </w:rPr>
        <w:t>全市畜禽疫病防控取得阶段性成效</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bCs/>
          <w:sz w:val="32"/>
          <w:szCs w:val="32"/>
          <w:lang w:val="en-US" w:eastAsia="zh-CN"/>
        </w:rPr>
      </w:pPr>
      <w:bookmarkStart w:id="9" w:name="_Toc24418"/>
      <w:bookmarkStart w:id="10" w:name="_Toc24545"/>
      <w:bookmarkStart w:id="11" w:name="_Toc19830"/>
      <w:bookmarkStart w:id="12" w:name="_Toc3260"/>
      <w:r>
        <w:rPr>
          <w:rFonts w:hint="eastAsia" w:ascii="仿宋" w:hAnsi="仿宋" w:eastAsia="仿宋" w:cs="仿宋"/>
          <w:bCs/>
          <w:sz w:val="32"/>
          <w:szCs w:val="32"/>
          <w:lang w:val="en-US" w:eastAsia="zh-CN"/>
        </w:rPr>
        <w:t>从全市、各县区的实际情况来看，畜禽主要防治病种平均免疫密度、抗体合格率都处于较高水平，各类禽畜群体免疫密度常年维持在90%以上，近10年来未发生过重大动物疫情，通过实施2022年度动物防疫资金项目，菏泽市动物疫病防控工作取得了阶段性成效。各县区畜牧服务中心高度重视春防、秋防工作，积极推动规模化养殖与“无疫区”建设，支持畜牧业发展。</w:t>
      </w:r>
    </w:p>
    <w:bookmarkEnd w:id="9"/>
    <w:bookmarkEnd w:id="10"/>
    <w:bookmarkEnd w:id="11"/>
    <w:bookmarkEnd w:id="12"/>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2.强化绿色，无害化处理范围与水平不断提升</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bCs/>
          <w:sz w:val="32"/>
          <w:szCs w:val="32"/>
          <w:lang w:val="en-US" w:eastAsia="zh-CN"/>
        </w:rPr>
      </w:pPr>
      <w:bookmarkStart w:id="13" w:name="_Hlk150614654"/>
      <w:r>
        <w:rPr>
          <w:rFonts w:hint="eastAsia" w:ascii="仿宋" w:hAnsi="仿宋" w:eastAsia="仿宋" w:cs="仿宋"/>
          <w:bCs/>
          <w:sz w:val="32"/>
          <w:szCs w:val="32"/>
          <w:lang w:val="en-US" w:eastAsia="zh-CN"/>
        </w:rPr>
        <w:t>菏泽市实现了无害化处理厂全覆盖，</w:t>
      </w:r>
      <w:bookmarkEnd w:id="13"/>
      <w:r>
        <w:rPr>
          <w:rFonts w:hint="eastAsia" w:ascii="仿宋" w:hAnsi="仿宋" w:eastAsia="仿宋" w:cs="仿宋"/>
          <w:bCs/>
          <w:sz w:val="32"/>
          <w:szCs w:val="32"/>
          <w:lang w:val="en-US" w:eastAsia="zh-CN"/>
        </w:rPr>
        <w:t>并且通过无害化处理补助、动物养殖保险等制度措施，有效的提升了养殖场户无害化处理的积极性和主动性，提高了养殖场户对病死畜禽无害化处理的接受度，也使养殖户对病死畜禽、毛皮动物胴体等无害化处理的意义有了明确的认识，继而更加注重养殖环境的保护。</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val="0"/>
          <w:sz w:val="32"/>
          <w:szCs w:val="32"/>
          <w:lang w:val="en-US" w:eastAsia="zh-CN"/>
        </w:rPr>
      </w:pPr>
      <w:bookmarkStart w:id="14" w:name="_Toc17016"/>
      <w:bookmarkStart w:id="15" w:name="_Toc26670"/>
      <w:bookmarkStart w:id="16" w:name="_Toc5990"/>
      <w:bookmarkStart w:id="17" w:name="_Toc30418"/>
      <w:r>
        <w:rPr>
          <w:rFonts w:hint="eastAsia" w:ascii="仿宋" w:hAnsi="仿宋" w:eastAsia="仿宋" w:cs="仿宋"/>
          <w:b/>
          <w:bCs w:val="0"/>
          <w:sz w:val="32"/>
          <w:szCs w:val="32"/>
          <w:lang w:val="en-US" w:eastAsia="zh-CN"/>
        </w:rPr>
        <w:t>3.双管齐下，数字监管助推无害化处理工作</w:t>
      </w:r>
      <w:bookmarkEnd w:id="14"/>
      <w:bookmarkEnd w:id="15"/>
      <w:bookmarkEnd w:id="16"/>
      <w:bookmarkEnd w:id="17"/>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bCs/>
          <w:sz w:val="32"/>
          <w:szCs w:val="32"/>
          <w:lang w:val="en-US" w:eastAsia="zh-CN"/>
        </w:rPr>
      </w:pPr>
      <w:bookmarkStart w:id="18" w:name="_Toc27380"/>
      <w:r>
        <w:rPr>
          <w:rFonts w:hint="eastAsia" w:ascii="仿宋" w:hAnsi="仿宋" w:eastAsia="仿宋" w:cs="仿宋"/>
          <w:bCs/>
          <w:sz w:val="32"/>
          <w:szCs w:val="32"/>
          <w:lang w:val="en-US" w:eastAsia="zh-CN"/>
        </w:rPr>
        <w:t>在无害化处理方面，菏泽市采用“制度+技术”双管齐下方式，建立起较为完善的畜禽无害化处理监管体系。在制度层面，菏泽市在无害化处理规划体系、财政补助、监督管理等方面出台了一系列文件；在技术层面，菏泽市建立了市、县、乡（街道）三级监控体系，形成了较为完善的监管模式，实现了从暂存、收集、运输、处理和产品流向的全程可控、可追溯。</w:t>
      </w:r>
      <w:bookmarkEnd w:id="5"/>
      <w:bookmarkEnd w:id="6"/>
      <w:bookmarkEnd w:id="7"/>
      <w:bookmarkEnd w:id="8"/>
      <w:bookmarkEnd w:id="18"/>
      <w:r>
        <w:rPr>
          <w:rFonts w:hint="eastAsia" w:ascii="仿宋" w:hAnsi="仿宋" w:eastAsia="仿宋" w:cs="仿宋"/>
          <w:bCs/>
          <w:sz w:val="32"/>
          <w:szCs w:val="32"/>
          <w:lang w:val="en-US" w:eastAsia="zh-CN"/>
        </w:rPr>
        <w:t>这种管理模式既有助于无害化处理厂提高管理效率，也有助于提高补助资金的使用效益。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bCs/>
          <w:sz w:val="32"/>
          <w:szCs w:val="32"/>
          <w:lang w:val="en-US" w:eastAsia="zh-CN"/>
        </w:rPr>
        <w:t>（二）存在问题及原因分析</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val="0"/>
          <w:sz w:val="32"/>
          <w:szCs w:val="32"/>
          <w:lang w:val="en-US" w:eastAsia="zh-CN"/>
        </w:rPr>
      </w:pPr>
      <w:bookmarkStart w:id="19" w:name="_Toc8326"/>
      <w:bookmarkStart w:id="20" w:name="_Toc17567"/>
      <w:bookmarkStart w:id="21" w:name="_Toc29191"/>
      <w:r>
        <w:rPr>
          <w:rFonts w:hint="eastAsia" w:ascii="仿宋" w:hAnsi="仿宋" w:eastAsia="仿宋" w:cs="仿宋"/>
          <w:b/>
          <w:bCs w:val="0"/>
          <w:sz w:val="32"/>
          <w:szCs w:val="32"/>
          <w:lang w:val="en-US" w:eastAsia="zh-CN"/>
        </w:rPr>
        <w:t>1.村级防疫员聘用规模</w:t>
      </w:r>
      <w:bookmarkEnd w:id="19"/>
      <w:bookmarkEnd w:id="20"/>
      <w:bookmarkEnd w:id="21"/>
      <w:r>
        <w:rPr>
          <w:rFonts w:hint="eastAsia" w:ascii="仿宋" w:hAnsi="仿宋" w:eastAsia="仿宋" w:cs="仿宋"/>
          <w:b/>
          <w:bCs w:val="0"/>
          <w:sz w:val="32"/>
          <w:szCs w:val="32"/>
          <w:lang w:val="en-US" w:eastAsia="zh-CN"/>
        </w:rPr>
        <w:t>测算不够准确</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菏泽市人民政府办公室关于〈改革和完善村级动物防疫员管理制度〉的通知》（菏政办字〔2019〕44号）要求，村级防疫员人数的标准为原则上每10个左右行政村设立1名村级防疫员。2022年，菏泽市实有行政村（网格化管理片区）数量为4815个，共配置688名村级防疫员。同时，随着菏泽市美丽宜居乡村建设的不断推进，菏泽市行政村数量在逐年递减。而项目主管部门并未考虑这一因素，适时精简村级防疫员的聘用数量，成本控制不严格。</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2.“先打后补”补助申请比例不足四成</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根据文件规定，在全菏泽市所有规模养殖场推行强制免疫“先打后补”。经实地调查发现，政策落实不彻底，2022年参加“先打后补”的养殖场户仅占规模以上养殖场户的36.7%。</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val="0"/>
          <w:sz w:val="32"/>
          <w:szCs w:val="32"/>
          <w:lang w:val="en-US" w:eastAsia="zh-CN"/>
        </w:rPr>
      </w:pPr>
      <w:r>
        <w:rPr>
          <w:rFonts w:hint="eastAsia" w:ascii="仿宋" w:hAnsi="仿宋" w:eastAsia="仿宋" w:cs="仿宋"/>
          <w:b/>
          <w:bCs w:val="0"/>
          <w:sz w:val="32"/>
          <w:szCs w:val="32"/>
          <w:lang w:val="en-US" w:eastAsia="zh-CN"/>
        </w:rPr>
        <w:t>3.部分空瓶和废弃疫苗未进行无害化处理</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在访谈与问卷调查中发现，动物防疫过程中，部分村级防疫员因为空瓶数量或者开封后未使用完的残留疫苗数量较少，将疫苗空瓶、残留疫苗随意丢弃，存在污染隐患。</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val="0"/>
          <w:sz w:val="32"/>
          <w:szCs w:val="32"/>
          <w:lang w:val="en-US" w:eastAsia="zh-CN"/>
        </w:rPr>
      </w:pPr>
      <w:bookmarkStart w:id="22" w:name="_Toc26284"/>
      <w:bookmarkStart w:id="23" w:name="_Toc13362"/>
      <w:bookmarkStart w:id="24" w:name="_Toc30698"/>
      <w:bookmarkStart w:id="25" w:name="_Toc27140"/>
      <w:bookmarkStart w:id="26" w:name="_Toc18144"/>
      <w:bookmarkStart w:id="27" w:name="_Toc28332"/>
      <w:bookmarkStart w:id="28" w:name="_Toc1986"/>
      <w:bookmarkStart w:id="29" w:name="_Toc32209"/>
      <w:r>
        <w:rPr>
          <w:rFonts w:hint="eastAsia" w:ascii="仿宋" w:hAnsi="仿宋" w:eastAsia="仿宋" w:cs="仿宋"/>
          <w:b/>
          <w:bCs w:val="0"/>
          <w:sz w:val="32"/>
          <w:szCs w:val="32"/>
          <w:lang w:val="en-US" w:eastAsia="zh-CN"/>
        </w:rPr>
        <w:t>4.部分无害化处理厂消毒管理不够规范</w:t>
      </w:r>
      <w:bookmarkEnd w:id="22"/>
      <w:bookmarkEnd w:id="23"/>
      <w:bookmarkEnd w:id="24"/>
      <w:bookmarkEnd w:id="25"/>
      <w:bookmarkEnd w:id="26"/>
      <w:bookmarkEnd w:id="27"/>
      <w:bookmarkEnd w:id="28"/>
      <w:bookmarkEnd w:id="29"/>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在与无害化处理厂管理层的访谈和查阅消毒台账中发现，大部分县区的无害化处理车间与当天有收集任务的无害化收集车辆做到了每天消毒；但部分县区的无害化处理车间并不是每天消毒，有造成交叉感染的风险；并且部分县区长时间使用单一药剂进行消毒，存在病原体产生耐药性导致消毒效果不佳的隐患。</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仿宋" w:hAnsi="仿宋" w:eastAsia="仿宋" w:cs="仿宋"/>
          <w:b/>
          <w:bCs w:val="0"/>
          <w:sz w:val="32"/>
          <w:szCs w:val="32"/>
          <w:lang w:val="en-US" w:eastAsia="zh-CN"/>
        </w:rPr>
      </w:pPr>
      <w:bookmarkStart w:id="30" w:name="_Toc27738"/>
      <w:bookmarkStart w:id="31" w:name="_Toc31329"/>
      <w:bookmarkStart w:id="32" w:name="_Toc19169"/>
      <w:bookmarkStart w:id="33" w:name="_Toc2880"/>
      <w:bookmarkStart w:id="34" w:name="_Toc21048"/>
      <w:bookmarkStart w:id="35" w:name="_Toc26298"/>
      <w:bookmarkStart w:id="36" w:name="_Toc32190"/>
      <w:bookmarkStart w:id="37" w:name="_Toc4131"/>
      <w:r>
        <w:rPr>
          <w:rFonts w:hint="eastAsia" w:ascii="仿宋" w:hAnsi="仿宋" w:eastAsia="仿宋" w:cs="仿宋"/>
          <w:b/>
          <w:bCs w:val="0"/>
          <w:sz w:val="32"/>
          <w:szCs w:val="32"/>
          <w:lang w:val="en-US" w:eastAsia="zh-CN"/>
        </w:rPr>
        <w:t>5.无害化处理与保险联动机制不够</w:t>
      </w:r>
      <w:bookmarkEnd w:id="30"/>
      <w:bookmarkEnd w:id="31"/>
      <w:bookmarkEnd w:id="32"/>
      <w:bookmarkEnd w:id="33"/>
      <w:bookmarkEnd w:id="34"/>
      <w:bookmarkEnd w:id="35"/>
      <w:bookmarkEnd w:id="36"/>
      <w:bookmarkEnd w:id="37"/>
      <w:r>
        <w:rPr>
          <w:rFonts w:hint="eastAsia" w:ascii="仿宋" w:hAnsi="仿宋" w:eastAsia="仿宋" w:cs="仿宋"/>
          <w:b/>
          <w:bCs w:val="0"/>
          <w:sz w:val="32"/>
          <w:szCs w:val="32"/>
          <w:lang w:val="en-US" w:eastAsia="zh-CN"/>
        </w:rPr>
        <w:t>健全</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bCs/>
          <w:sz w:val="32"/>
          <w:szCs w:val="32"/>
          <w:lang w:val="en-US" w:eastAsia="zh-CN"/>
        </w:rPr>
      </w:pPr>
      <w:bookmarkStart w:id="38" w:name="_Toc25099"/>
      <w:r>
        <w:rPr>
          <w:rFonts w:hint="eastAsia" w:ascii="仿宋" w:hAnsi="仿宋" w:eastAsia="仿宋" w:cs="仿宋"/>
          <w:bCs/>
          <w:sz w:val="32"/>
          <w:szCs w:val="32"/>
          <w:lang w:val="en-US" w:eastAsia="zh-CN"/>
        </w:rPr>
        <w:t>目前大部分县区只有病死猪无害化处理与保险联动机制，其他病死动物不在范围内，出现了其他畜种的</w:t>
      </w:r>
      <w:bookmarkStart w:id="39" w:name="_GoBack"/>
      <w:bookmarkEnd w:id="39"/>
      <w:r>
        <w:rPr>
          <w:rFonts w:hint="eastAsia" w:ascii="仿宋" w:hAnsi="仿宋" w:eastAsia="仿宋" w:cs="仿宋"/>
          <w:bCs/>
          <w:sz w:val="32"/>
          <w:szCs w:val="32"/>
          <w:lang w:val="en-US" w:eastAsia="zh-CN"/>
        </w:rPr>
        <w:t>无害化处理量较少的情况。</w:t>
      </w:r>
      <w:bookmarkEnd w:id="38"/>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五、有关建议</w:t>
      </w:r>
    </w:p>
    <w:p>
      <w:pPr>
        <w:keepNext w:val="0"/>
        <w:keepLines w:val="0"/>
        <w:pageBreakBefore w:val="0"/>
        <w:kinsoku/>
        <w:overflowPunct w:val="0"/>
        <w:topLinePunct/>
        <w:autoSpaceDN/>
        <w:bidi w:val="0"/>
        <w:adjustRightInd/>
        <w:snapToGrid/>
        <w:spacing w:line="580" w:lineRule="exact"/>
        <w:ind w:firstLine="640" w:firstLineChars="200"/>
        <w:jc w:val="both"/>
        <w:outlineLvl w:val="9"/>
        <w:rPr>
          <w:rFonts w:ascii="楷体" w:hAnsi="楷体" w:eastAsia="楷体" w:cs="楷体"/>
          <w:b/>
          <w:bCs/>
          <w:color w:val="auto"/>
          <w:kern w:val="0"/>
          <w:sz w:val="32"/>
          <w:szCs w:val="32"/>
          <w:highlight w:val="none"/>
        </w:rPr>
      </w:pPr>
      <w:r>
        <w:rPr>
          <w:rFonts w:ascii="楷体" w:hAnsi="楷体" w:eastAsia="楷体" w:cs="楷体"/>
          <w:color w:val="auto"/>
          <w:kern w:val="0"/>
          <w:sz w:val="32"/>
          <w:szCs w:val="32"/>
          <w:highlight w:val="none"/>
          <w:lang w:bidi="ar"/>
        </w:rPr>
        <w:t>（一）多措并举，</w:t>
      </w:r>
      <w:r>
        <w:rPr>
          <w:rFonts w:hint="eastAsia" w:ascii="楷体" w:hAnsi="楷体" w:eastAsia="楷体" w:cs="楷体"/>
          <w:color w:val="auto"/>
          <w:kern w:val="0"/>
          <w:sz w:val="32"/>
          <w:szCs w:val="32"/>
          <w:highlight w:val="none"/>
          <w:lang w:bidi="ar"/>
        </w:rPr>
        <w:t>积极推进村级防疫员管理改革</w:t>
      </w:r>
    </w:p>
    <w:p>
      <w:pPr>
        <w:keepNext w:val="0"/>
        <w:keepLines w:val="0"/>
        <w:pageBreakBefore w:val="0"/>
        <w:kinsoku/>
        <w:overflowPunct w:val="0"/>
        <w:topLinePunct/>
        <w:autoSpaceDN/>
        <w:bidi w:val="0"/>
        <w:adjustRightInd/>
        <w:snapToGrid/>
        <w:spacing w:line="580" w:lineRule="exact"/>
        <w:ind w:firstLine="640" w:firstLineChars="200"/>
        <w:jc w:val="both"/>
        <w:outlineLvl w:val="9"/>
        <w:rPr>
          <w:rFonts w:ascii="仿宋" w:hAnsi="仿宋" w:eastAsia="仿宋" w:cs="仿宋"/>
          <w:color w:val="auto"/>
          <w:sz w:val="32"/>
          <w:szCs w:val="32"/>
          <w:highlight w:val="none"/>
          <w:lang w:bidi="ar"/>
        </w:rPr>
      </w:pPr>
      <w:r>
        <w:rPr>
          <w:rFonts w:ascii="仿宋" w:hAnsi="仿宋" w:eastAsia="仿宋" w:cs="仿宋"/>
          <w:color w:val="auto"/>
          <w:sz w:val="32"/>
          <w:szCs w:val="32"/>
          <w:highlight w:val="none"/>
          <w:lang w:bidi="ar"/>
        </w:rPr>
        <w:t>为夯实基层动物防疫工作基础</w:t>
      </w:r>
      <w:r>
        <w:rPr>
          <w:rFonts w:hint="eastAsia" w:ascii="仿宋" w:hAnsi="仿宋" w:eastAsia="仿宋" w:cs="仿宋"/>
          <w:color w:val="auto"/>
          <w:sz w:val="32"/>
          <w:szCs w:val="32"/>
          <w:highlight w:val="none"/>
          <w:lang w:eastAsia="zh-CN" w:bidi="ar"/>
        </w:rPr>
        <w:t>，</w:t>
      </w:r>
      <w:r>
        <w:rPr>
          <w:rFonts w:ascii="仿宋" w:hAnsi="仿宋" w:eastAsia="仿宋" w:cs="仿宋"/>
          <w:color w:val="auto"/>
          <w:sz w:val="32"/>
          <w:szCs w:val="32"/>
          <w:highlight w:val="none"/>
          <w:lang w:bidi="ar"/>
        </w:rPr>
        <w:t>促进</w:t>
      </w:r>
      <w:r>
        <w:rPr>
          <w:rFonts w:hint="eastAsia" w:ascii="仿宋" w:hAnsi="仿宋" w:eastAsia="仿宋" w:cs="仿宋"/>
          <w:color w:val="auto"/>
          <w:sz w:val="32"/>
          <w:szCs w:val="32"/>
          <w:highlight w:val="none"/>
          <w:lang w:bidi="ar"/>
        </w:rPr>
        <w:t>菏泽市</w:t>
      </w:r>
      <w:r>
        <w:rPr>
          <w:rFonts w:ascii="仿宋" w:hAnsi="仿宋" w:eastAsia="仿宋" w:cs="仿宋"/>
          <w:color w:val="auto"/>
          <w:sz w:val="32"/>
          <w:szCs w:val="32"/>
          <w:highlight w:val="none"/>
          <w:lang w:bidi="ar"/>
        </w:rPr>
        <w:t>畜牧业稳定健康发展</w:t>
      </w:r>
      <w:r>
        <w:rPr>
          <w:rFonts w:hint="eastAsia" w:ascii="仿宋" w:hAnsi="仿宋" w:eastAsia="仿宋" w:cs="仿宋"/>
          <w:color w:val="auto"/>
          <w:sz w:val="32"/>
          <w:szCs w:val="32"/>
          <w:highlight w:val="none"/>
          <w:lang w:eastAsia="zh-CN" w:bidi="ar"/>
        </w:rPr>
        <w:t>，</w:t>
      </w:r>
      <w:r>
        <w:rPr>
          <w:rFonts w:hint="eastAsia" w:ascii="仿宋" w:hAnsi="仿宋" w:eastAsia="仿宋" w:cs="仿宋"/>
          <w:color w:val="auto"/>
          <w:sz w:val="32"/>
          <w:szCs w:val="32"/>
          <w:highlight w:val="none"/>
          <w:lang w:bidi="ar"/>
        </w:rPr>
        <w:t>建议：</w:t>
      </w:r>
    </w:p>
    <w:p>
      <w:pPr>
        <w:keepNext w:val="0"/>
        <w:keepLines w:val="0"/>
        <w:pageBreakBefore w:val="0"/>
        <w:kinsoku/>
        <w:overflowPunct w:val="0"/>
        <w:topLinePunct/>
        <w:autoSpaceDN/>
        <w:bidi w:val="0"/>
        <w:adjustRightInd/>
        <w:snapToGrid/>
        <w:spacing w:line="580" w:lineRule="exact"/>
        <w:ind w:firstLine="643" w:firstLineChars="200"/>
        <w:jc w:val="both"/>
        <w:outlineLvl w:val="9"/>
        <w:rPr>
          <w:rFonts w:ascii="仿宋" w:hAnsi="仿宋" w:eastAsia="仿宋" w:cs="仿宋"/>
          <w:color w:val="auto"/>
          <w:kern w:val="0"/>
          <w:sz w:val="32"/>
          <w:szCs w:val="32"/>
          <w:highlight w:val="none"/>
          <w:lang w:bidi="ar"/>
        </w:rPr>
      </w:pPr>
      <w:r>
        <w:rPr>
          <w:rFonts w:hint="eastAsia" w:ascii="仿宋" w:hAnsi="仿宋" w:eastAsia="仿宋" w:cs="仿宋"/>
          <w:b/>
          <w:bCs/>
          <w:color w:val="auto"/>
          <w:kern w:val="0"/>
          <w:sz w:val="32"/>
          <w:szCs w:val="32"/>
          <w:highlight w:val="none"/>
          <w:lang w:bidi="ar"/>
        </w:rPr>
        <w:t>一是开展村级动物防疫员政策绩效评价。</w:t>
      </w:r>
      <w:r>
        <w:rPr>
          <w:rFonts w:hint="eastAsia" w:ascii="仿宋" w:hAnsi="仿宋" w:eastAsia="仿宋" w:cs="仿宋"/>
          <w:color w:val="auto"/>
          <w:kern w:val="0"/>
          <w:sz w:val="32"/>
          <w:szCs w:val="32"/>
          <w:highlight w:val="none"/>
          <w:lang w:bidi="ar"/>
        </w:rPr>
        <w:t>以五年为一个周期，对村级动物防疫员政策绩效进行综合判断与评价，为该政策的延续、终止或重新制定提供依据。</w:t>
      </w:r>
    </w:p>
    <w:p>
      <w:pPr>
        <w:keepNext w:val="0"/>
        <w:keepLines w:val="0"/>
        <w:pageBreakBefore w:val="0"/>
        <w:kinsoku/>
        <w:overflowPunct w:val="0"/>
        <w:topLinePunct/>
        <w:autoSpaceDN/>
        <w:bidi w:val="0"/>
        <w:adjustRightInd/>
        <w:snapToGrid/>
        <w:spacing w:line="580" w:lineRule="exact"/>
        <w:ind w:firstLine="643" w:firstLineChars="200"/>
        <w:jc w:val="both"/>
        <w:outlineLvl w:val="9"/>
        <w:rPr>
          <w:rFonts w:hint="eastAsia" w:ascii="仿宋" w:hAnsi="仿宋" w:eastAsia="仿宋" w:cs="仿宋"/>
          <w:color w:val="auto"/>
          <w:sz w:val="32"/>
          <w:szCs w:val="32"/>
          <w:highlight w:val="none"/>
          <w:lang w:bidi="ar"/>
        </w:rPr>
      </w:pPr>
      <w:r>
        <w:rPr>
          <w:rFonts w:hint="eastAsia" w:ascii="仿宋" w:hAnsi="仿宋" w:eastAsia="仿宋" w:cs="仿宋"/>
          <w:b/>
          <w:bCs/>
          <w:color w:val="auto"/>
          <w:sz w:val="32"/>
          <w:szCs w:val="32"/>
          <w:highlight w:val="none"/>
          <w:lang w:bidi="ar"/>
        </w:rPr>
        <w:t>二是科学测算、合理配备村级防疫员。</w:t>
      </w:r>
      <w:r>
        <w:rPr>
          <w:rFonts w:hint="eastAsia" w:ascii="仿宋" w:hAnsi="仿宋" w:eastAsia="仿宋" w:cs="仿宋"/>
          <w:color w:val="auto"/>
          <w:sz w:val="32"/>
          <w:szCs w:val="32"/>
          <w:highlight w:val="none"/>
          <w:lang w:bidi="ar"/>
        </w:rPr>
        <w:t>在严格按照文件要求，每10个左右行政村设立1名村级动物防疫员的基础上，对畜禽饲养量大、散养比例高的</w:t>
      </w:r>
      <w:r>
        <w:rPr>
          <w:rFonts w:hint="eastAsia" w:ascii="仿宋" w:hAnsi="仿宋" w:eastAsia="仿宋" w:cs="仿宋"/>
          <w:color w:val="auto"/>
          <w:sz w:val="32"/>
          <w:szCs w:val="32"/>
          <w:highlight w:val="none"/>
          <w:lang w:val="en-US" w:eastAsia="zh-CN" w:bidi="ar"/>
        </w:rPr>
        <w:t>地区</w:t>
      </w:r>
      <w:r>
        <w:rPr>
          <w:rFonts w:hint="eastAsia" w:ascii="仿宋" w:hAnsi="仿宋" w:eastAsia="仿宋" w:cs="仿宋"/>
          <w:color w:val="auto"/>
          <w:sz w:val="32"/>
          <w:szCs w:val="32"/>
          <w:highlight w:val="none"/>
          <w:lang w:eastAsia="zh-CN" w:bidi="ar"/>
        </w:rPr>
        <w:t>，</w:t>
      </w:r>
      <w:r>
        <w:rPr>
          <w:rFonts w:hint="eastAsia" w:ascii="仿宋" w:hAnsi="仿宋" w:eastAsia="仿宋" w:cs="仿宋"/>
          <w:color w:val="auto"/>
          <w:sz w:val="32"/>
          <w:szCs w:val="32"/>
          <w:highlight w:val="none"/>
          <w:lang w:bidi="ar"/>
        </w:rPr>
        <w:t>根据实际工作需要增设村级动物防疫员。</w:t>
      </w:r>
    </w:p>
    <w:p>
      <w:pPr>
        <w:keepNext w:val="0"/>
        <w:keepLines w:val="0"/>
        <w:pageBreakBefore w:val="0"/>
        <w:kinsoku/>
        <w:overflowPunct w:val="0"/>
        <w:topLinePunct/>
        <w:autoSpaceDN/>
        <w:bidi w:val="0"/>
        <w:adjustRightInd/>
        <w:snapToGrid/>
        <w:spacing w:line="580" w:lineRule="exact"/>
        <w:ind w:firstLine="643" w:firstLineChars="200"/>
        <w:jc w:val="both"/>
        <w:outlineLvl w:val="9"/>
        <w:rPr>
          <w:rFonts w:ascii="仿宋" w:hAnsi="仿宋" w:eastAsia="仿宋" w:cs="仿宋"/>
          <w:b/>
          <w:bCs/>
          <w:color w:val="auto"/>
          <w:kern w:val="0"/>
          <w:sz w:val="32"/>
          <w:szCs w:val="32"/>
          <w:highlight w:val="none"/>
          <w:lang w:bidi="ar"/>
        </w:rPr>
      </w:pPr>
      <w:r>
        <w:rPr>
          <w:rFonts w:hint="eastAsia" w:ascii="仿宋" w:hAnsi="仿宋" w:eastAsia="仿宋" w:cs="仿宋"/>
          <w:b/>
          <w:bCs/>
          <w:color w:val="auto"/>
          <w:kern w:val="0"/>
          <w:sz w:val="32"/>
          <w:szCs w:val="32"/>
          <w:highlight w:val="none"/>
          <w:lang w:bidi="ar"/>
        </w:rPr>
        <w:t>三是强化防疫员队伍的规范与管理。首先，进一步明确村级防疫员职责定位</w:t>
      </w:r>
      <w:r>
        <w:rPr>
          <w:rFonts w:hint="eastAsia" w:ascii="仿宋" w:hAnsi="仿宋" w:eastAsia="仿宋" w:cs="仿宋"/>
          <w:b/>
          <w:bCs/>
          <w:color w:val="auto"/>
          <w:sz w:val="32"/>
          <w:szCs w:val="32"/>
          <w:highlight w:val="none"/>
          <w:lang w:bidi="ar"/>
        </w:rPr>
        <w:t>。</w:t>
      </w:r>
      <w:r>
        <w:rPr>
          <w:rFonts w:hint="eastAsia" w:ascii="仿宋" w:hAnsi="仿宋" w:eastAsia="仿宋" w:cs="仿宋"/>
          <w:color w:val="auto"/>
          <w:sz w:val="32"/>
          <w:szCs w:val="32"/>
          <w:highlight w:val="none"/>
          <w:lang w:bidi="ar"/>
        </w:rPr>
        <w:t>按照新时期对村级防疫员的要求，履</w:t>
      </w:r>
      <w:r>
        <w:rPr>
          <w:rFonts w:ascii="仿宋" w:hAnsi="仿宋" w:eastAsia="仿宋" w:cs="仿宋"/>
          <w:color w:val="auto"/>
          <w:sz w:val="32"/>
          <w:szCs w:val="32"/>
          <w:highlight w:val="none"/>
          <w:lang w:bidi="ar"/>
        </w:rPr>
        <w:t>行“防疫员、协检员、协保员、指导服务员”四员一体职责</w:t>
      </w:r>
      <w:r>
        <w:rPr>
          <w:rFonts w:hint="eastAsia" w:ascii="仿宋" w:hAnsi="仿宋" w:eastAsia="仿宋" w:cs="仿宋"/>
          <w:color w:val="auto"/>
          <w:sz w:val="32"/>
          <w:szCs w:val="32"/>
          <w:highlight w:val="none"/>
          <w:lang w:bidi="ar"/>
        </w:rPr>
        <w:t>；</w:t>
      </w:r>
      <w:r>
        <w:rPr>
          <w:rFonts w:hint="eastAsia" w:ascii="仿宋" w:hAnsi="仿宋" w:eastAsia="仿宋" w:cs="仿宋"/>
          <w:b/>
          <w:bCs/>
          <w:color w:val="auto"/>
          <w:sz w:val="32"/>
          <w:szCs w:val="32"/>
          <w:highlight w:val="none"/>
          <w:lang w:bidi="ar"/>
        </w:rPr>
        <w:t>其次，</w:t>
      </w:r>
      <w:r>
        <w:rPr>
          <w:rFonts w:hint="eastAsia" w:ascii="仿宋" w:hAnsi="仿宋" w:eastAsia="仿宋" w:cs="仿宋"/>
          <w:b/>
          <w:bCs/>
          <w:color w:val="auto"/>
          <w:kern w:val="0"/>
          <w:sz w:val="32"/>
          <w:szCs w:val="32"/>
          <w:highlight w:val="none"/>
          <w:lang w:bidi="ar"/>
        </w:rPr>
        <w:t>提高村级防疫员的工作积极性。</w:t>
      </w:r>
      <w:r>
        <w:rPr>
          <w:rFonts w:ascii="仿宋" w:hAnsi="仿宋" w:eastAsia="仿宋" w:cs="仿宋"/>
          <w:color w:val="auto"/>
          <w:sz w:val="32"/>
          <w:szCs w:val="32"/>
          <w:highlight w:val="none"/>
          <w:lang w:bidi="ar"/>
        </w:rPr>
        <w:t>对村级防疫员进行岗前培训和在岗培训，定期对村级动物防疫员的工作情况进行检查考核，将考核结果与报酬补贴挂钩，构筑长效工作机制</w:t>
      </w:r>
      <w:r>
        <w:rPr>
          <w:rFonts w:hint="eastAsia" w:ascii="仿宋" w:hAnsi="仿宋" w:eastAsia="仿宋" w:cs="仿宋"/>
          <w:color w:val="auto"/>
          <w:sz w:val="32"/>
          <w:szCs w:val="32"/>
          <w:highlight w:val="none"/>
          <w:lang w:bidi="ar"/>
        </w:rPr>
        <w:t>。</w:t>
      </w:r>
      <w:r>
        <w:rPr>
          <w:rFonts w:ascii="仿宋" w:hAnsi="仿宋" w:eastAsia="仿宋" w:cs="仿宋"/>
          <w:color w:val="auto"/>
          <w:sz w:val="32"/>
          <w:szCs w:val="32"/>
          <w:highlight w:val="none"/>
          <w:lang w:bidi="ar"/>
        </w:rPr>
        <w:t>建立科学合理的工资机制，</w:t>
      </w:r>
      <w:r>
        <w:rPr>
          <w:rFonts w:hint="eastAsia" w:ascii="仿宋" w:hAnsi="仿宋" w:eastAsia="仿宋" w:cs="仿宋"/>
          <w:color w:val="auto"/>
          <w:sz w:val="32"/>
          <w:szCs w:val="32"/>
          <w:highlight w:val="none"/>
          <w:lang w:bidi="ar"/>
        </w:rPr>
        <w:t>以</w:t>
      </w:r>
      <w:r>
        <w:rPr>
          <w:rFonts w:ascii="仿宋" w:hAnsi="仿宋" w:eastAsia="仿宋" w:cs="仿宋"/>
          <w:color w:val="auto"/>
          <w:sz w:val="32"/>
          <w:szCs w:val="32"/>
          <w:highlight w:val="none"/>
          <w:lang w:bidi="ar"/>
        </w:rPr>
        <w:t>按劳分配为主体、多种分配方式并存</w:t>
      </w:r>
      <w:r>
        <w:rPr>
          <w:rFonts w:hint="eastAsia" w:ascii="仿宋" w:hAnsi="仿宋" w:eastAsia="仿宋" w:cs="仿宋"/>
          <w:color w:val="auto"/>
          <w:sz w:val="32"/>
          <w:szCs w:val="32"/>
          <w:highlight w:val="none"/>
          <w:lang w:bidi="ar"/>
        </w:rPr>
        <w:t>，</w:t>
      </w:r>
      <w:r>
        <w:rPr>
          <w:rFonts w:ascii="仿宋" w:hAnsi="仿宋" w:eastAsia="仿宋" w:cs="仿宋"/>
          <w:color w:val="auto"/>
          <w:sz w:val="32"/>
          <w:szCs w:val="32"/>
          <w:highlight w:val="none"/>
          <w:lang w:bidi="ar"/>
        </w:rPr>
        <w:t>村级动物防疫员工资按照“基本工资+绩效工资”的方式管理，对于养殖量较大的地区可以采用“基础工作量+增量”的方式进行工资调整</w:t>
      </w:r>
      <w:r>
        <w:rPr>
          <w:rFonts w:hint="eastAsia" w:ascii="仿宋" w:hAnsi="仿宋" w:eastAsia="仿宋" w:cs="仿宋"/>
          <w:color w:val="auto"/>
          <w:sz w:val="32"/>
          <w:szCs w:val="32"/>
          <w:highlight w:val="none"/>
          <w:lang w:bidi="ar"/>
        </w:rPr>
        <w:t>，</w:t>
      </w:r>
      <w:r>
        <w:rPr>
          <w:rFonts w:ascii="仿宋" w:hAnsi="仿宋" w:eastAsia="仿宋" w:cs="仿宋"/>
          <w:color w:val="auto"/>
          <w:sz w:val="32"/>
          <w:szCs w:val="32"/>
          <w:highlight w:val="none"/>
          <w:lang w:bidi="ar"/>
        </w:rPr>
        <w:t>提升村级防疫员工作的积极性、责任感</w:t>
      </w:r>
      <w:r>
        <w:rPr>
          <w:rFonts w:hint="eastAsia" w:ascii="仿宋" w:hAnsi="仿宋" w:eastAsia="仿宋" w:cs="仿宋"/>
          <w:color w:val="auto"/>
          <w:sz w:val="32"/>
          <w:szCs w:val="32"/>
          <w:highlight w:val="none"/>
          <w:lang w:bidi="ar"/>
        </w:rPr>
        <w:t>与工作质量</w:t>
      </w:r>
      <w:r>
        <w:rPr>
          <w:rFonts w:ascii="仿宋" w:hAnsi="仿宋" w:eastAsia="仿宋" w:cs="仿宋"/>
          <w:color w:val="auto"/>
          <w:sz w:val="32"/>
          <w:szCs w:val="32"/>
          <w:highlight w:val="none"/>
          <w:lang w:bidi="ar"/>
        </w:rPr>
        <w:t>，促进畜牧业长期稳定发展。</w:t>
      </w:r>
    </w:p>
    <w:p>
      <w:pPr>
        <w:keepNext w:val="0"/>
        <w:keepLines w:val="0"/>
        <w:pageBreakBefore w:val="0"/>
        <w:kinsoku/>
        <w:overflowPunct w:val="0"/>
        <w:topLinePunct/>
        <w:autoSpaceDN/>
        <w:bidi w:val="0"/>
        <w:adjustRightInd/>
        <w:snapToGrid/>
        <w:spacing w:line="580" w:lineRule="exact"/>
        <w:ind w:firstLine="640" w:firstLineChars="200"/>
        <w:jc w:val="both"/>
        <w:outlineLvl w:val="9"/>
        <w:rPr>
          <w:rFonts w:ascii="楷体" w:hAnsi="楷体" w:eastAsia="楷体" w:cs="楷体"/>
          <w:b/>
          <w:bCs/>
          <w:color w:val="auto"/>
          <w:kern w:val="0"/>
          <w:sz w:val="32"/>
          <w:szCs w:val="32"/>
          <w:highlight w:val="none"/>
        </w:rPr>
      </w:pPr>
      <w:r>
        <w:rPr>
          <w:rFonts w:ascii="楷体" w:hAnsi="楷体" w:eastAsia="楷体" w:cs="楷体"/>
          <w:color w:val="auto"/>
          <w:kern w:val="0"/>
          <w:sz w:val="32"/>
          <w:szCs w:val="32"/>
          <w:highlight w:val="none"/>
          <w:lang w:bidi="ar"/>
        </w:rPr>
        <w:t>（二）</w:t>
      </w:r>
      <w:r>
        <w:rPr>
          <w:rFonts w:hint="eastAsia" w:ascii="楷体" w:hAnsi="楷体" w:eastAsia="楷体" w:cs="楷体"/>
          <w:color w:val="auto"/>
          <w:kern w:val="0"/>
          <w:sz w:val="32"/>
          <w:szCs w:val="32"/>
          <w:highlight w:val="none"/>
          <w:lang w:bidi="ar"/>
        </w:rPr>
        <w:t>落实政策</w:t>
      </w:r>
      <w:r>
        <w:rPr>
          <w:rFonts w:ascii="楷体" w:hAnsi="楷体" w:eastAsia="楷体" w:cs="楷体"/>
          <w:color w:val="auto"/>
          <w:kern w:val="0"/>
          <w:sz w:val="32"/>
          <w:szCs w:val="32"/>
          <w:highlight w:val="none"/>
          <w:lang w:bidi="ar"/>
        </w:rPr>
        <w:t>，</w:t>
      </w:r>
      <w:r>
        <w:rPr>
          <w:rFonts w:hint="eastAsia" w:ascii="楷体" w:hAnsi="楷体" w:eastAsia="楷体" w:cs="楷体"/>
          <w:color w:val="auto"/>
          <w:kern w:val="0"/>
          <w:sz w:val="32"/>
          <w:szCs w:val="32"/>
          <w:highlight w:val="none"/>
          <w:lang w:bidi="ar"/>
        </w:rPr>
        <w:t>提升</w:t>
      </w:r>
      <w:r>
        <w:rPr>
          <w:rFonts w:ascii="楷体" w:hAnsi="楷体" w:eastAsia="楷体" w:cs="楷体"/>
          <w:color w:val="auto"/>
          <w:kern w:val="0"/>
          <w:sz w:val="32"/>
          <w:szCs w:val="32"/>
          <w:highlight w:val="none"/>
          <w:lang w:bidi="ar"/>
        </w:rPr>
        <w:t>“先打后补”政策</w:t>
      </w:r>
      <w:r>
        <w:rPr>
          <w:rFonts w:hint="eastAsia" w:ascii="楷体" w:hAnsi="楷体" w:eastAsia="楷体" w:cs="楷体"/>
          <w:color w:val="auto"/>
          <w:kern w:val="0"/>
          <w:sz w:val="32"/>
          <w:szCs w:val="32"/>
          <w:highlight w:val="none"/>
          <w:lang w:bidi="ar"/>
        </w:rPr>
        <w:t>实施效果</w:t>
      </w:r>
    </w:p>
    <w:p>
      <w:pPr>
        <w:keepNext w:val="0"/>
        <w:keepLines w:val="0"/>
        <w:pageBreakBefore w:val="0"/>
        <w:kinsoku/>
        <w:overflowPunct w:val="0"/>
        <w:topLinePunct/>
        <w:autoSpaceDN/>
        <w:bidi w:val="0"/>
        <w:adjustRightInd/>
        <w:snapToGrid/>
        <w:spacing w:line="580" w:lineRule="exact"/>
        <w:ind w:firstLine="643" w:firstLineChars="200"/>
        <w:jc w:val="both"/>
        <w:outlineLvl w:val="9"/>
        <w:rPr>
          <w:rFonts w:ascii="仿宋" w:hAnsi="仿宋" w:eastAsia="仿宋" w:cs="仿宋"/>
          <w:color w:val="auto"/>
          <w:sz w:val="32"/>
          <w:szCs w:val="32"/>
          <w:highlight w:val="none"/>
          <w:lang w:bidi="ar"/>
        </w:rPr>
      </w:pPr>
      <w:r>
        <w:rPr>
          <w:rFonts w:hint="eastAsia" w:ascii="仿宋" w:hAnsi="仿宋" w:eastAsia="仿宋" w:cs="仿宋"/>
          <w:b/>
          <w:bCs/>
          <w:color w:val="auto"/>
          <w:sz w:val="32"/>
          <w:szCs w:val="32"/>
          <w:highlight w:val="none"/>
          <w:lang w:bidi="ar"/>
        </w:rPr>
        <w:t>一是</w:t>
      </w:r>
      <w:r>
        <w:rPr>
          <w:rFonts w:hint="eastAsia" w:ascii="仿宋" w:hAnsi="仿宋" w:eastAsia="仿宋" w:cs="仿宋"/>
          <w:color w:val="auto"/>
          <w:sz w:val="32"/>
          <w:szCs w:val="32"/>
          <w:highlight w:val="none"/>
          <w:lang w:bidi="ar"/>
        </w:rPr>
        <w:t>通过多途径宣传，提高养殖场户对“先打后补”政策的知晓度。在政策宣传培训方面，通过省、市、县三级专家、疫苗厂家和疫苗经销商的培训，帮助养殖场户厘清参与“先打后补”的必备条件与档案保管方面的问题，以消除其畏难情绪，积极配合“先打后补”工作的推进。</w:t>
      </w:r>
    </w:p>
    <w:p>
      <w:pPr>
        <w:keepNext w:val="0"/>
        <w:keepLines w:val="0"/>
        <w:pageBreakBefore w:val="0"/>
        <w:kinsoku/>
        <w:overflowPunct w:val="0"/>
        <w:topLinePunct/>
        <w:autoSpaceDN/>
        <w:bidi w:val="0"/>
        <w:adjustRightInd/>
        <w:snapToGrid/>
        <w:spacing w:line="580" w:lineRule="exact"/>
        <w:ind w:firstLine="643" w:firstLineChars="200"/>
        <w:jc w:val="both"/>
        <w:outlineLvl w:val="9"/>
        <w:rPr>
          <w:rFonts w:ascii="仿宋" w:hAnsi="仿宋" w:eastAsia="仿宋" w:cs="仿宋"/>
          <w:color w:val="auto"/>
          <w:sz w:val="32"/>
          <w:szCs w:val="32"/>
          <w:highlight w:val="none"/>
          <w:lang w:bidi="ar"/>
        </w:rPr>
      </w:pPr>
      <w:r>
        <w:rPr>
          <w:rFonts w:hint="eastAsia" w:ascii="仿宋" w:hAnsi="仿宋" w:eastAsia="仿宋" w:cs="仿宋"/>
          <w:b/>
          <w:bCs/>
          <w:color w:val="auto"/>
          <w:sz w:val="32"/>
          <w:szCs w:val="32"/>
          <w:highlight w:val="none"/>
          <w:lang w:bidi="ar"/>
        </w:rPr>
        <w:t>二是</w:t>
      </w:r>
      <w:r>
        <w:rPr>
          <w:rFonts w:hint="eastAsia" w:ascii="仿宋" w:hAnsi="仿宋" w:eastAsia="仿宋" w:cs="仿宋"/>
          <w:color w:val="auto"/>
          <w:sz w:val="32"/>
          <w:szCs w:val="32"/>
          <w:highlight w:val="none"/>
          <w:lang w:bidi="ar"/>
        </w:rPr>
        <w:t>适度提高政策执行的灵活性，在政策执行中结合实际，灵活掌握，不断优化完善政策机制，对“先打后补”政策的《实施细则》中不完善的地方进行研究调整，促进“先打后补”政策发挥最大</w:t>
      </w:r>
      <w:r>
        <w:rPr>
          <w:rFonts w:hint="eastAsia" w:ascii="仿宋" w:hAnsi="仿宋" w:eastAsia="仿宋" w:cs="仿宋"/>
          <w:color w:val="auto"/>
          <w:sz w:val="32"/>
          <w:szCs w:val="32"/>
          <w:highlight w:val="none"/>
          <w:lang w:eastAsia="zh-CN" w:bidi="ar"/>
        </w:rPr>
        <w:t>作用</w:t>
      </w:r>
      <w:r>
        <w:rPr>
          <w:rFonts w:hint="eastAsia" w:ascii="仿宋" w:hAnsi="仿宋" w:eastAsia="仿宋" w:cs="仿宋"/>
          <w:color w:val="auto"/>
          <w:sz w:val="32"/>
          <w:szCs w:val="32"/>
          <w:highlight w:val="none"/>
          <w:lang w:bidi="ar"/>
        </w:rPr>
        <w:t>。首先，根据动物疫病流行情况，适时调整强制免疫疫苗种类；其次，对于</w:t>
      </w:r>
      <w:r>
        <w:rPr>
          <w:rFonts w:ascii="仿宋" w:hAnsi="仿宋" w:eastAsia="仿宋" w:cs="仿宋"/>
          <w:color w:val="auto"/>
          <w:sz w:val="32"/>
          <w:szCs w:val="32"/>
          <w:highlight w:val="none"/>
          <w:lang w:bidi="ar"/>
        </w:rPr>
        <w:t>申请“先打后补”</w:t>
      </w:r>
      <w:r>
        <w:rPr>
          <w:rFonts w:hint="eastAsia" w:ascii="仿宋" w:hAnsi="仿宋" w:eastAsia="仿宋" w:cs="仿宋"/>
          <w:color w:val="auto"/>
          <w:sz w:val="32"/>
          <w:szCs w:val="32"/>
          <w:highlight w:val="none"/>
          <w:lang w:bidi="ar"/>
        </w:rPr>
        <w:t>补助资金较少</w:t>
      </w:r>
      <w:r>
        <w:rPr>
          <w:rFonts w:ascii="仿宋" w:hAnsi="仿宋" w:eastAsia="仿宋" w:cs="仿宋"/>
          <w:color w:val="auto"/>
          <w:sz w:val="32"/>
          <w:szCs w:val="32"/>
          <w:highlight w:val="none"/>
          <w:lang w:bidi="ar"/>
        </w:rPr>
        <w:t>的养殖场户</w:t>
      </w:r>
      <w:r>
        <w:rPr>
          <w:rFonts w:hint="eastAsia" w:ascii="仿宋" w:hAnsi="仿宋" w:eastAsia="仿宋" w:cs="仿宋"/>
          <w:color w:val="auto"/>
          <w:sz w:val="32"/>
          <w:szCs w:val="32"/>
          <w:highlight w:val="none"/>
          <w:lang w:bidi="ar"/>
        </w:rPr>
        <w:t>，</w:t>
      </w:r>
      <w:r>
        <w:rPr>
          <w:rFonts w:ascii="仿宋" w:hAnsi="仿宋" w:eastAsia="仿宋" w:cs="仿宋"/>
          <w:color w:val="auto"/>
          <w:sz w:val="32"/>
          <w:szCs w:val="32"/>
          <w:highlight w:val="none"/>
          <w:lang w:bidi="ar"/>
        </w:rPr>
        <w:t>精简补助经费申请</w:t>
      </w:r>
      <w:r>
        <w:rPr>
          <w:rFonts w:hint="eastAsia" w:ascii="仿宋" w:hAnsi="仿宋" w:eastAsia="仿宋" w:cs="仿宋"/>
          <w:color w:val="auto"/>
          <w:sz w:val="32"/>
          <w:szCs w:val="32"/>
          <w:highlight w:val="none"/>
          <w:lang w:bidi="ar"/>
        </w:rPr>
        <w:t>流程，</w:t>
      </w:r>
      <w:r>
        <w:rPr>
          <w:rFonts w:ascii="仿宋" w:hAnsi="仿宋" w:eastAsia="仿宋" w:cs="仿宋"/>
          <w:color w:val="auto"/>
          <w:sz w:val="32"/>
          <w:szCs w:val="32"/>
          <w:highlight w:val="none"/>
          <w:lang w:bidi="ar"/>
        </w:rPr>
        <w:t>提供疫苗购买凭证、免疫记录等证明材料</w:t>
      </w:r>
      <w:r>
        <w:rPr>
          <w:rFonts w:hint="eastAsia" w:ascii="仿宋" w:hAnsi="仿宋" w:eastAsia="仿宋" w:cs="仿宋"/>
          <w:color w:val="auto"/>
          <w:sz w:val="32"/>
          <w:szCs w:val="32"/>
          <w:highlight w:val="none"/>
          <w:lang w:bidi="ar"/>
        </w:rPr>
        <w:t>即可</w:t>
      </w:r>
      <w:r>
        <w:rPr>
          <w:rFonts w:ascii="仿宋" w:hAnsi="仿宋" w:eastAsia="仿宋" w:cs="仿宋"/>
          <w:color w:val="auto"/>
          <w:sz w:val="32"/>
          <w:szCs w:val="32"/>
          <w:highlight w:val="none"/>
          <w:lang w:bidi="ar"/>
        </w:rPr>
        <w:t>，</w:t>
      </w:r>
      <w:r>
        <w:rPr>
          <w:rFonts w:hint="eastAsia" w:ascii="仿宋" w:hAnsi="仿宋" w:eastAsia="仿宋" w:cs="仿宋"/>
          <w:color w:val="auto"/>
          <w:sz w:val="32"/>
          <w:szCs w:val="32"/>
          <w:highlight w:val="none"/>
          <w:lang w:bidi="ar"/>
        </w:rPr>
        <w:t>不再要求</w:t>
      </w:r>
      <w:r>
        <w:rPr>
          <w:rFonts w:ascii="仿宋" w:hAnsi="仿宋" w:eastAsia="仿宋" w:cs="仿宋"/>
          <w:color w:val="auto"/>
          <w:sz w:val="32"/>
          <w:szCs w:val="32"/>
          <w:highlight w:val="none"/>
          <w:lang w:bidi="ar"/>
        </w:rPr>
        <w:t>提</w:t>
      </w:r>
      <w:r>
        <w:rPr>
          <w:rFonts w:hint="eastAsia" w:ascii="仿宋" w:hAnsi="仿宋" w:eastAsia="仿宋" w:cs="仿宋"/>
          <w:color w:val="auto"/>
          <w:sz w:val="32"/>
          <w:szCs w:val="32"/>
          <w:highlight w:val="none"/>
          <w:lang w:bidi="ar"/>
        </w:rPr>
        <w:t>供</w:t>
      </w:r>
      <w:r>
        <w:rPr>
          <w:rFonts w:ascii="仿宋" w:hAnsi="仿宋" w:eastAsia="仿宋" w:cs="仿宋"/>
          <w:color w:val="auto"/>
          <w:sz w:val="32"/>
          <w:szCs w:val="32"/>
          <w:highlight w:val="none"/>
          <w:lang w:bidi="ar"/>
        </w:rPr>
        <w:t>免疫抗体检测合格报告。</w:t>
      </w:r>
    </w:p>
    <w:p>
      <w:pPr>
        <w:keepNext w:val="0"/>
        <w:keepLines w:val="0"/>
        <w:pageBreakBefore w:val="0"/>
        <w:kinsoku/>
        <w:overflowPunct w:val="0"/>
        <w:topLinePunct/>
        <w:autoSpaceDN/>
        <w:bidi w:val="0"/>
        <w:adjustRightInd/>
        <w:snapToGrid/>
        <w:spacing w:line="580" w:lineRule="exact"/>
        <w:ind w:firstLine="643" w:firstLineChars="200"/>
        <w:jc w:val="both"/>
        <w:outlineLvl w:val="9"/>
        <w:rPr>
          <w:rFonts w:ascii="仿宋" w:hAnsi="仿宋" w:eastAsia="仿宋" w:cs="仿宋"/>
          <w:color w:val="auto"/>
          <w:sz w:val="32"/>
          <w:szCs w:val="32"/>
          <w:highlight w:val="none"/>
          <w:lang w:bidi="ar"/>
        </w:rPr>
      </w:pPr>
      <w:r>
        <w:rPr>
          <w:rFonts w:hint="eastAsia" w:ascii="仿宋" w:hAnsi="仿宋" w:eastAsia="仿宋" w:cs="仿宋"/>
          <w:b/>
          <w:bCs/>
          <w:color w:val="auto"/>
          <w:sz w:val="32"/>
          <w:szCs w:val="32"/>
          <w:highlight w:val="none"/>
          <w:lang w:bidi="ar"/>
        </w:rPr>
        <w:t>三是</w:t>
      </w:r>
      <w:r>
        <w:rPr>
          <w:rFonts w:ascii="仿宋" w:hAnsi="仿宋" w:eastAsia="仿宋" w:cs="仿宋"/>
          <w:color w:val="auto"/>
          <w:sz w:val="32"/>
          <w:szCs w:val="32"/>
          <w:highlight w:val="none"/>
          <w:lang w:bidi="ar"/>
        </w:rPr>
        <w:t>根据重大动物疫病强制免疫计划及实施方案要求，</w:t>
      </w:r>
      <w:r>
        <w:rPr>
          <w:rFonts w:hint="eastAsia" w:ascii="仿宋" w:hAnsi="仿宋" w:eastAsia="仿宋" w:cs="仿宋"/>
          <w:color w:val="auto"/>
          <w:sz w:val="32"/>
          <w:szCs w:val="32"/>
          <w:highlight w:val="none"/>
          <w:lang w:bidi="ar"/>
        </w:rPr>
        <w:t>提高</w:t>
      </w:r>
      <w:r>
        <w:rPr>
          <w:rFonts w:ascii="仿宋" w:hAnsi="仿宋" w:eastAsia="仿宋" w:cs="仿宋"/>
          <w:color w:val="auto"/>
          <w:sz w:val="32"/>
          <w:szCs w:val="32"/>
          <w:highlight w:val="none"/>
          <w:lang w:bidi="ar"/>
        </w:rPr>
        <w:t>财政补助资金发放</w:t>
      </w:r>
      <w:r>
        <w:rPr>
          <w:rFonts w:hint="eastAsia" w:ascii="仿宋" w:hAnsi="仿宋" w:eastAsia="仿宋" w:cs="仿宋"/>
          <w:color w:val="auto"/>
          <w:sz w:val="32"/>
          <w:szCs w:val="32"/>
          <w:highlight w:val="none"/>
          <w:lang w:bidi="ar"/>
        </w:rPr>
        <w:t>效率</w:t>
      </w:r>
      <w:r>
        <w:rPr>
          <w:rFonts w:ascii="仿宋" w:hAnsi="仿宋" w:eastAsia="仿宋" w:cs="仿宋"/>
          <w:color w:val="auto"/>
          <w:sz w:val="32"/>
          <w:szCs w:val="32"/>
          <w:highlight w:val="none"/>
          <w:lang w:bidi="ar"/>
        </w:rPr>
        <w:t>。</w:t>
      </w:r>
    </w:p>
    <w:p>
      <w:pPr>
        <w:keepNext w:val="0"/>
        <w:keepLines w:val="0"/>
        <w:pageBreakBefore w:val="0"/>
        <w:kinsoku/>
        <w:overflowPunct w:val="0"/>
        <w:topLinePunct/>
        <w:autoSpaceDN/>
        <w:bidi w:val="0"/>
        <w:adjustRightInd/>
        <w:snapToGrid/>
        <w:spacing w:line="580" w:lineRule="exact"/>
        <w:ind w:firstLine="640" w:firstLineChars="200"/>
        <w:jc w:val="both"/>
        <w:outlineLvl w:val="9"/>
        <w:rPr>
          <w:rFonts w:hint="default" w:ascii="楷体" w:hAnsi="楷体" w:eastAsia="楷体" w:cs="楷体"/>
          <w:color w:val="auto"/>
          <w:kern w:val="0"/>
          <w:sz w:val="32"/>
          <w:szCs w:val="32"/>
          <w:highlight w:val="none"/>
          <w:lang w:val="en-US" w:eastAsia="zh-CN" w:bidi="ar"/>
        </w:rPr>
      </w:pPr>
      <w:r>
        <w:rPr>
          <w:rFonts w:ascii="楷体" w:hAnsi="楷体" w:eastAsia="楷体" w:cs="楷体"/>
          <w:color w:val="auto"/>
          <w:kern w:val="0"/>
          <w:sz w:val="32"/>
          <w:szCs w:val="32"/>
          <w:highlight w:val="none"/>
          <w:lang w:bidi="ar"/>
        </w:rPr>
        <w:t>（三）严格管理，确保疫苗空瓶和剩余液体</w:t>
      </w:r>
      <w:r>
        <w:rPr>
          <w:rFonts w:hint="eastAsia" w:ascii="楷体" w:hAnsi="楷体" w:eastAsia="楷体" w:cs="楷体"/>
          <w:color w:val="auto"/>
          <w:kern w:val="0"/>
          <w:sz w:val="32"/>
          <w:szCs w:val="32"/>
          <w:highlight w:val="none"/>
          <w:lang w:val="en-US" w:eastAsia="zh-CN" w:bidi="ar"/>
        </w:rPr>
        <w:t>回收规范化</w:t>
      </w:r>
    </w:p>
    <w:p>
      <w:pPr>
        <w:keepNext w:val="0"/>
        <w:keepLines w:val="0"/>
        <w:pageBreakBefore w:val="0"/>
        <w:kinsoku/>
        <w:wordWrap w:val="0"/>
        <w:overflowPunct w:val="0"/>
        <w:topLinePunct/>
        <w:autoSpaceDN/>
        <w:bidi w:val="0"/>
        <w:adjustRightInd/>
        <w:snapToGrid/>
        <w:spacing w:line="580" w:lineRule="exact"/>
        <w:ind w:firstLine="640" w:firstLineChars="200"/>
        <w:jc w:val="both"/>
        <w:outlineLvl w:val="9"/>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bidi="ar"/>
        </w:rPr>
        <w:t>结合菏泽市实际，制定疫苗空瓶回收制度，</w:t>
      </w:r>
      <w:r>
        <w:rPr>
          <w:rFonts w:ascii="仿宋" w:hAnsi="仿宋" w:eastAsia="仿宋" w:cs="仿宋"/>
          <w:color w:val="auto"/>
          <w:sz w:val="32"/>
          <w:szCs w:val="32"/>
          <w:highlight w:val="none"/>
          <w:lang w:bidi="ar"/>
        </w:rPr>
        <w:t>强化空瓶回收责任制</w:t>
      </w:r>
      <w:r>
        <w:rPr>
          <w:rFonts w:hint="eastAsia" w:ascii="仿宋" w:hAnsi="仿宋" w:eastAsia="仿宋" w:cs="仿宋"/>
          <w:color w:val="auto"/>
          <w:sz w:val="32"/>
          <w:szCs w:val="32"/>
          <w:highlight w:val="none"/>
          <w:lang w:bidi="ar"/>
        </w:rPr>
        <w:t>、</w:t>
      </w:r>
      <w:r>
        <w:rPr>
          <w:rFonts w:ascii="仿宋" w:hAnsi="仿宋" w:eastAsia="仿宋" w:cs="仿宋"/>
          <w:color w:val="auto"/>
          <w:sz w:val="32"/>
          <w:szCs w:val="32"/>
          <w:highlight w:val="none"/>
          <w:lang w:bidi="ar"/>
        </w:rPr>
        <w:t>强化空瓶回收管理</w:t>
      </w:r>
      <w:r>
        <w:rPr>
          <w:rFonts w:hint="eastAsia" w:ascii="仿宋" w:hAnsi="仿宋" w:eastAsia="仿宋" w:cs="仿宋"/>
          <w:color w:val="auto"/>
          <w:sz w:val="32"/>
          <w:szCs w:val="32"/>
          <w:highlight w:val="none"/>
          <w:lang w:bidi="ar"/>
        </w:rPr>
        <w:t>、</w:t>
      </w:r>
      <w:r>
        <w:rPr>
          <w:rFonts w:ascii="仿宋" w:hAnsi="仿宋" w:eastAsia="仿宋" w:cs="仿宋"/>
          <w:color w:val="auto"/>
          <w:sz w:val="32"/>
          <w:szCs w:val="32"/>
          <w:highlight w:val="none"/>
          <w:lang w:bidi="ar"/>
        </w:rPr>
        <w:t>明确</w:t>
      </w:r>
      <w:r>
        <w:rPr>
          <w:rFonts w:hint="eastAsia" w:ascii="仿宋" w:hAnsi="仿宋" w:eastAsia="仿宋" w:cs="仿宋"/>
          <w:color w:val="auto"/>
          <w:sz w:val="32"/>
          <w:szCs w:val="32"/>
          <w:highlight w:val="none"/>
          <w:lang w:bidi="ar"/>
        </w:rPr>
        <w:t>相关</w:t>
      </w:r>
      <w:r>
        <w:rPr>
          <w:rFonts w:ascii="仿宋" w:hAnsi="仿宋" w:eastAsia="仿宋" w:cs="仿宋"/>
          <w:color w:val="auto"/>
          <w:sz w:val="32"/>
          <w:szCs w:val="32"/>
          <w:highlight w:val="none"/>
          <w:lang w:bidi="ar"/>
        </w:rPr>
        <w:t>考核</w:t>
      </w:r>
      <w:r>
        <w:rPr>
          <w:rFonts w:hint="eastAsia" w:ascii="仿宋" w:hAnsi="仿宋" w:eastAsia="仿宋" w:cs="仿宋"/>
          <w:color w:val="auto"/>
          <w:sz w:val="32"/>
          <w:szCs w:val="32"/>
          <w:highlight w:val="none"/>
          <w:lang w:bidi="ar"/>
        </w:rPr>
        <w:t>办法；同时要求</w:t>
      </w:r>
      <w:r>
        <w:rPr>
          <w:rFonts w:ascii="仿宋" w:hAnsi="仿宋" w:eastAsia="仿宋" w:cs="仿宋"/>
          <w:color w:val="auto"/>
          <w:sz w:val="32"/>
          <w:szCs w:val="32"/>
          <w:highlight w:val="none"/>
          <w:lang w:bidi="ar"/>
        </w:rPr>
        <w:t>各县区畜牧服务中心严格实行疫苗空瓶回收制度，对未用完的疫苗进行统一回收处理，对空瓶和剩余液体按标准要求进行处理，按年上报处理情况。</w:t>
      </w:r>
    </w:p>
    <w:p>
      <w:pPr>
        <w:keepNext w:val="0"/>
        <w:keepLines w:val="0"/>
        <w:pageBreakBefore w:val="0"/>
        <w:kinsoku/>
        <w:overflowPunct w:val="0"/>
        <w:topLinePunct/>
        <w:autoSpaceDN/>
        <w:bidi w:val="0"/>
        <w:adjustRightInd/>
        <w:snapToGrid/>
        <w:spacing w:line="580" w:lineRule="exact"/>
        <w:ind w:firstLine="640" w:firstLineChars="200"/>
        <w:jc w:val="both"/>
        <w:outlineLvl w:val="9"/>
        <w:rPr>
          <w:rFonts w:ascii="楷体" w:hAnsi="楷体" w:eastAsia="楷体" w:cs="楷体"/>
          <w:b/>
          <w:bCs/>
          <w:color w:val="auto"/>
          <w:kern w:val="0"/>
          <w:sz w:val="32"/>
          <w:szCs w:val="32"/>
          <w:highlight w:val="none"/>
        </w:rPr>
      </w:pPr>
      <w:r>
        <w:rPr>
          <w:rFonts w:ascii="楷体" w:hAnsi="楷体" w:eastAsia="楷体" w:cs="楷体"/>
          <w:color w:val="auto"/>
          <w:kern w:val="0"/>
          <w:sz w:val="32"/>
          <w:szCs w:val="32"/>
          <w:highlight w:val="none"/>
          <w:lang w:bidi="ar"/>
        </w:rPr>
        <w:t>（四）</w:t>
      </w:r>
      <w:r>
        <w:rPr>
          <w:rFonts w:hint="eastAsia" w:ascii="楷体" w:hAnsi="楷体" w:eastAsia="楷体" w:cs="楷体"/>
          <w:color w:val="auto"/>
          <w:kern w:val="0"/>
          <w:sz w:val="32"/>
          <w:szCs w:val="32"/>
          <w:highlight w:val="none"/>
          <w:lang w:bidi="ar"/>
        </w:rPr>
        <w:t>健全制度，实现无害化处理长效监管</w:t>
      </w:r>
    </w:p>
    <w:p>
      <w:pPr>
        <w:keepNext w:val="0"/>
        <w:keepLines w:val="0"/>
        <w:pageBreakBefore w:val="0"/>
        <w:kinsoku/>
        <w:wordWrap w:val="0"/>
        <w:overflowPunct w:val="0"/>
        <w:topLinePunct/>
        <w:autoSpaceDN/>
        <w:bidi w:val="0"/>
        <w:adjustRightInd/>
        <w:snapToGrid/>
        <w:spacing w:line="580" w:lineRule="exact"/>
        <w:ind w:firstLine="640" w:firstLineChars="200"/>
        <w:jc w:val="both"/>
        <w:outlineLvl w:val="9"/>
        <w:rPr>
          <w:rFonts w:ascii="楷体" w:hAnsi="楷体" w:eastAsia="楷体" w:cs="楷体"/>
          <w:color w:val="auto"/>
          <w:kern w:val="0"/>
          <w:sz w:val="32"/>
          <w:szCs w:val="32"/>
          <w:highlight w:val="none"/>
          <w:lang w:bidi="ar"/>
        </w:rPr>
      </w:pPr>
      <w:r>
        <w:rPr>
          <w:rFonts w:ascii="仿宋" w:hAnsi="仿宋" w:eastAsia="仿宋" w:cs="仿宋"/>
          <w:color w:val="auto"/>
          <w:sz w:val="32"/>
          <w:szCs w:val="32"/>
          <w:highlight w:val="none"/>
          <w:lang w:bidi="ar"/>
        </w:rPr>
        <w:t>建议</w:t>
      </w:r>
      <w:r>
        <w:rPr>
          <w:rFonts w:hint="eastAsia" w:ascii="仿宋" w:hAnsi="仿宋" w:eastAsia="仿宋" w:cs="仿宋"/>
          <w:color w:val="auto"/>
          <w:sz w:val="32"/>
          <w:szCs w:val="32"/>
          <w:highlight w:val="none"/>
          <w:lang w:bidi="ar"/>
        </w:rPr>
        <w:t>无害化处理厂</w:t>
      </w:r>
      <w:r>
        <w:rPr>
          <w:rFonts w:hint="eastAsia" w:ascii="仿宋" w:hAnsi="仿宋" w:eastAsia="仿宋" w:cs="仿宋"/>
          <w:color w:val="auto"/>
          <w:sz w:val="32"/>
          <w:szCs w:val="32"/>
          <w:highlight w:val="none"/>
        </w:rPr>
        <w:t>细化监督管理制度，</w:t>
      </w:r>
      <w:r>
        <w:rPr>
          <w:rFonts w:hint="eastAsia" w:ascii="仿宋" w:hAnsi="仿宋" w:eastAsia="仿宋" w:cs="仿宋"/>
          <w:color w:val="auto"/>
          <w:sz w:val="32"/>
          <w:szCs w:val="32"/>
          <w:highlight w:val="none"/>
          <w:lang w:bidi="ar"/>
        </w:rPr>
        <w:t>建立消毒剂轮换使用制度，避免长时间使用单一消毒剂；</w:t>
      </w:r>
      <w:r>
        <w:rPr>
          <w:rFonts w:ascii="仿宋" w:hAnsi="仿宋" w:eastAsia="仿宋" w:cs="仿宋"/>
          <w:color w:val="auto"/>
          <w:sz w:val="32"/>
          <w:szCs w:val="32"/>
          <w:highlight w:val="none"/>
          <w:lang w:bidi="ar"/>
        </w:rPr>
        <w:t>做好死亡畜禽无害化处理消毒工作，防止交叉感染</w:t>
      </w:r>
      <w:r>
        <w:rPr>
          <w:rFonts w:hint="eastAsia" w:ascii="仿宋" w:hAnsi="仿宋" w:eastAsia="仿宋" w:cs="仿宋"/>
          <w:color w:val="auto"/>
          <w:sz w:val="32"/>
          <w:szCs w:val="32"/>
          <w:highlight w:val="none"/>
          <w:lang w:bidi="ar"/>
        </w:rPr>
        <w:t>。</w:t>
      </w:r>
      <w:r>
        <w:rPr>
          <w:rFonts w:hint="eastAsia" w:ascii="仿宋" w:hAnsi="仿宋" w:eastAsia="仿宋" w:cs="仿宋"/>
          <w:color w:val="auto"/>
          <w:sz w:val="32"/>
          <w:szCs w:val="32"/>
          <w:highlight w:val="none"/>
        </w:rPr>
        <w:t>各县区畜牧服务中心结合区域内实际情况制定监督管理细则，</w:t>
      </w:r>
      <w:r>
        <w:rPr>
          <w:rFonts w:hint="eastAsia" w:ascii="仿宋" w:hAnsi="仿宋" w:eastAsia="仿宋" w:cs="仿宋"/>
          <w:color w:val="auto"/>
          <w:sz w:val="32"/>
          <w:szCs w:val="32"/>
          <w:highlight w:val="none"/>
          <w:lang w:bidi="ar"/>
        </w:rPr>
        <w:t>建立健全相关管控制度，</w:t>
      </w:r>
      <w:r>
        <w:rPr>
          <w:rFonts w:ascii="仿宋" w:hAnsi="仿宋" w:eastAsia="仿宋" w:cs="仿宋"/>
          <w:color w:val="auto"/>
          <w:sz w:val="32"/>
          <w:szCs w:val="32"/>
          <w:highlight w:val="none"/>
          <w:lang w:bidi="ar"/>
        </w:rPr>
        <w:t>落实好免疫、监测、消毒</w:t>
      </w:r>
      <w:r>
        <w:rPr>
          <w:rFonts w:hint="eastAsia" w:ascii="仿宋" w:hAnsi="仿宋" w:eastAsia="仿宋" w:cs="仿宋"/>
          <w:color w:val="auto"/>
          <w:sz w:val="32"/>
          <w:szCs w:val="32"/>
          <w:highlight w:val="none"/>
          <w:lang w:bidi="ar"/>
        </w:rPr>
        <w:t>、收集时限</w:t>
      </w:r>
      <w:r>
        <w:rPr>
          <w:rFonts w:ascii="仿宋" w:hAnsi="仿宋" w:eastAsia="仿宋" w:cs="仿宋"/>
          <w:color w:val="auto"/>
          <w:sz w:val="32"/>
          <w:szCs w:val="32"/>
          <w:highlight w:val="none"/>
          <w:lang w:bidi="ar"/>
        </w:rPr>
        <w:t>等各项疫病防控措施，确保无重大动物疫情发生。</w:t>
      </w:r>
    </w:p>
    <w:p>
      <w:pPr>
        <w:keepNext w:val="0"/>
        <w:keepLines w:val="0"/>
        <w:pageBreakBefore w:val="0"/>
        <w:kinsoku/>
        <w:overflowPunct w:val="0"/>
        <w:topLinePunct/>
        <w:autoSpaceDN/>
        <w:bidi w:val="0"/>
        <w:adjustRightInd/>
        <w:snapToGrid/>
        <w:spacing w:line="580" w:lineRule="exact"/>
        <w:ind w:firstLine="640" w:firstLineChars="200"/>
        <w:jc w:val="both"/>
        <w:outlineLvl w:val="9"/>
        <w:rPr>
          <w:rFonts w:ascii="楷体" w:hAnsi="楷体" w:eastAsia="楷体" w:cs="楷体"/>
          <w:color w:val="auto"/>
          <w:kern w:val="0"/>
          <w:sz w:val="32"/>
          <w:szCs w:val="32"/>
          <w:highlight w:val="none"/>
          <w:lang w:bidi="ar"/>
        </w:rPr>
      </w:pPr>
      <w:r>
        <w:rPr>
          <w:rFonts w:ascii="楷体" w:hAnsi="楷体" w:eastAsia="楷体" w:cs="楷体"/>
          <w:color w:val="auto"/>
          <w:kern w:val="0"/>
          <w:sz w:val="32"/>
          <w:szCs w:val="32"/>
          <w:highlight w:val="none"/>
          <w:lang w:bidi="ar"/>
        </w:rPr>
        <w:t>（五）积极探索，</w:t>
      </w:r>
      <w:r>
        <w:rPr>
          <w:rFonts w:hint="eastAsia" w:ascii="楷体" w:hAnsi="楷体" w:eastAsia="楷体" w:cs="楷体"/>
          <w:color w:val="auto"/>
          <w:kern w:val="0"/>
          <w:sz w:val="32"/>
          <w:szCs w:val="32"/>
          <w:highlight w:val="none"/>
          <w:lang w:bidi="ar"/>
        </w:rPr>
        <w:t>推动建立</w:t>
      </w:r>
      <w:r>
        <w:rPr>
          <w:rFonts w:ascii="楷体" w:hAnsi="楷体" w:eastAsia="楷体" w:cs="楷体"/>
          <w:color w:val="auto"/>
          <w:kern w:val="0"/>
          <w:sz w:val="32"/>
          <w:szCs w:val="32"/>
          <w:highlight w:val="none"/>
          <w:lang w:bidi="ar"/>
        </w:rPr>
        <w:t>无害化处理与保险联动</w:t>
      </w:r>
      <w:r>
        <w:rPr>
          <w:rFonts w:hint="eastAsia" w:ascii="楷体" w:hAnsi="楷体" w:eastAsia="楷体" w:cs="楷体"/>
          <w:color w:val="auto"/>
          <w:kern w:val="0"/>
          <w:sz w:val="32"/>
          <w:szCs w:val="32"/>
          <w:highlight w:val="none"/>
          <w:lang w:bidi="ar"/>
        </w:rPr>
        <w:t>机制</w:t>
      </w:r>
    </w:p>
    <w:p>
      <w:pPr>
        <w:keepNext w:val="0"/>
        <w:keepLines w:val="0"/>
        <w:pageBreakBefore w:val="0"/>
        <w:kinsoku/>
        <w:overflowPunct w:val="0"/>
        <w:topLinePunct/>
        <w:autoSpaceDN/>
        <w:bidi w:val="0"/>
        <w:adjustRightInd/>
        <w:snapToGrid/>
        <w:ind w:firstLine="640" w:firstLineChars="200"/>
        <w:jc w:val="both"/>
        <w:outlineLvl w:val="9"/>
        <w:rPr>
          <w:rFonts w:ascii="楷体" w:hAnsi="楷体" w:eastAsia="楷体" w:cs="楷体"/>
          <w:color w:val="auto"/>
          <w:kern w:val="0"/>
          <w:sz w:val="32"/>
          <w:szCs w:val="32"/>
          <w:highlight w:val="none"/>
          <w:lang w:bidi="ar"/>
        </w:rPr>
      </w:pPr>
      <w:r>
        <w:rPr>
          <w:rFonts w:hint="eastAsia" w:ascii="仿宋" w:hAnsi="仿宋" w:eastAsia="仿宋" w:cs="仿宋"/>
          <w:color w:val="auto"/>
          <w:sz w:val="32"/>
          <w:szCs w:val="32"/>
          <w:highlight w:val="none"/>
        </w:rPr>
        <w:t>目前菏泽市部分县区</w:t>
      </w:r>
      <w:r>
        <w:rPr>
          <w:rFonts w:hint="eastAsia" w:ascii="仿宋" w:hAnsi="仿宋" w:eastAsia="仿宋" w:cs="仿宋"/>
          <w:color w:val="auto"/>
          <w:kern w:val="0"/>
          <w:sz w:val="31"/>
          <w:szCs w:val="31"/>
          <w:highlight w:val="none"/>
          <w:lang w:bidi="ar"/>
        </w:rPr>
        <w:t>扩大了参保畜禽品种，例如</w:t>
      </w:r>
      <w:r>
        <w:rPr>
          <w:rFonts w:hint="eastAsia" w:ascii="仿宋" w:hAnsi="仿宋" w:eastAsia="仿宋" w:cs="仿宋"/>
          <w:color w:val="auto"/>
          <w:sz w:val="32"/>
          <w:szCs w:val="32"/>
          <w:highlight w:val="none"/>
        </w:rPr>
        <w:t>单县开展肉羊养殖保险、鄄城开展肉鸭养殖保险、曹县开展肉牛养殖保险等。</w:t>
      </w:r>
      <w:r>
        <w:rPr>
          <w:rFonts w:ascii="仿宋" w:hAnsi="仿宋" w:eastAsia="仿宋" w:cs="仿宋"/>
          <w:color w:val="auto"/>
          <w:sz w:val="32"/>
          <w:szCs w:val="32"/>
          <w:highlight w:val="none"/>
          <w:lang w:bidi="ar"/>
        </w:rPr>
        <w:t>建议</w:t>
      </w:r>
      <w:r>
        <w:rPr>
          <w:rFonts w:hint="eastAsia" w:ascii="仿宋" w:hAnsi="仿宋" w:eastAsia="仿宋" w:cs="仿宋"/>
          <w:color w:val="auto"/>
          <w:sz w:val="32"/>
          <w:szCs w:val="32"/>
          <w:highlight w:val="none"/>
          <w:lang w:bidi="ar"/>
        </w:rPr>
        <w:t>各</w:t>
      </w:r>
      <w:r>
        <w:rPr>
          <w:rFonts w:ascii="仿宋" w:hAnsi="仿宋" w:eastAsia="仿宋" w:cs="仿宋"/>
          <w:color w:val="auto"/>
          <w:sz w:val="32"/>
          <w:szCs w:val="32"/>
          <w:highlight w:val="none"/>
          <w:lang w:bidi="ar"/>
        </w:rPr>
        <w:t>县区</w:t>
      </w:r>
      <w:r>
        <w:rPr>
          <w:rFonts w:hint="eastAsia" w:ascii="仿宋" w:hAnsi="仿宋" w:eastAsia="仿宋" w:cs="仿宋"/>
          <w:color w:val="auto"/>
          <w:sz w:val="32"/>
          <w:szCs w:val="32"/>
          <w:highlight w:val="none"/>
          <w:lang w:bidi="ar"/>
        </w:rPr>
        <w:t>相互学习经验，</w:t>
      </w:r>
      <w:r>
        <w:rPr>
          <w:rFonts w:hint="eastAsia" w:ascii="仿宋" w:hAnsi="仿宋" w:eastAsia="仿宋" w:cs="仿宋"/>
          <w:color w:val="auto"/>
          <w:sz w:val="32"/>
          <w:szCs w:val="32"/>
          <w:highlight w:val="none"/>
        </w:rPr>
        <w:t>根据实际，</w:t>
      </w:r>
      <w:r>
        <w:rPr>
          <w:rFonts w:hint="eastAsia" w:ascii="仿宋" w:hAnsi="仿宋" w:eastAsia="仿宋" w:cs="仿宋"/>
          <w:color w:val="auto"/>
          <w:kern w:val="0"/>
          <w:sz w:val="31"/>
          <w:szCs w:val="31"/>
          <w:highlight w:val="none"/>
          <w:lang w:val="en-US" w:eastAsia="zh-CN" w:bidi="ar"/>
        </w:rPr>
        <w:t>增加</w:t>
      </w:r>
      <w:r>
        <w:rPr>
          <w:rFonts w:hint="eastAsia" w:ascii="仿宋" w:hAnsi="仿宋" w:eastAsia="仿宋" w:cs="仿宋"/>
          <w:color w:val="auto"/>
          <w:kern w:val="0"/>
          <w:sz w:val="31"/>
          <w:szCs w:val="31"/>
          <w:highlight w:val="none"/>
          <w:lang w:bidi="ar"/>
        </w:rPr>
        <w:t>除奶牛、生猪外的其他参保畜禽品种，</w:t>
      </w:r>
      <w:r>
        <w:rPr>
          <w:rFonts w:ascii="仿宋" w:hAnsi="仿宋" w:eastAsia="仿宋" w:cs="仿宋"/>
          <w:color w:val="auto"/>
          <w:sz w:val="32"/>
          <w:szCs w:val="32"/>
          <w:highlight w:val="none"/>
          <w:lang w:bidi="ar"/>
        </w:rPr>
        <w:t>建立完善畜禽养殖保险与无害化处理联动机制</w:t>
      </w:r>
      <w:r>
        <w:rPr>
          <w:rFonts w:hint="eastAsia" w:ascii="仿宋" w:hAnsi="仿宋" w:eastAsia="仿宋" w:cs="仿宋"/>
          <w:color w:val="auto"/>
          <w:sz w:val="32"/>
          <w:szCs w:val="32"/>
          <w:highlight w:val="none"/>
          <w:lang w:bidi="ar"/>
        </w:rPr>
        <w:t>。</w:t>
      </w:r>
      <w:r>
        <w:rPr>
          <w:rFonts w:hint="eastAsia" w:ascii="仿宋" w:hAnsi="仿宋" w:eastAsia="仿宋" w:cs="仿宋"/>
          <w:b/>
          <w:bCs/>
          <w:color w:val="auto"/>
          <w:sz w:val="32"/>
          <w:szCs w:val="32"/>
          <w:highlight w:val="none"/>
          <w:lang w:bidi="ar"/>
        </w:rPr>
        <w:t>一是</w:t>
      </w:r>
      <w:r>
        <w:rPr>
          <w:rFonts w:ascii="仿宋" w:hAnsi="仿宋" w:eastAsia="仿宋" w:cs="仿宋"/>
          <w:color w:val="auto"/>
          <w:sz w:val="32"/>
          <w:szCs w:val="32"/>
          <w:highlight w:val="none"/>
          <w:lang w:bidi="ar"/>
        </w:rPr>
        <w:t>鼓励保险机构创新畜禽保险险种，提高保险覆盖率</w:t>
      </w:r>
      <w:r>
        <w:rPr>
          <w:rFonts w:hint="eastAsia" w:ascii="仿宋" w:hAnsi="仿宋" w:eastAsia="仿宋" w:cs="仿宋"/>
          <w:color w:val="auto"/>
          <w:sz w:val="32"/>
          <w:szCs w:val="32"/>
          <w:highlight w:val="none"/>
          <w:lang w:bidi="ar"/>
        </w:rPr>
        <w:t>；</w:t>
      </w:r>
      <w:r>
        <w:rPr>
          <w:rFonts w:hint="eastAsia" w:ascii="仿宋" w:hAnsi="仿宋" w:eastAsia="仿宋" w:cs="仿宋"/>
          <w:b/>
          <w:bCs/>
          <w:color w:val="auto"/>
          <w:sz w:val="32"/>
          <w:szCs w:val="32"/>
          <w:highlight w:val="none"/>
          <w:lang w:bidi="ar"/>
        </w:rPr>
        <w:t>二是</w:t>
      </w:r>
      <w:r>
        <w:rPr>
          <w:rFonts w:hint="eastAsia" w:ascii="仿宋" w:hAnsi="仿宋" w:eastAsia="仿宋" w:cs="仿宋"/>
          <w:color w:val="auto"/>
          <w:sz w:val="32"/>
          <w:szCs w:val="32"/>
          <w:highlight w:val="none"/>
          <w:lang w:bidi="ar"/>
        </w:rPr>
        <w:t>建立保险公司查勘人员、无害化处理厂收集点负责人和官方兽医人员为无害化处理收集环节的联动队伍，严格按照工作流程完成病死畜禽无害化处理确认和保险理赔工作；</w:t>
      </w:r>
      <w:r>
        <w:rPr>
          <w:rFonts w:hint="eastAsia" w:ascii="仿宋" w:hAnsi="仿宋" w:eastAsia="仿宋" w:cs="仿宋"/>
          <w:b/>
          <w:bCs/>
          <w:color w:val="auto"/>
          <w:sz w:val="32"/>
          <w:szCs w:val="32"/>
          <w:highlight w:val="none"/>
          <w:lang w:bidi="ar"/>
        </w:rPr>
        <w:t>三是</w:t>
      </w:r>
      <w:r>
        <w:rPr>
          <w:rFonts w:hint="eastAsia" w:ascii="仿宋" w:hAnsi="仿宋" w:eastAsia="仿宋" w:cs="仿宋"/>
          <w:color w:val="auto"/>
          <w:sz w:val="32"/>
          <w:szCs w:val="32"/>
          <w:highlight w:val="none"/>
          <w:lang w:bidi="ar"/>
        </w:rPr>
        <w:t>加强病死畜禽无害化处理的全程监管，坚决杜绝病死猪进入流通环节，防止出现骗补贴、骗保险的现象，</w:t>
      </w:r>
      <w:r>
        <w:rPr>
          <w:rFonts w:ascii="仿宋" w:hAnsi="仿宋" w:eastAsia="仿宋" w:cs="仿宋"/>
          <w:color w:val="auto"/>
          <w:sz w:val="32"/>
          <w:szCs w:val="32"/>
          <w:highlight w:val="none"/>
          <w:lang w:bidi="ar"/>
        </w:rPr>
        <w:t>全面推动保处联动工作。</w:t>
      </w:r>
    </w:p>
    <w:p>
      <w:pPr>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eastAsia" w:ascii="仿宋" w:hAnsi="仿宋" w:eastAsia="仿宋" w:cs="Arial"/>
          <w:bCs/>
          <w:sz w:val="32"/>
          <w:szCs w:val="32"/>
          <w:lang w:eastAsia="zh-CN"/>
        </w:rPr>
      </w:pPr>
    </w:p>
    <w:sectPr>
      <w:footerReference r:id="rId3" w:type="default"/>
      <w:pgSz w:w="11906" w:h="16838"/>
      <w:pgMar w:top="1701" w:right="1474" w:bottom="1701" w:left="1587" w:header="851" w:footer="1474"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ascii="宋体" w:hAnsi="宋体" w:eastAsia="宋体"/>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29BD0"/>
    <w:multiLevelType w:val="singleLevel"/>
    <w:tmpl w:val="E9129B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000000"/>
    <w:rsid w:val="00DF11E3"/>
    <w:rsid w:val="00F505A0"/>
    <w:rsid w:val="061B1299"/>
    <w:rsid w:val="06351910"/>
    <w:rsid w:val="067610D2"/>
    <w:rsid w:val="0A4136DC"/>
    <w:rsid w:val="0A891503"/>
    <w:rsid w:val="0CF77A73"/>
    <w:rsid w:val="0D2C799D"/>
    <w:rsid w:val="0FCA1EC5"/>
    <w:rsid w:val="11D153DA"/>
    <w:rsid w:val="142E449C"/>
    <w:rsid w:val="15A2564A"/>
    <w:rsid w:val="16AA2D18"/>
    <w:rsid w:val="18CC0779"/>
    <w:rsid w:val="1AD64829"/>
    <w:rsid w:val="1B697783"/>
    <w:rsid w:val="1F037166"/>
    <w:rsid w:val="23802D1B"/>
    <w:rsid w:val="27CE7742"/>
    <w:rsid w:val="2C005C55"/>
    <w:rsid w:val="39E44E7C"/>
    <w:rsid w:val="3ABF31BC"/>
    <w:rsid w:val="3ADB364D"/>
    <w:rsid w:val="3CAE71FE"/>
    <w:rsid w:val="3DBC6AE6"/>
    <w:rsid w:val="42204EB5"/>
    <w:rsid w:val="45EE7D8D"/>
    <w:rsid w:val="463D3AEB"/>
    <w:rsid w:val="4A6322C3"/>
    <w:rsid w:val="4C6E0437"/>
    <w:rsid w:val="4D62704B"/>
    <w:rsid w:val="4E73291C"/>
    <w:rsid w:val="522462FB"/>
    <w:rsid w:val="52601456"/>
    <w:rsid w:val="527800D6"/>
    <w:rsid w:val="54921C42"/>
    <w:rsid w:val="56006068"/>
    <w:rsid w:val="57430FD1"/>
    <w:rsid w:val="575B67D4"/>
    <w:rsid w:val="5C924D42"/>
    <w:rsid w:val="5D5F46F0"/>
    <w:rsid w:val="61D153CB"/>
    <w:rsid w:val="62EB2352"/>
    <w:rsid w:val="63AA57A7"/>
    <w:rsid w:val="64E37928"/>
    <w:rsid w:val="677A37D4"/>
    <w:rsid w:val="68302CED"/>
    <w:rsid w:val="68A64545"/>
    <w:rsid w:val="6AD34EE4"/>
    <w:rsid w:val="6B614ECF"/>
    <w:rsid w:val="6E315F43"/>
    <w:rsid w:val="6F073FD6"/>
    <w:rsid w:val="76822B5C"/>
    <w:rsid w:val="78A61955"/>
    <w:rsid w:val="794908F9"/>
    <w:rsid w:val="79D338C5"/>
    <w:rsid w:val="7B7D4FD6"/>
    <w:rsid w:val="7D02041A"/>
    <w:rsid w:val="7E57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7">
    <w:name w:val="heading 1"/>
    <w:basedOn w:val="1"/>
    <w:next w:val="1"/>
    <w:qFormat/>
    <w:uiPriority w:val="9"/>
    <w:pPr>
      <w:keepNext/>
      <w:keepLines/>
      <w:spacing w:line="360" w:lineRule="auto"/>
      <w:ind w:firstLine="723" w:firstLineChars="200"/>
      <w:outlineLvl w:val="0"/>
    </w:pPr>
    <w:rPr>
      <w:rFonts w:eastAsia="黑体"/>
      <w:kern w:val="44"/>
      <w:sz w:val="32"/>
    </w:rPr>
  </w:style>
  <w:style w:type="paragraph" w:styleId="8">
    <w:name w:val="heading 2"/>
    <w:basedOn w:val="1"/>
    <w:next w:val="1"/>
    <w:unhideWhenUsed/>
    <w:qFormat/>
    <w:uiPriority w:val="9"/>
    <w:pPr>
      <w:keepNext/>
      <w:keepLines/>
      <w:spacing w:line="360" w:lineRule="auto"/>
      <w:ind w:firstLine="723" w:firstLineChars="200"/>
      <w:outlineLvl w:val="1"/>
    </w:pPr>
    <w:rPr>
      <w:rFonts w:ascii="Arial" w:hAnsi="Arial" w:eastAsia="楷体"/>
      <w:b/>
      <w:sz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keepNext w:val="0"/>
      <w:keepLines w:val="0"/>
      <w:widowControl w:val="0"/>
      <w:suppressLineNumbers w:val="0"/>
      <w:spacing w:after="120" w:afterAutospacing="0"/>
      <w:ind w:left="420" w:leftChars="200" w:firstLine="420" w:firstLineChars="200"/>
      <w:jc w:val="both"/>
    </w:pPr>
    <w:rPr>
      <w:rFonts w:hint="default" w:ascii="等线" w:hAnsi="等线" w:eastAsia="等线" w:cs="Times New Roman"/>
      <w:kern w:val="2"/>
      <w:sz w:val="21"/>
      <w:szCs w:val="21"/>
      <w:lang w:val="en-US" w:eastAsia="zh-CN" w:bidi="ar"/>
    </w:rPr>
  </w:style>
  <w:style w:type="paragraph" w:styleId="3">
    <w:name w:val="Body Text Indent"/>
    <w:basedOn w:val="1"/>
    <w:semiHidden/>
    <w:unhideWhenUsed/>
    <w:qFormat/>
    <w:uiPriority w:val="99"/>
    <w:pPr>
      <w:spacing w:after="120"/>
      <w:ind w:left="420" w:leftChars="200"/>
    </w:pPr>
  </w:style>
  <w:style w:type="paragraph" w:styleId="4">
    <w:name w:val="Body Text First Indent"/>
    <w:basedOn w:val="5"/>
    <w:next w:val="2"/>
    <w:qFormat/>
    <w:uiPriority w:val="0"/>
    <w:pPr>
      <w:keepNext w:val="0"/>
      <w:keepLines w:val="0"/>
      <w:widowControl w:val="0"/>
      <w:suppressLineNumbers w:val="0"/>
      <w:spacing w:before="0" w:beforeAutospacing="0" w:after="0" w:afterAutospacing="0"/>
      <w:ind w:left="0" w:right="0" w:firstLine="420" w:firstLineChars="100"/>
      <w:jc w:val="both"/>
    </w:pPr>
    <w:rPr>
      <w:rFonts w:hint="default" w:ascii="仿宋_GB2312" w:eastAsia="仿宋_GB2312" w:cs="仿宋_GB2312"/>
      <w:kern w:val="2"/>
      <w:sz w:val="32"/>
      <w:szCs w:val="32"/>
      <w:lang w:val="en-US" w:eastAsia="zh-CN" w:bidi="ar"/>
    </w:rPr>
  </w:style>
  <w:style w:type="paragraph" w:styleId="5">
    <w:name w:val="Body Text"/>
    <w:basedOn w:val="1"/>
    <w:next w:val="6"/>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仿宋_GB2312"/>
      <w:kern w:val="2"/>
      <w:sz w:val="32"/>
      <w:szCs w:val="32"/>
      <w:lang w:val="en-US" w:eastAsia="zh-CN" w:bidi="ar"/>
    </w:rPr>
  </w:style>
  <w:style w:type="paragraph" w:styleId="6">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等线" w:hAnsi="等线" w:eastAsia="等线" w:cs="Times New Roman"/>
      <w:kern w:val="2"/>
      <w:sz w:val="14"/>
      <w:szCs w:val="14"/>
      <w:lang w:val="en-US" w:eastAsia="zh-CN" w:bidi="ar"/>
    </w:rPr>
  </w:style>
  <w:style w:type="paragraph" w:styleId="9">
    <w:name w:val="annotation text"/>
    <w:basedOn w:val="1"/>
    <w:qFormat/>
    <w:uiPriority w:val="0"/>
    <w:pPr>
      <w:jc w:val="left"/>
    </w:p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unhideWhenUsed/>
    <w:qFormat/>
    <w:uiPriority w:val="39"/>
    <w:pPr>
      <w:tabs>
        <w:tab w:val="right" w:leader="dot" w:pos="8296"/>
      </w:tabs>
    </w:pPr>
    <w:rPr>
      <w:rFonts w:ascii="仿宋" w:hAnsi="仿宋" w:eastAsia="仿宋"/>
      <w:b/>
      <w:bCs/>
      <w:w w:val="90"/>
      <w:sz w:val="32"/>
      <w:szCs w:val="32"/>
    </w:rPr>
  </w:style>
  <w:style w:type="paragraph" w:styleId="13">
    <w:name w:val="footnote text"/>
    <w:basedOn w:val="1"/>
    <w:qFormat/>
    <w:uiPriority w:val="0"/>
    <w:pPr>
      <w:widowControl/>
      <w:snapToGrid w:val="0"/>
      <w:spacing w:line="560" w:lineRule="exact"/>
      <w:ind w:firstLine="960" w:firstLineChars="200"/>
      <w:jc w:val="left"/>
    </w:pPr>
    <w:rPr>
      <w:rFonts w:ascii="宋体" w:hAnsi="宋体" w:eastAsia="仿宋_GB2312" w:cs="宋体"/>
      <w:kern w:val="0"/>
      <w:sz w:val="18"/>
      <w:szCs w:val="18"/>
    </w:rPr>
  </w:style>
  <w:style w:type="paragraph" w:styleId="14">
    <w:name w:val="toc 2"/>
    <w:basedOn w:val="1"/>
    <w:next w:val="1"/>
    <w:unhideWhenUsed/>
    <w:qFormat/>
    <w:uiPriority w:val="39"/>
    <w:pPr>
      <w:ind w:left="420" w:leftChars="200"/>
    </w:pPr>
  </w:style>
  <w:style w:type="paragraph" w:styleId="15">
    <w:name w:val="Title"/>
    <w:basedOn w:val="1"/>
    <w:next w:val="1"/>
    <w:qFormat/>
    <w:uiPriority w:val="0"/>
    <w:pPr>
      <w:adjustRightInd w:val="0"/>
      <w:snapToGrid w:val="0"/>
      <w:spacing w:line="360" w:lineRule="auto"/>
      <w:ind w:firstLine="800" w:firstLineChars="200"/>
      <w:jc w:val="left"/>
      <w:outlineLvl w:val="0"/>
    </w:pPr>
    <w:rPr>
      <w:rFonts w:ascii="Arial" w:hAnsi="Arial" w:eastAsia="仿宋" w:cs="Times New Roman"/>
      <w:sz w:val="32"/>
      <w:szCs w:val="32"/>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563C1" w:themeColor="hyperlink"/>
      <w:u w:val="single"/>
      <w14:textFill>
        <w14:solidFill>
          <w14:schemeClr w14:val="hlink"/>
        </w14:solidFill>
      </w14:textFill>
    </w:rPr>
  </w:style>
  <w:style w:type="character" w:styleId="20">
    <w:name w:val="footnote reference"/>
    <w:basedOn w:val="18"/>
    <w:qFormat/>
    <w:uiPriority w:val="0"/>
    <w:rPr>
      <w:vertAlign w:val="superscript"/>
    </w:rPr>
  </w:style>
  <w:style w:type="paragraph" w:customStyle="1" w:styleId="21">
    <w:name w:val="_Style 3"/>
    <w:basedOn w:val="1"/>
    <w:next w:val="22"/>
    <w:unhideWhenUsed/>
    <w:qFormat/>
    <w:uiPriority w:val="99"/>
    <w:pPr>
      <w:spacing w:line="360" w:lineRule="auto"/>
      <w:ind w:firstLine="420" w:firstLineChars="200"/>
      <w:jc w:val="left"/>
    </w:pPr>
    <w:rPr>
      <w:rFonts w:ascii="Times New Roman" w:hAnsi="Times New Roman" w:eastAsia="仿宋"/>
      <w:sz w:val="32"/>
      <w:szCs w:val="24"/>
      <w:lang w:eastAsia="zh-TW"/>
    </w:rPr>
  </w:style>
  <w:style w:type="paragraph" w:styleId="22">
    <w:name w:val="List Paragraph"/>
    <w:basedOn w:val="1"/>
    <w:qFormat/>
    <w:uiPriority w:val="34"/>
    <w:pPr>
      <w:ind w:firstLine="420" w:firstLineChars="200"/>
    </w:pPr>
  </w:style>
  <w:style w:type="paragraph" w:customStyle="1" w:styleId="23">
    <w:name w:val="闻政图表名"/>
    <w:basedOn w:val="1"/>
    <w:qFormat/>
    <w:uiPriority w:val="0"/>
    <w:pPr>
      <w:keepNext w:val="0"/>
      <w:keepLines w:val="0"/>
      <w:widowControl w:val="0"/>
      <w:suppressLineNumbers w:val="0"/>
      <w:spacing w:before="60" w:beforeAutospacing="0" w:after="60" w:afterAutospacing="0"/>
      <w:jc w:val="center"/>
    </w:pPr>
    <w:rPr>
      <w:rFonts w:hint="default" w:ascii="Times New Roman" w:hAnsi="Times New Roman" w:eastAsia="仿宋_GB2312" w:cs="Times New Roman"/>
      <w:b/>
      <w:kern w:val="0"/>
      <w:sz w:val="24"/>
      <w:szCs w:val="24"/>
      <w:lang w:val="en-US" w:eastAsia="zh-CN" w:bidi="ar"/>
    </w:rPr>
  </w:style>
  <w:style w:type="paragraph" w:customStyle="1" w:styleId="24">
    <w:name w:val="p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eastAsia="等线"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7565</Words>
  <Characters>8050</Characters>
  <Lines>0</Lines>
  <Paragraphs>0</Paragraphs>
  <TotalTime>10</TotalTime>
  <ScaleCrop>false</ScaleCrop>
  <LinksUpToDate>false</LinksUpToDate>
  <CharactersWithSpaces>8071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2020-03-10T07:35:00Z</dcterms:created>
  <dc:creator>48933</dc:creator>
  <cp:lastModifiedBy>瑾王</cp:lastModifiedBy>
  <cp:lastPrinted>2022-04-25T08:04:00Z</cp:lastPrinted>
  <dcterms:modified xsi:type="dcterms:W3CDTF">2023-12-27T03:31:01Z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5F430C2863ED4B219953257C4B4663E2_13</vt:lpwstr>
  </property>
</Properties>
</file>