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方正小标宋简体" w:hAnsi="方正小标宋简体" w:eastAsia="方正小标宋简体" w:cs="方正小标宋简体"/>
          <w:b w:val="0"/>
          <w:bCs/>
          <w:sz w:val="44"/>
          <w:szCs w:val="44"/>
          <w:lang w:val="en-US"/>
        </w:rPr>
      </w:pPr>
      <w:r>
        <w:rPr>
          <w:rFonts w:hint="eastAsia" w:ascii="方正小标宋简体" w:hAnsi="方正小标宋简体" w:eastAsia="方正小标宋简体" w:cs="方正小标宋简体"/>
          <w:b w:val="0"/>
          <w:bCs/>
          <w:sz w:val="44"/>
          <w:szCs w:val="44"/>
          <w:lang w:val="en-US" w:eastAsia="zh-CN"/>
        </w:rPr>
        <w:t>菏泽市2022年度高标准农田建设</w:t>
      </w:r>
    </w:p>
    <w:p>
      <w:pPr>
        <w:adjustRightInd w:val="0"/>
        <w:snapToGrid w:val="0"/>
        <w:spacing w:line="0" w:lineRule="atLeast"/>
        <w:jc w:val="center"/>
        <w:rPr>
          <w:rFonts w:hint="eastAsia" w:ascii="方正小标宋简体" w:hAnsi="方正小标宋简体" w:eastAsia="方正小标宋简体" w:cs="方正小标宋简体"/>
          <w:b w:val="0"/>
          <w:bCs/>
          <w:sz w:val="72"/>
          <w:szCs w:val="72"/>
          <w:lang w:val="zh-CN"/>
        </w:rPr>
      </w:pPr>
      <w:r>
        <w:rPr>
          <w:rFonts w:hint="eastAsia" w:ascii="方正小标宋简体" w:hAnsi="方正小标宋简体" w:eastAsia="方正小标宋简体" w:cs="方正小标宋简体"/>
          <w:b w:val="0"/>
          <w:bCs/>
          <w:sz w:val="44"/>
          <w:szCs w:val="44"/>
          <w:lang w:val="en-US" w:eastAsia="zh-CN"/>
        </w:rPr>
        <w:t>项目支出</w:t>
      </w:r>
      <w:r>
        <w:rPr>
          <w:rFonts w:hint="eastAsia" w:ascii="方正小标宋简体" w:hAnsi="方正小标宋简体" w:eastAsia="方正小标宋简体" w:cs="方正小标宋简体"/>
          <w:b w:val="0"/>
          <w:bCs/>
          <w:sz w:val="44"/>
          <w:szCs w:val="44"/>
          <w:lang w:val="zh-CN"/>
        </w:rPr>
        <w:t>绩效评价报告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黑体" w:hAnsi="黑体" w:eastAsia="黑体" w:cs="黑体"/>
          <w:bCs/>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sz w:val="32"/>
          <w:szCs w:val="32"/>
          <w:lang w:val="en-US" w:eastAsia="zh-CN"/>
        </w:rPr>
        <w:t>项目</w:t>
      </w:r>
      <w:r>
        <w:rPr>
          <w:rFonts w:hint="eastAsia" w:ascii="黑体" w:hAnsi="黑体" w:eastAsia="黑体" w:cs="黑体"/>
          <w:bCs/>
          <w:sz w:val="32"/>
          <w:szCs w:val="32"/>
          <w:lang w:val="en-US" w:eastAsia="zh-CN"/>
        </w:rPr>
        <w:t>基本情况</w:t>
      </w:r>
    </w:p>
    <w:p>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楷体" w:hAnsi="楷体" w:eastAsia="楷体" w:cs="楷体"/>
          <w:lang w:val="en-US" w:eastAsia="zh-CN"/>
        </w:rPr>
        <w:t>（一）项目概况</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
          <w:bCs/>
          <w:sz w:val="32"/>
          <w:szCs w:val="32"/>
          <w:lang w:val="en-US" w:eastAsia="zh-CN"/>
        </w:rPr>
      </w:pPr>
      <w:r>
        <w:rPr>
          <w:rFonts w:hint="eastAsia" w:ascii="仿宋" w:hAnsi="仿宋" w:cs="仿宋"/>
          <w:b/>
          <w:bCs/>
          <w:sz w:val="32"/>
          <w:szCs w:val="32"/>
          <w:lang w:val="en-US" w:eastAsia="zh-CN"/>
        </w:rPr>
        <w:t>1</w:t>
      </w:r>
      <w:r>
        <w:rPr>
          <w:rFonts w:hint="eastAsia" w:ascii="仿宋" w:hAnsi="仿宋" w:eastAsia="仿宋" w:cs="仿宋"/>
          <w:b/>
          <w:bCs/>
          <w:sz w:val="32"/>
          <w:szCs w:val="32"/>
          <w:lang w:val="en-US" w:eastAsia="zh-CN"/>
        </w:rPr>
        <w:t>.</w:t>
      </w:r>
      <w:bookmarkStart w:id="0" w:name="_GoBack"/>
      <w:bookmarkEnd w:id="0"/>
      <w:r>
        <w:rPr>
          <w:rFonts w:hint="eastAsia" w:ascii="仿宋" w:hAnsi="仿宋" w:eastAsia="仿宋" w:cs="仿宋"/>
          <w:b/>
          <w:bCs/>
          <w:sz w:val="32"/>
          <w:szCs w:val="32"/>
          <w:lang w:val="en-US" w:eastAsia="zh-CN"/>
        </w:rPr>
        <w:t>实施内容</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项目具体建设内容：菏泽市高标准农田建设项目主要涉及田、土、水、路、林、电、技、管8个方面，各方面建设管理目标详见下表。</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仿宋" w:hAnsi="仿宋" w:cs="仿宋"/>
          <w:color w:val="000000" w:themeColor="text1"/>
          <w:kern w:val="0"/>
          <w:sz w:val="32"/>
          <w:szCs w:val="32"/>
          <w:lang w:val="en-US" w:eastAsia="zh-CN"/>
          <w14:textFill>
            <w14:solidFill>
              <w14:schemeClr w14:val="tx1"/>
            </w14:solidFill>
          </w14:textFill>
        </w:rPr>
      </w:pPr>
      <w:r>
        <w:rPr>
          <w:rFonts w:hint="eastAsia" w:ascii="黑体" w:hAnsi="黑体" w:eastAsia="黑体" w:cs="黑体"/>
          <w:color w:val="000000" w:themeColor="text1"/>
          <w:kern w:val="0"/>
          <w:sz w:val="28"/>
          <w:szCs w:val="28"/>
          <w:lang w:val="en-US" w:eastAsia="zh-CN"/>
          <w14:textFill>
            <w14:solidFill>
              <w14:schemeClr w14:val="tx1"/>
            </w14:solidFill>
          </w14:textFill>
        </w:rPr>
        <w:t>高标准农田建设内容明细表</w:t>
      </w:r>
    </w:p>
    <w:tbl>
      <w:tblPr>
        <w:tblStyle w:val="10"/>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7"/>
        <w:gridCol w:w="77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建设方面</w:t>
            </w:r>
          </w:p>
        </w:tc>
        <w:tc>
          <w:tcPr>
            <w:tcW w:w="4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建设目标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田</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通过合理归并和平整土地、坡耕地田坎修筑，实现田块规模适度、集中连片、田面平整，耕作层厚度适宜。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土</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通过培肥改良，实现土壤通透性能好、保水保肥能力强、酸碱平衡、有机质和营养元素丰富，着力提高耕地内在质量和产出能力。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水</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通过加强田间灌排设施建设和推进高效节水灌溉等，增加有效灌溉面积，提高灌溉保证率、用水效率和农田防洪排涝标准，实现旱涝保收。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路</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通过田间道（机耕路）和生产路建设、桥涵配套，合理增加路面宽度，提高道路的荷载标准和通达度，满足农机作业、生产物流要求。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林</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通过农田林网、岸坡防护、沟道治理等农田防护和生态环境保护工程建设，改善农田生态环境，提高农田防御风沙灾害和防止水土流失能力。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通过完善农田电网、配套相应的输配电设施，满足农田设施用电需求，降低农业生产成本，提高农业生产的效率和效益。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通过工程措施与农艺技术相结合，推广数字农业、良种良法、病虫害绿色防控、节水节肥减药等技术，提高农田可持续利用水平和综合生产能力。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管</w:t>
            </w:r>
          </w:p>
        </w:tc>
        <w:tc>
          <w:tcPr>
            <w:tcW w:w="4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通过上图入库和全程管理，落实建后管护主体和责任、管护资金，完善管护机制，确保建成的工程设施在设计使用年限内正常运行、高标准农田用途不改变、质量有提高。</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（1）项目相关方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项目主管部门：菏泽市农业农村局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项目实施单位：菏泽市各县（区）农业农村局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（2）项目管理分工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菏泽市农业农村局作为本项目的主管部门，负责指导全市农田建设管理工作，提出农田建设项目需求建议；负责全市高标准农田建设前期方案的批复；负责全市高标准农田建设后的验收；负责监督全市高标准农田建设具体实施情况，推进全市高标准农田建设任务按期完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菏泽市各县（区）农业农村局负责本区域内高标准农田任务的具体实施，负责设计项目实施方案，报菏泽市农业农村局进行批复；负责项目政府采购招标工作，负责推进本县（区）高标准农田项目的实施；负责项目初步验收，初验通过后报菏泽市农业农村局进行复验；负责区域内高标准农田建设质量；负责区域内高标准农田后续管护养护；负责移交高标准农田资产至镇（街）政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3.资金投入和使用情况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菏泽市2022年高标准农田建设项目预算总金额为243377.00万元，中央预算资金为143780.00万元，省级预算资金为33130.00万元，市级预算资金为1000.00万元，县（区）级预算资金为24267.00万元，债券预算资金为41200.00万元；截至评价日，实际到位资金243377.00万元，实际支付资金57416.99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1.总体绩效目标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菏泽市2022年高标准农田建设项目计划建设132.20万亩，通过高标准农田建设的实施，确保将菏泽市各县（区）项目区建设成为基础设施完善、灌排条件良好、土壤优质肥沃、农田环境优美、农作物高产高效、管理运行规范的高标准农田项目区，使其成为优质粮食生产基地、优势产业发展带动基地、农业现代化发展示范基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菏泽市2022年高标准农田建设项目计划建设132.20万亩，通过高标准农田建设的实施，确保将菏泽市各县（区）项目区建设成为基础设施完善、灌排条件良好、土壤优质肥沃、农田环境优美、农作物高产高效、管理运行规范的高标准农田项目区，使其成为优质粮食生产基地、优势产业发展带动基地、农业现代化发展示范基地。</w:t>
      </w:r>
    </w:p>
    <w:p>
      <w:pPr>
        <w:pStyle w:val="9"/>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二、评价基本情况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1.评价目的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次绩效评价，旨在通过收集、研究并分析项目有关资料，采用科学、规范的方法，从项目的决策、过程、产出及效果四个维度客观、全面、公正地衡量菏泽市高标准农田建设项目资金投入、使用情况，从资金使用后所产生的产出和效益的角度出发，分析并判断项目支出绩效目标的实现程度，深入各县区项目评价过程中，具体剖析项目实施中存在的问题，并从项目整体管理、运行等方面提出合理化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2.评价对象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此次绩效评价对象为2022年度菏泽市高标准农田建设项目资金。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3.评价范围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次菏泽市高标准农田建设项目评价范围主要包括项目决策、过程、产出、效益；细化到各县区高标准农田建设项目为项目资金投入情况、项目资金使用情况、项目实施情况、项目验收情况、项目管理情况，最终采用针对菏泽市高标准农田整体建设情况和各县区横向对比分析的方式确定评价结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（二）绩效评价指标体系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根据绩效评价工作要求和高标准农田建设项目实际情况，从决策、过程、产出和效益四个方面进行评价，设置一级指标4个、二级指标10个、三级指标22个、四级指标48个。</w:t>
      </w:r>
    </w:p>
    <w:p>
      <w:pPr>
        <w:pStyle w:val="9"/>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黑体" w:hAnsi="黑体" w:eastAsia="黑体" w:cs="黑体"/>
          <w:lang w:val="en-US" w:eastAsia="zh-CN"/>
        </w:rPr>
      </w:pPr>
      <w:r>
        <w:rPr>
          <w:rFonts w:hint="eastAsia" w:ascii="黑体" w:hAnsi="黑体" w:eastAsia="黑体" w:cs="黑体"/>
          <w:lang w:val="en-US" w:eastAsia="zh-CN"/>
        </w:rPr>
        <w:t>三、绩效评价结论</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楷体" w:hAnsi="楷体" w:eastAsia="楷体" w:cs="楷体"/>
          <w:lang w:val="en-US" w:eastAsia="zh-CN"/>
        </w:rPr>
      </w:pPr>
      <w:r>
        <w:rPr>
          <w:rFonts w:hint="eastAsia" w:ascii="楷体" w:hAnsi="楷体" w:eastAsia="楷体" w:cs="楷体"/>
          <w:lang w:val="en-US" w:eastAsia="zh-CN"/>
        </w:rPr>
        <w:t>（一）综合评价结论</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lang w:val="en-US" w:eastAsia="zh-CN"/>
        </w:rPr>
      </w:pPr>
      <w:r>
        <w:rPr>
          <w:rFonts w:hint="eastAsia" w:ascii="仿宋" w:hAnsi="仿宋" w:eastAsia="仿宋" w:cs="仿宋"/>
          <w:lang w:val="en-US" w:eastAsia="zh-CN"/>
        </w:rPr>
        <w:t>经评价工作组对菏泽市2022年高标准农田建设项目实施情况进行综合量化评价，绩效评价得分为80.78分，绩效评价等级为“良”。</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黑体"/>
          <w:sz w:val="24"/>
          <w:szCs w:val="32"/>
          <w:lang w:val="en-US" w:eastAsia="zh-CN"/>
        </w:rPr>
      </w:pPr>
      <w:r>
        <w:rPr>
          <w:rFonts w:hint="eastAsia" w:ascii="Times New Roman" w:hAnsi="Times New Roman" w:eastAsia="黑体"/>
          <w:sz w:val="28"/>
          <w:szCs w:val="28"/>
          <w:lang w:val="en-US" w:eastAsia="zh-CN"/>
        </w:rPr>
        <w:t>项目综合绩效评价得分情况表</w:t>
      </w:r>
    </w:p>
    <w:tbl>
      <w:tblPr>
        <w:tblStyle w:val="10"/>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2127"/>
        <w:gridCol w:w="2069"/>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06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评价指标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权重（%）</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评价得分</w:t>
            </w:r>
          </w:p>
        </w:tc>
        <w:tc>
          <w:tcPr>
            <w:tcW w:w="223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1.</w:t>
            </w:r>
            <w:r>
              <w:rPr>
                <w:rFonts w:hint="eastAsia" w:ascii="仿宋" w:hAnsi="仿宋" w:eastAsia="仿宋" w:cs="仿宋"/>
                <w:b w:val="0"/>
                <w:bCs w:val="0"/>
                <w:kern w:val="0"/>
                <w:sz w:val="24"/>
                <w:szCs w:val="24"/>
              </w:rPr>
              <w:t>决策</w:t>
            </w:r>
          </w:p>
        </w:tc>
        <w:tc>
          <w:tcPr>
            <w:tcW w:w="2127"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20.00</w:t>
            </w:r>
          </w:p>
        </w:tc>
        <w:tc>
          <w:tcPr>
            <w:tcW w:w="206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18.00</w:t>
            </w:r>
          </w:p>
        </w:tc>
        <w:tc>
          <w:tcPr>
            <w:tcW w:w="223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2.</w:t>
            </w:r>
            <w:r>
              <w:rPr>
                <w:rFonts w:hint="eastAsia" w:ascii="仿宋" w:hAnsi="仿宋" w:eastAsia="仿宋" w:cs="仿宋"/>
                <w:b w:val="0"/>
                <w:bCs w:val="0"/>
                <w:kern w:val="0"/>
                <w:sz w:val="24"/>
                <w:szCs w:val="24"/>
              </w:rPr>
              <w:t>过程</w:t>
            </w:r>
          </w:p>
        </w:tc>
        <w:tc>
          <w:tcPr>
            <w:tcW w:w="2127"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19.00</w:t>
            </w:r>
          </w:p>
        </w:tc>
        <w:tc>
          <w:tcPr>
            <w:tcW w:w="206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cs="仿宋"/>
                <w:sz w:val="24"/>
                <w:szCs w:val="24"/>
                <w:vertAlign w:val="baseline"/>
                <w:lang w:val="en-US" w:eastAsia="zh-CN"/>
              </w:rPr>
              <w:t>15.42</w:t>
            </w:r>
          </w:p>
        </w:tc>
        <w:tc>
          <w:tcPr>
            <w:tcW w:w="223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cs="仿宋"/>
                <w:sz w:val="24"/>
                <w:szCs w:val="24"/>
                <w:vertAlign w:val="baseline"/>
                <w:lang w:val="en-US" w:eastAsia="zh-CN"/>
              </w:rPr>
              <w:t>81.16</w:t>
            </w:r>
            <w:r>
              <w:rPr>
                <w:rFonts w:hint="eastAsia" w:ascii="仿宋" w:hAnsi="仿宋" w:eastAsia="仿宋" w:cs="仿宋"/>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3.</w:t>
            </w:r>
            <w:r>
              <w:rPr>
                <w:rFonts w:hint="eastAsia" w:ascii="仿宋" w:hAnsi="仿宋" w:eastAsia="仿宋" w:cs="仿宋"/>
                <w:b w:val="0"/>
                <w:bCs w:val="0"/>
                <w:kern w:val="0"/>
                <w:sz w:val="24"/>
                <w:szCs w:val="24"/>
              </w:rPr>
              <w:t>产出</w:t>
            </w:r>
          </w:p>
        </w:tc>
        <w:tc>
          <w:tcPr>
            <w:tcW w:w="2127"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28.00</w:t>
            </w:r>
          </w:p>
        </w:tc>
        <w:tc>
          <w:tcPr>
            <w:tcW w:w="206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22.36</w:t>
            </w:r>
          </w:p>
        </w:tc>
        <w:tc>
          <w:tcPr>
            <w:tcW w:w="223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79.86%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lang w:val="en-US" w:eastAsia="zh-CN"/>
              </w:rPr>
              <w:t>4.</w:t>
            </w:r>
            <w:r>
              <w:rPr>
                <w:rFonts w:hint="eastAsia" w:ascii="仿宋" w:hAnsi="仿宋" w:eastAsia="仿宋" w:cs="仿宋"/>
                <w:b w:val="0"/>
                <w:bCs w:val="0"/>
                <w:kern w:val="0"/>
                <w:sz w:val="24"/>
                <w:szCs w:val="24"/>
              </w:rPr>
              <w:t>效益</w:t>
            </w:r>
          </w:p>
        </w:tc>
        <w:tc>
          <w:tcPr>
            <w:tcW w:w="2127"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33.00</w:t>
            </w:r>
          </w:p>
        </w:tc>
        <w:tc>
          <w:tcPr>
            <w:tcW w:w="206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25.00</w:t>
            </w:r>
          </w:p>
        </w:tc>
        <w:tc>
          <w:tcPr>
            <w:tcW w:w="223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75.76%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24"/>
                <w:szCs w:val="24"/>
                <w:lang w:val="en-US" w:eastAsia="zh-CN"/>
              </w:rPr>
            </w:pPr>
            <w:r>
              <w:rPr>
                <w:rFonts w:hint="eastAsia" w:ascii="仿宋" w:hAnsi="仿宋" w:eastAsia="仿宋" w:cs="仿宋"/>
                <w:b/>
                <w:bCs/>
                <w:kern w:val="0"/>
                <w:sz w:val="24"/>
                <w:szCs w:val="24"/>
                <w:lang w:val="en-US" w:eastAsia="zh-CN"/>
              </w:rPr>
              <w:t>综合绩效</w:t>
            </w:r>
          </w:p>
        </w:tc>
        <w:tc>
          <w:tcPr>
            <w:tcW w:w="2127" w:type="dxa"/>
            <w:tcBorders>
              <w:top w:val="single" w:color="auto" w:sz="4" w:space="0"/>
              <w:left w:val="single" w:color="auto" w:sz="4" w:space="0"/>
              <w:bottom w:val="single" w:color="auto" w:sz="4" w:space="0"/>
              <w:right w:val="single" w:color="auto" w:sz="4" w:space="0"/>
            </w:tcBorders>
            <w:vAlign w:val="bottom"/>
          </w:tcPr>
          <w:p>
            <w:pPr>
              <w:ind w:firstLine="0" w:firstLineChars="0"/>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100.00</w:t>
            </w:r>
          </w:p>
        </w:tc>
        <w:tc>
          <w:tcPr>
            <w:tcW w:w="206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b/>
                <w:bCs/>
                <w:kern w:val="2"/>
                <w:sz w:val="24"/>
                <w:szCs w:val="24"/>
                <w:highlight w:val="none"/>
                <w:vertAlign w:val="baseline"/>
                <w:lang w:val="en-US" w:eastAsia="zh-CN" w:bidi="ar-SA"/>
              </w:rPr>
            </w:pPr>
            <w:r>
              <w:rPr>
                <w:rFonts w:hint="eastAsia" w:ascii="仿宋" w:hAnsi="仿宋" w:cs="仿宋"/>
                <w:b/>
                <w:bCs/>
                <w:sz w:val="24"/>
                <w:szCs w:val="24"/>
                <w:highlight w:val="none"/>
                <w:vertAlign w:val="baseline"/>
                <w:lang w:val="en-US" w:eastAsia="zh-CN"/>
              </w:rPr>
              <w:t>80.78</w:t>
            </w:r>
          </w:p>
        </w:tc>
        <w:tc>
          <w:tcPr>
            <w:tcW w:w="2239" w:type="dxa"/>
            <w:tcBorders>
              <w:top w:val="single" w:color="auto" w:sz="4" w:space="0"/>
              <w:left w:val="single" w:color="auto" w:sz="4" w:space="0"/>
              <w:bottom w:val="single" w:color="auto" w:sz="4" w:space="0"/>
              <w:right w:val="single" w:color="auto" w:sz="4" w:space="0"/>
            </w:tcBorders>
            <w:vAlign w:val="bottom"/>
          </w:tcPr>
          <w:p>
            <w:pPr>
              <w:ind w:left="0" w:leftChars="0" w:firstLine="0" w:firstLineChars="0"/>
              <w:jc w:val="center"/>
              <w:rPr>
                <w:rFonts w:hint="eastAsia" w:ascii="仿宋" w:hAnsi="仿宋" w:eastAsia="仿宋" w:cs="仿宋"/>
                <w:b/>
                <w:bCs/>
                <w:kern w:val="2"/>
                <w:sz w:val="24"/>
                <w:szCs w:val="24"/>
                <w:highlight w:val="none"/>
                <w:vertAlign w:val="baseline"/>
                <w:lang w:val="en-US" w:eastAsia="zh-CN" w:bidi="ar-SA"/>
              </w:rPr>
            </w:pPr>
            <w:r>
              <w:rPr>
                <w:rFonts w:hint="eastAsia" w:ascii="仿宋" w:hAnsi="仿宋" w:cs="仿宋"/>
                <w:b/>
                <w:bCs/>
                <w:sz w:val="24"/>
                <w:szCs w:val="24"/>
                <w:highlight w:val="none"/>
                <w:vertAlign w:val="baseline"/>
                <w:lang w:val="en-US" w:eastAsia="zh-CN"/>
              </w:rPr>
              <w:t>80.78</w:t>
            </w:r>
            <w:r>
              <w:rPr>
                <w:rFonts w:hint="eastAsia" w:ascii="仿宋" w:hAnsi="仿宋" w:eastAsia="仿宋" w:cs="仿宋"/>
                <w:b/>
                <w:bCs/>
                <w:sz w:val="24"/>
                <w:szCs w:val="24"/>
                <w:highlight w:val="none"/>
                <w:vertAlign w:val="baseline"/>
                <w:lang w:val="en-US" w:eastAsia="zh-CN"/>
              </w:rPr>
              <w:t>%</w:t>
            </w:r>
          </w:p>
        </w:tc>
      </w:tr>
    </w:tbl>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楷体" w:hAnsi="楷体" w:eastAsia="楷体" w:cs="楷体"/>
          <w:bCs/>
          <w:caps/>
          <w:sz w:val="32"/>
          <w:szCs w:val="32"/>
          <w:lang w:val="en-US" w:eastAsia="zh-CN"/>
        </w:rPr>
      </w:pPr>
      <w:r>
        <w:rPr>
          <w:rFonts w:hint="eastAsia" w:ascii="楷体" w:hAnsi="楷体" w:eastAsia="楷体" w:cs="楷体"/>
          <w:bCs/>
          <w:caps/>
          <w:sz w:val="32"/>
          <w:szCs w:val="32"/>
          <w:lang w:val="en-US" w:eastAsia="zh-CN"/>
        </w:rPr>
        <w:t>（二）成本效益分析</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在项目实施标准完善性指标分析方面，主要对土地改良工程、灌溉与排水工程、田间道路工程、农田防护林网生态工程、农田输配电工程实施标准进行查验，主要发现项目未明确细化工程项目实施标准。</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caps/>
          <w:sz w:val="22"/>
          <w:szCs w:val="22"/>
          <w:lang w:val="en-US" w:eastAsia="zh-CN"/>
        </w:rPr>
      </w:pPr>
      <w:r>
        <w:rPr>
          <w:rFonts w:hint="eastAsia" w:ascii="仿宋" w:hAnsi="仿宋" w:eastAsia="仿宋" w:cs="仿宋"/>
          <w:bCs/>
          <w:caps/>
          <w:sz w:val="32"/>
          <w:szCs w:val="32"/>
          <w:lang w:val="en-US" w:eastAsia="zh-CN"/>
        </w:rPr>
        <w:t>在项目支出标准完善性指标分析方面，采用相对标准偏差来同组数据的离散程度，以此来横向对比分析同类工程不同项目之间的成本实施标准的离散偏差，主要发现项目实施设计概算标准不明确、不统一问题</w:t>
      </w:r>
      <w:r>
        <w:rPr>
          <w:rFonts w:hint="eastAsia" w:ascii="仿宋" w:hAnsi="仿宋" w:eastAsia="仿宋" w:cs="仿宋"/>
          <w:i w:val="0"/>
          <w:iCs w:val="0"/>
          <w:sz w:val="32"/>
          <w:szCs w:val="32"/>
          <w:lang w:eastAsia="zh-Hans"/>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四、项目主要绩效、存在问题及原因分析</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（一）项目主要绩效</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深入贯彻落实“藏粮于地、藏粮于技”战略，持续深化农业供给侧结构性改革，探索构建“四级联动”高效推进、“高标田+”深度融合、“五位一体”长效管护的“建用管”三大体系，成功蹚出一条闭环式全链条“高标准农田+”融合发展新路子。截至目前，全市累计建成高标准农田354.70万亩，其中，2021-2022连续两年新建面积突破100.00万亩、居山东省首位。</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1.抓好流程管理，有序推进高标准农田项目实施</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高标准农田建设采取今年设计，明年实施的整体建设思路。菏泽市农业农村局成立高标准农田建设领导小组及项目指挥部，建立市县镇村“四级”联动推进机制，从项目管理、前期立项、质量管理、评价激励、竣工验收、运行管护等方面，明晰任务目标，厘清职责标准，推动形成“市县负总责、镇街抓落实、村级为主体、所有者管护、使用者自护、受益者参与”工作格局，有序推进高标准农田项目实施。</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2.把握政策红利、全面提升菏泽市农业生产水平</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农业农村局先后制定《菏泽市高标准农田建设项目后期管护办法》《菏泽市高标准农田建设综合评价实施办法》《菏泽市高标准农田建设项目设计变更暂行规定（试行）》等制度文件，健全政策制度，明确建设目标、细化任务分解，强化保障措施。通过高标准农田的新增建设，增强了菏泽市粮食安全保障能力，稳定保障粮食产能，建设的高标准农田成为旱涝保收、高效稳产的农田，有效推进菏泽市农业高质量发展，促进</w:t>
      </w:r>
      <w:r>
        <w:rPr>
          <w:rFonts w:hint="eastAsia" w:ascii="仿宋" w:hAnsi="仿宋" w:cs="仿宋"/>
          <w:bCs/>
          <w:sz w:val="32"/>
          <w:szCs w:val="32"/>
          <w:lang w:val="en-US" w:eastAsia="zh-CN"/>
        </w:rPr>
        <w:t>农业</w:t>
      </w:r>
      <w:r>
        <w:rPr>
          <w:rFonts w:hint="eastAsia" w:ascii="仿宋" w:hAnsi="仿宋" w:eastAsia="仿宋" w:cs="仿宋"/>
          <w:bCs/>
          <w:sz w:val="32"/>
          <w:szCs w:val="32"/>
          <w:lang w:val="en-US" w:eastAsia="zh-CN"/>
        </w:rPr>
        <w:t>规模化、标准化、机械化，加快农业新技术、新品种、新模式、新装备的推广应用，推动农业经营方式、生产方式、资源利用方式的转型升级，促进良种、良法、良田、良制的有效结合。</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3.创新高标准农田管理模式、全面推进乡村振兴战略</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（1）创新“高标准农田+良种繁育”模式。依托高标准农田土地等级高、生产配套齐全等优势，大力推进“良田”配“良种”，鼓励种粮大户研发新种、良种，推动种业发展。</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（2）创新“高标准农田+智慧农业”模式。探索实施节水喷灌改造，建设集遥感监测、高标准农田、智慧农机作业于一体的数字农业农村服务管理平台，实现农田管理“天上看、云里算、掌上管”。</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（3）创新“高标准农田+特色产业”模式。充分发挥农田质量高、产出能力高、抗灾能力高和资源利用效率高等优势，推动本土特色产业由“小特产”升级为“大产业”。</w:t>
      </w:r>
    </w:p>
    <w:p>
      <w:pPr>
        <w:pStyle w:val="9"/>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创新“高标准农田+新型主体”模式。探索“流转+入股”模式，成立土地流转中心，引导种粮农户采用土地经营权委托流转及作价入股等方式流转土地，抱团组建合作社或家庭农场，推动粮食种植规模化发展，推动“好土地”流向“好主体”。</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（二）存在问题及原因分析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
          <w:bCs w:val="0"/>
          <w:i w:val="0"/>
          <w:iCs w:val="0"/>
          <w:sz w:val="32"/>
          <w:szCs w:val="32"/>
          <w:lang w:val="en-US" w:eastAsia="zh-CN"/>
        </w:rPr>
      </w:pPr>
      <w:r>
        <w:rPr>
          <w:rFonts w:hint="eastAsia" w:ascii="仿宋" w:hAnsi="仿宋" w:eastAsia="仿宋" w:cs="仿宋"/>
          <w:b/>
          <w:bCs w:val="0"/>
          <w:i w:val="0"/>
          <w:iCs w:val="0"/>
          <w:sz w:val="32"/>
          <w:szCs w:val="32"/>
          <w:lang w:val="en-US" w:eastAsia="zh-CN"/>
        </w:rPr>
        <w:t>1.高标准农田项目实施成本管控不严格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（1）项目实施设计概算标准不明确、不统一</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菏泽市高标准农田项目实施的工程单价存在核算不实、定义不清、标准不一、管理混乱的问题。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（2）未明确细化工程项目实施标准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评价组在评价实施过程中未在菏泽市该项目有关资料中查阅到明确、统一的工程项目实施标准。例如菏泽市高标准农田防护林工程实施标准为造林成活率达到90%以上，三年后树木保存率达到85%以上，做到林相整齐、结构合理，但未对种植防护林种类、种植密度进行约束，农田防护林网生态工程实施标准不完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（3）项目实施缺少统一明确的支出标准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据目前所有项目实施资料显示，五类一级子项目、超过十二类二级子项目皆未设置明确的支出标准，缺少支出标准也直接导致高标准农田项目设计概算中无法进行工程单价的统一核算，给项目实施和财政资金的执行带来了浪费或者产出效益不高的管理风险。</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2.市级主管部门履行管理责任不到位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（1）市级实施方案不完善，缺少事前绩效评估程序</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农业农村局作为菏泽全市高标准农田项目实施的市级主管部门，应当在前一年度编制下一年度全市高标准农田年度实施方案、制定详细实施计划，并组织县（区）农业农村局作为项目实施主体责任部门，开展必要的事前绩效评估、风险评估程序。经查验资料，菏泽市农业农村局编制《菏泽市2022年农田建设项目计划备案报告》，但整体文件内容较为简单，且编制时间为2022年6月份，在各县（区）编制实施方案之后，未能发挥项目实施方案计划的作用。</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3.高标准农田项目长效机制缺位、实施效益不明确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（1）高标准农田管护措施落实不到位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灌溉与排水方面，部分项目区沟渠中清淤工作存在不到位的现象，沟渠中存在污水、臭水、垃圾，部分桥梁及沟渠堤坝两旁杂草众多；在桥涵建设方面，项目区部分桥涵出现较大裂纹；在农田防护林网方面，部分项目区农田防护林网生态工程栽植防护林成活率较低；在项目标识牌方面，部分项目区桥涵建设完成后未及时悬挂高标准农田标识牌；高标准农田管护措施落实不到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（2）建设工程资产未及时转化入账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高标准农田建设项目已完工并验收完成，但截至评价日，各县（区）农业农村局均未及时进行资产移交，项目资产移交进度慢。各镇街亦未按照要求及时对高标准农田工程实施形成的资产及时入账管理。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（3）高标准农田项目实施效益测算依据不明确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对于高标准农田项目实施后经济效益、生态效益、社会效益、可持续影响等方面只是采用定性的表述，未将项目各方面产生的效益进行量化表述，项目实施效益测算不明确。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五、有关建议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Cs/>
          <w:sz w:val="32"/>
          <w:szCs w:val="32"/>
          <w:lang w:eastAsia="zh-CN"/>
        </w:rPr>
      </w:pPr>
      <w:r>
        <w:rPr>
          <w:rFonts w:hint="eastAsia" w:ascii="楷体" w:hAnsi="楷体" w:eastAsia="楷体" w:cs="楷体"/>
          <w:bCs/>
          <w:sz w:val="32"/>
          <w:szCs w:val="32"/>
          <w:lang w:eastAsia="zh-CN"/>
        </w:rPr>
        <w:t>（一）精细核定项目成本、加强项目标准体系建设</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
          <w:bCs w:val="0"/>
          <w:sz w:val="32"/>
          <w:szCs w:val="32"/>
          <w:lang w:eastAsia="zh-CN"/>
        </w:rPr>
      </w:pPr>
      <w:r>
        <w:rPr>
          <w:rFonts w:hint="eastAsia" w:ascii="仿宋" w:hAnsi="仿宋" w:eastAsia="仿宋" w:cs="仿宋"/>
          <w:b/>
          <w:bCs w:val="0"/>
          <w:sz w:val="32"/>
          <w:szCs w:val="32"/>
          <w:lang w:eastAsia="zh-CN"/>
        </w:rPr>
        <w:t>1.加强高标准农田建设项目成本支出标准体系建设</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针对高标准农田建设土地改良、灌溉与排水、田间道路、农田防护林网、农田输配电工程制定相关成本定额标准，需要各县（区）农业农村部门结合本地区高标准农田实施情况，实际项目工程环境，结合环境要素同等的地区进行横向对比分析，对各项工程的细化任务梳理明细成本构成，确定各项工程成本定额支出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
          <w:bCs w:val="0"/>
          <w:sz w:val="32"/>
          <w:szCs w:val="32"/>
          <w:lang w:eastAsia="zh-CN"/>
        </w:rPr>
      </w:pPr>
      <w:r>
        <w:rPr>
          <w:rFonts w:hint="eastAsia" w:ascii="仿宋" w:hAnsi="仿宋" w:eastAsia="仿宋" w:cs="仿宋"/>
          <w:b/>
          <w:bCs w:val="0"/>
          <w:sz w:val="32"/>
          <w:szCs w:val="32"/>
          <w:lang w:eastAsia="zh-CN"/>
        </w:rPr>
        <w:t>2.完善高标准农田建设项目工程实施标准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参照《高标准农田建设通则》（GBT 30600-2022）明确各类工程的实施作业标准，未明确的实施标准，</w:t>
      </w:r>
      <w:r>
        <w:rPr>
          <w:rFonts w:hint="eastAsia" w:ascii="仿宋" w:hAnsi="仿宋" w:eastAsia="仿宋" w:cs="仿宋"/>
          <w:bCs/>
          <w:sz w:val="32"/>
          <w:szCs w:val="32"/>
          <w:lang w:val="en-US" w:eastAsia="zh-CN"/>
        </w:rPr>
        <w:t>也</w:t>
      </w:r>
      <w:r>
        <w:rPr>
          <w:rFonts w:hint="eastAsia" w:ascii="仿宋" w:hAnsi="仿宋" w:eastAsia="仿宋" w:cs="仿宋"/>
          <w:bCs/>
          <w:sz w:val="32"/>
          <w:szCs w:val="32"/>
          <w:lang w:eastAsia="zh-CN"/>
        </w:rPr>
        <w:t>要针对属地项目区的特性进行细化，形成因地制宜、适合属地高标准农田建设项目区的工程实施标准。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Cs/>
          <w:sz w:val="32"/>
          <w:szCs w:val="32"/>
          <w:lang w:eastAsia="zh-CN"/>
        </w:rPr>
      </w:pPr>
      <w:r>
        <w:rPr>
          <w:rFonts w:hint="eastAsia" w:ascii="楷体" w:hAnsi="楷体" w:eastAsia="楷体" w:cs="楷体"/>
          <w:bCs/>
          <w:sz w:val="32"/>
          <w:szCs w:val="32"/>
          <w:lang w:eastAsia="zh-CN"/>
        </w:rPr>
        <w:t>（二）精准实施项目计划、做好项目事前管理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一是</w:t>
      </w:r>
      <w:r>
        <w:rPr>
          <w:rFonts w:hint="eastAsia" w:ascii="仿宋" w:hAnsi="仿宋" w:eastAsia="仿宋" w:cs="仿宋"/>
          <w:bCs/>
          <w:sz w:val="32"/>
          <w:szCs w:val="32"/>
          <w:lang w:eastAsia="zh-CN"/>
        </w:rPr>
        <w:t>在</w:t>
      </w:r>
      <w:r>
        <w:rPr>
          <w:rFonts w:hint="eastAsia" w:ascii="仿宋" w:hAnsi="仿宋" w:eastAsia="仿宋" w:cs="仿宋"/>
          <w:bCs/>
          <w:sz w:val="32"/>
          <w:szCs w:val="32"/>
          <w:lang w:val="en-US" w:eastAsia="zh-CN"/>
        </w:rPr>
        <w:t>编</w:t>
      </w:r>
      <w:r>
        <w:rPr>
          <w:rFonts w:hint="eastAsia" w:ascii="仿宋" w:hAnsi="仿宋" w:eastAsia="仿宋" w:cs="仿宋"/>
          <w:bCs/>
          <w:sz w:val="32"/>
          <w:szCs w:val="32"/>
          <w:lang w:eastAsia="zh-CN"/>
        </w:rPr>
        <w:t>制下一年度实施方案、制定详细实施计划</w:t>
      </w:r>
      <w:r>
        <w:rPr>
          <w:rFonts w:hint="eastAsia" w:ascii="仿宋" w:hAnsi="仿宋" w:eastAsia="仿宋" w:cs="仿宋"/>
          <w:bCs/>
          <w:sz w:val="32"/>
          <w:szCs w:val="32"/>
          <w:lang w:val="en-US" w:eastAsia="zh-CN"/>
        </w:rPr>
        <w:t>时，</w:t>
      </w:r>
      <w:r>
        <w:rPr>
          <w:rFonts w:hint="eastAsia" w:ascii="仿宋" w:hAnsi="仿宋" w:eastAsia="仿宋" w:cs="仿宋"/>
          <w:bCs/>
          <w:sz w:val="32"/>
          <w:szCs w:val="32"/>
          <w:lang w:eastAsia="zh-CN"/>
        </w:rPr>
        <w:t>根据菏泽市整体计划，</w:t>
      </w:r>
      <w:r>
        <w:rPr>
          <w:rFonts w:hint="eastAsia" w:ascii="仿宋" w:hAnsi="仿宋" w:eastAsia="仿宋" w:cs="仿宋"/>
          <w:bCs/>
          <w:sz w:val="32"/>
          <w:szCs w:val="32"/>
          <w:lang w:val="en-US" w:eastAsia="zh-CN"/>
        </w:rPr>
        <w:t>对</w:t>
      </w:r>
      <w:r>
        <w:rPr>
          <w:rFonts w:hint="eastAsia" w:ascii="仿宋" w:hAnsi="仿宋" w:eastAsia="仿宋" w:cs="仿宋"/>
          <w:bCs/>
          <w:sz w:val="32"/>
          <w:szCs w:val="32"/>
          <w:lang w:eastAsia="zh-CN"/>
        </w:rPr>
        <w:t>方案进一步细化，形成各县（区）高标准农田建设实施方案，组织开展必要的事前绩效评估。</w:t>
      </w:r>
      <w:r>
        <w:rPr>
          <w:rFonts w:hint="eastAsia" w:ascii="仿宋" w:hAnsi="仿宋" w:eastAsia="仿宋" w:cs="仿宋"/>
          <w:bCs/>
          <w:sz w:val="32"/>
          <w:szCs w:val="32"/>
          <w:lang w:val="en-US" w:eastAsia="zh-CN"/>
        </w:rPr>
        <w:t>二是</w:t>
      </w:r>
      <w:r>
        <w:rPr>
          <w:rFonts w:hint="eastAsia" w:ascii="仿宋" w:hAnsi="仿宋" w:eastAsia="仿宋" w:cs="仿宋"/>
          <w:bCs/>
          <w:sz w:val="32"/>
          <w:szCs w:val="32"/>
          <w:lang w:eastAsia="zh-CN"/>
        </w:rPr>
        <w:t>采用“社会稳定风险评估公众参与”方式，</w:t>
      </w:r>
      <w:r>
        <w:rPr>
          <w:rFonts w:hint="eastAsia" w:ascii="仿宋" w:hAnsi="仿宋" w:eastAsia="仿宋" w:cs="仿宋"/>
          <w:bCs/>
          <w:sz w:val="32"/>
          <w:szCs w:val="32"/>
          <w:lang w:val="en-US" w:eastAsia="zh-CN"/>
        </w:rPr>
        <w:t>组</w:t>
      </w:r>
      <w:r>
        <w:rPr>
          <w:rFonts w:hint="eastAsia" w:ascii="仿宋" w:hAnsi="仿宋" w:eastAsia="仿宋" w:cs="仿宋"/>
          <w:bCs/>
          <w:sz w:val="32"/>
          <w:szCs w:val="32"/>
          <w:lang w:eastAsia="zh-CN"/>
        </w:rPr>
        <w:t>织开展高标准农田建设整体风险评估，因地制宜，提前规避项目建设过程中的风险，提出化解措施。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楷体" w:hAnsi="楷体" w:eastAsia="楷体" w:cs="楷体"/>
          <w:bCs/>
          <w:sz w:val="32"/>
          <w:szCs w:val="32"/>
          <w:lang w:eastAsia="zh-CN"/>
        </w:rPr>
      </w:pP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三</w:t>
      </w:r>
      <w:r>
        <w:rPr>
          <w:rFonts w:hint="eastAsia" w:ascii="楷体" w:hAnsi="楷体" w:eastAsia="楷体" w:cs="楷体"/>
          <w:bCs/>
          <w:sz w:val="32"/>
          <w:szCs w:val="32"/>
          <w:lang w:eastAsia="zh-CN"/>
        </w:rPr>
        <w:t>）精确测试实施效益、推动项目长效机制落地</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Cs/>
          <w:sz w:val="32"/>
          <w:szCs w:val="32"/>
          <w:lang w:eastAsia="zh-CN"/>
        </w:rPr>
      </w:pPr>
      <w:r>
        <w:rPr>
          <w:rFonts w:hint="eastAsia" w:ascii="仿宋" w:hAnsi="仿宋" w:eastAsia="仿宋" w:cs="仿宋"/>
          <w:b/>
          <w:bCs w:val="0"/>
          <w:sz w:val="32"/>
          <w:szCs w:val="32"/>
          <w:lang w:val="en-US" w:eastAsia="zh-CN"/>
        </w:rPr>
        <w:t>一是</w:t>
      </w:r>
      <w:r>
        <w:rPr>
          <w:rFonts w:hint="eastAsia" w:ascii="仿宋" w:hAnsi="仿宋" w:eastAsia="仿宋" w:cs="仿宋"/>
          <w:b/>
          <w:bCs w:val="0"/>
          <w:sz w:val="32"/>
          <w:szCs w:val="32"/>
          <w:lang w:eastAsia="zh-CN"/>
        </w:rPr>
        <w:t>严格落实管护制度，进一步加强项目建设配套基础设施后期管护。</w:t>
      </w:r>
      <w:r>
        <w:rPr>
          <w:rFonts w:hint="eastAsia" w:ascii="仿宋" w:hAnsi="仿宋" w:eastAsia="仿宋" w:cs="仿宋"/>
          <w:bCs/>
          <w:sz w:val="32"/>
          <w:szCs w:val="32"/>
          <w:lang w:eastAsia="zh-CN"/>
        </w:rPr>
        <w:t>制定《高标准农田建设项目后期管护实施细则》，对于已经建立相关管理制度的县（区），要严格按照管护办法制度开展后期管护工作，层层压实高标准农田管护主体责任；市农业农村局可以把“后期管护工作”作为年度考核指标，督促各县（区）农业农村局真正落实维护管护责任。加强管护宣传，树立“高标准农田设施爱护人人有责”的观念。由于项目建设后配套设施资产位于田间，本着防重于治的原则，积极向项目区群众、农户进行宣传，如采用村支部广播、宣传条幅、张贴印刷标语等方式，使得“高标准农田设施爱护人人有责”的观念深入人心，让农民农户认识到高标准农田维护工作的重要性。探索管护维护新模式、新手段；探索通过专项管护资金列入财政预算、建立高标准农田建设管护维修基金、开展高标准农田保险试点等方式，有效解决工程后期管护维修资金问题，针对项目“三分建，七分管”的特点和管护难点，建议各县（区）农业农村局积极探索“高标准农田管护保险”路径，从农田管理中引入保险机制，创新高标准农田建后管护试点，与规模大、有实力的保险公司达成高标准农田建设管护协议，保障高标准农田因自然灾害或意外事故造成的设备设施损坏维修费用，明确保险公司的责任范围与赔付机制，确保农田建设设施发生意外时能够及时得到赔付，切实破解建后管护难题。</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Cs/>
          <w:sz w:val="32"/>
          <w:szCs w:val="32"/>
          <w:lang w:eastAsia="zh-CN"/>
        </w:rPr>
      </w:pPr>
      <w:r>
        <w:rPr>
          <w:rFonts w:hint="eastAsia" w:ascii="仿宋" w:hAnsi="仿宋" w:eastAsia="仿宋" w:cs="仿宋"/>
          <w:b/>
          <w:bCs w:val="0"/>
          <w:sz w:val="32"/>
          <w:szCs w:val="32"/>
          <w:lang w:val="en-US" w:eastAsia="zh-CN"/>
        </w:rPr>
        <w:t>二是</w:t>
      </w:r>
      <w:r>
        <w:rPr>
          <w:rFonts w:hint="eastAsia" w:ascii="仿宋" w:hAnsi="仿宋" w:eastAsia="仿宋" w:cs="仿宋"/>
          <w:b/>
          <w:bCs w:val="0"/>
          <w:sz w:val="32"/>
          <w:szCs w:val="32"/>
          <w:lang w:eastAsia="zh-CN"/>
        </w:rPr>
        <w:t>及时移交项目资产，明确资产管护主体。</w:t>
      </w:r>
      <w:r>
        <w:rPr>
          <w:rFonts w:hint="eastAsia" w:ascii="仿宋" w:hAnsi="仿宋" w:eastAsia="仿宋" w:cs="仿宋"/>
          <w:bCs/>
          <w:sz w:val="32"/>
          <w:szCs w:val="32"/>
          <w:lang w:eastAsia="zh-CN"/>
        </w:rPr>
        <w:t>明确管护主体，按照《菏泽市高标准农田建设项目后期管护办法》及时进行资产及管护责任的移交，按照管护办法、属地管理和“谁使用、谁管护、谁受益、谁负责”的原则，建立“市县负总责、乡镇监管、村为主体”的管护机制，及时与项目所在乡镇签订《高标准农田建设项目固定资产账务移交及工程管护协议书》，以文件形式明晰高标准农田的产权关系，已规模化流转的高标准农田，由取得土地经营权的新型农业经营主体为管护实施主体，未流转的高标准农田，由所在村（组）集体为管护实施主体。加强管护监管，菏泽市农业农村局作为全市项目主管部门，要负有监管责任，负责对各县（区）资产移交情况、管护移交情况进行组织协调、监督指导、检查考核等工作；各县（区）农业农村局对区域内项目资产移交情况、管护情况负总责，及时进行资产及管护责任移交；乡镇政府作为资产、管护责任的接收方，应承担属地项目区域的管护责任，指导村委会进行相关设施管护，积极引导种粮大户、家庭农场、涉农企业参与项目的管护维护。</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bCs/>
          <w:sz w:val="32"/>
          <w:szCs w:val="32"/>
          <w:lang w:eastAsia="zh-CN"/>
        </w:rPr>
      </w:pPr>
      <w:r>
        <w:rPr>
          <w:rFonts w:hint="eastAsia" w:ascii="仿宋" w:hAnsi="仿宋" w:eastAsia="仿宋" w:cs="仿宋"/>
          <w:b/>
          <w:bCs w:val="0"/>
          <w:sz w:val="32"/>
          <w:szCs w:val="32"/>
          <w:lang w:val="en-US" w:eastAsia="zh-CN"/>
        </w:rPr>
        <w:t>三是</w:t>
      </w:r>
      <w:r>
        <w:rPr>
          <w:rFonts w:hint="eastAsia" w:ascii="仿宋" w:hAnsi="仿宋" w:eastAsia="仿宋" w:cs="仿宋"/>
          <w:b/>
          <w:bCs w:val="0"/>
          <w:sz w:val="32"/>
          <w:szCs w:val="32"/>
          <w:lang w:eastAsia="zh-CN"/>
        </w:rPr>
        <w:t>明确高标准农田建设效益测算依据。</w:t>
      </w:r>
      <w:r>
        <w:rPr>
          <w:rFonts w:hint="eastAsia" w:ascii="仿宋" w:hAnsi="仿宋" w:eastAsia="仿宋" w:cs="仿宋"/>
          <w:bCs/>
          <w:sz w:val="32"/>
          <w:szCs w:val="32"/>
          <w:lang w:eastAsia="zh-CN"/>
        </w:rPr>
        <w:t>按照《农业农村部中央预算内投资补助地方农业建设项目绩效管理办法（试行）》（农办计财〔2021〕45号）、《《农业相关转移支付资金绩效管理办法》（财农〔2019〕48号）》等文件要求，高质量编制项目绩效目标表，做到细化量化、效益明确可测算，在效益指标年度指标值及依据方面明确效益具体量化指标，以具体量化数据约束项目实施后效益。明确效益测算依据。项目验收时可以采用具体的效益测算指标进行验收，例如通过“建设面积完成率、新增灌溉面积率、道路通达率、粮食单产、农业销售收入、项目区年产值、植被覆盖率、土地垦殖率、项目节水率”等一系列量化指标进行验收考核，明确项目效益测算指标依据，为高标准农田项目建设提供更好的数据支撑，发现建设效益的不足，改进项目后期建设管理。</w:t>
      </w:r>
    </w:p>
    <w:sectPr>
      <w:footerReference r:id="rId3"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358392A"/>
    <w:rsid w:val="03D2588F"/>
    <w:rsid w:val="061B1299"/>
    <w:rsid w:val="06351910"/>
    <w:rsid w:val="067610D2"/>
    <w:rsid w:val="0A4136DC"/>
    <w:rsid w:val="0A891503"/>
    <w:rsid w:val="0CF77A73"/>
    <w:rsid w:val="0D2C799D"/>
    <w:rsid w:val="0F0E2EB6"/>
    <w:rsid w:val="10A13A9A"/>
    <w:rsid w:val="133231B9"/>
    <w:rsid w:val="134D114A"/>
    <w:rsid w:val="142E449C"/>
    <w:rsid w:val="15A2564A"/>
    <w:rsid w:val="16AA2D18"/>
    <w:rsid w:val="1AD64829"/>
    <w:rsid w:val="1B697783"/>
    <w:rsid w:val="1F037166"/>
    <w:rsid w:val="213B4094"/>
    <w:rsid w:val="227E06DD"/>
    <w:rsid w:val="23802D1B"/>
    <w:rsid w:val="27CE7742"/>
    <w:rsid w:val="2B591CE7"/>
    <w:rsid w:val="2C005C55"/>
    <w:rsid w:val="2EBD42B9"/>
    <w:rsid w:val="30D77936"/>
    <w:rsid w:val="3264169D"/>
    <w:rsid w:val="3ADB364D"/>
    <w:rsid w:val="3CAE71FE"/>
    <w:rsid w:val="412B156F"/>
    <w:rsid w:val="42204EB5"/>
    <w:rsid w:val="436D69D6"/>
    <w:rsid w:val="45EE7D8D"/>
    <w:rsid w:val="46EB3CE3"/>
    <w:rsid w:val="49635DB3"/>
    <w:rsid w:val="4A6322C3"/>
    <w:rsid w:val="4C6E0437"/>
    <w:rsid w:val="4D62704B"/>
    <w:rsid w:val="4E73291C"/>
    <w:rsid w:val="4FF8000F"/>
    <w:rsid w:val="50DD2CFF"/>
    <w:rsid w:val="522462FB"/>
    <w:rsid w:val="52601456"/>
    <w:rsid w:val="52726FE2"/>
    <w:rsid w:val="54921C42"/>
    <w:rsid w:val="55272692"/>
    <w:rsid w:val="56006068"/>
    <w:rsid w:val="575B67D4"/>
    <w:rsid w:val="5C924D42"/>
    <w:rsid w:val="5D5F46F0"/>
    <w:rsid w:val="61D153CB"/>
    <w:rsid w:val="62EB2352"/>
    <w:rsid w:val="639F3A33"/>
    <w:rsid w:val="63AA57A7"/>
    <w:rsid w:val="64D771FD"/>
    <w:rsid w:val="64E37928"/>
    <w:rsid w:val="677A37D4"/>
    <w:rsid w:val="680E1188"/>
    <w:rsid w:val="68302CED"/>
    <w:rsid w:val="68A64545"/>
    <w:rsid w:val="6A505BEF"/>
    <w:rsid w:val="6B614ECF"/>
    <w:rsid w:val="6BBB33D4"/>
    <w:rsid w:val="6F073FD6"/>
    <w:rsid w:val="7069114B"/>
    <w:rsid w:val="7476258E"/>
    <w:rsid w:val="754B7943"/>
    <w:rsid w:val="7639722B"/>
    <w:rsid w:val="76822B5C"/>
    <w:rsid w:val="77123106"/>
    <w:rsid w:val="794908F9"/>
    <w:rsid w:val="7BA13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3">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7">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8">
    <w:name w:val="toc 2"/>
    <w:basedOn w:val="1"/>
    <w:next w:val="1"/>
    <w:unhideWhenUsed/>
    <w:qFormat/>
    <w:uiPriority w:val="39"/>
    <w:pPr>
      <w:ind w:left="420" w:leftChars="200"/>
    </w:pPr>
  </w:style>
  <w:style w:type="paragraph" w:styleId="9">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footnote reference"/>
    <w:basedOn w:val="12"/>
    <w:qFormat/>
    <w:uiPriority w:val="0"/>
    <w:rPr>
      <w:vertAlign w:val="superscript"/>
    </w:rPr>
  </w:style>
  <w:style w:type="paragraph" w:customStyle="1" w:styleId="15">
    <w:name w:val="_Style 3"/>
    <w:basedOn w:val="1"/>
    <w:next w:val="16"/>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25</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2023-12-27T09:33:04Z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956398F138A04FDEA10CCD5B7554D878_13</vt:lpwstr>
  </property>
</Properties>
</file>