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ascii="Times New Roman" w:hAnsi="Times New Roman" w:eastAsia="方正小标宋简体" w:cs="Times New Roman"/>
          <w:bCs/>
          <w:sz w:val="44"/>
          <w:szCs w:val="44"/>
        </w:rPr>
      </w:pPr>
      <w:r>
        <w:rPr>
          <w:rFonts w:hint="eastAsia" w:ascii="Times New Roman" w:hAnsi="Times New Roman" w:eastAsia="方正小标宋简体" w:cs="Times New Roman"/>
          <w:bCs/>
          <w:sz w:val="44"/>
          <w:szCs w:val="44"/>
        </w:rPr>
        <w:t>菏泽市</w:t>
      </w:r>
      <w:r>
        <w:rPr>
          <w:rFonts w:hint="eastAsia" w:ascii="Times New Roman" w:hAnsi="Times New Roman" w:eastAsia="方正小标宋简体" w:cs="Times New Roman"/>
          <w:bCs/>
          <w:sz w:val="44"/>
          <w:szCs w:val="44"/>
          <w:lang w:val="en-US" w:eastAsia="zh-CN"/>
        </w:rPr>
        <w:t>单县</w:t>
      </w:r>
      <w:r>
        <w:rPr>
          <w:rFonts w:hint="eastAsia" w:ascii="Times New Roman" w:hAnsi="Times New Roman" w:eastAsia="方正小标宋简体" w:cs="Times New Roman"/>
          <w:bCs/>
          <w:sz w:val="44"/>
          <w:szCs w:val="44"/>
        </w:rPr>
        <w:t>湖西新动能产业发展基金</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ascii="Times New Roman" w:hAnsi="Times New Roman" w:eastAsia="方正小标宋简体" w:cs="Times New Roman"/>
          <w:bCs/>
          <w:sz w:val="44"/>
          <w:szCs w:val="44"/>
        </w:rPr>
      </w:pPr>
      <w:r>
        <w:rPr>
          <w:rFonts w:ascii="Times New Roman" w:hAnsi="Times New Roman" w:eastAsia="方正小标宋简体" w:cs="Times New Roman"/>
          <w:bCs/>
          <w:sz w:val="44"/>
          <w:szCs w:val="44"/>
        </w:rPr>
        <w:t>项目支出绩效评价报告</w:t>
      </w:r>
    </w:p>
    <w:p>
      <w:pPr>
        <w:pStyle w:val="45"/>
        <w:spacing w:line="560" w:lineRule="exact"/>
        <w:rPr>
          <w:rFonts w:eastAsia="宋体"/>
          <w:bCs/>
          <w:sz w:val="32"/>
          <w:szCs w:val="32"/>
        </w:rPr>
      </w:pPr>
    </w:p>
    <w:p>
      <w:pPr>
        <w:pStyle w:val="36"/>
        <w:spacing w:line="600" w:lineRule="exact"/>
        <w:ind w:left="640" w:firstLine="0" w:firstLineChars="0"/>
        <w:outlineLvl w:val="0"/>
        <w:rPr>
          <w:rFonts w:ascii="Times New Roman" w:hAnsi="Times New Roman" w:eastAsia="黑体" w:cs="Times New Roman"/>
          <w:bCs/>
          <w:sz w:val="32"/>
          <w:szCs w:val="32"/>
        </w:rPr>
      </w:pPr>
      <w:bookmarkStart w:id="0" w:name="_Toc115301519"/>
      <w:bookmarkStart w:id="1" w:name="_Toc154238737"/>
      <w:r>
        <w:rPr>
          <w:rFonts w:ascii="Times New Roman" w:hAnsi="Times New Roman" w:eastAsia="黑体" w:cs="Times New Roman"/>
          <w:bCs/>
          <w:sz w:val="32"/>
          <w:szCs w:val="32"/>
        </w:rPr>
        <w:t>一、项目基本情况</w:t>
      </w:r>
      <w:bookmarkEnd w:id="0"/>
      <w:bookmarkEnd w:id="1"/>
    </w:p>
    <w:p>
      <w:pPr>
        <w:snapToGrid w:val="0"/>
        <w:spacing w:line="600" w:lineRule="exact"/>
        <w:ind w:firstLine="640" w:firstLineChars="200"/>
        <w:outlineLvl w:val="1"/>
        <w:rPr>
          <w:rFonts w:ascii="Times New Roman" w:hAnsi="Times New Roman" w:eastAsia="楷体_GB2312" w:cs="Times New Roman"/>
          <w:bCs/>
          <w:sz w:val="32"/>
          <w:szCs w:val="32"/>
        </w:rPr>
      </w:pPr>
      <w:bookmarkStart w:id="2" w:name="_Toc115301520"/>
      <w:bookmarkStart w:id="3" w:name="_Toc154238738"/>
      <w:bookmarkStart w:id="4" w:name="_Toc532721585"/>
      <w:r>
        <w:rPr>
          <w:rFonts w:ascii="Times New Roman" w:hAnsi="Times New Roman" w:eastAsia="楷体_GB2312" w:cs="Times New Roman"/>
          <w:bCs/>
          <w:sz w:val="32"/>
          <w:szCs w:val="32"/>
        </w:rPr>
        <w:t>（一）</w:t>
      </w:r>
      <w:bookmarkEnd w:id="2"/>
      <w:r>
        <w:rPr>
          <w:rFonts w:ascii="Times New Roman" w:hAnsi="Times New Roman" w:eastAsia="楷体_GB2312" w:cs="Times New Roman"/>
          <w:bCs/>
          <w:sz w:val="32"/>
          <w:szCs w:val="32"/>
        </w:rPr>
        <w:t>项目概况</w:t>
      </w:r>
      <w:bookmarkEnd w:id="3"/>
      <w:bookmarkStart w:id="5" w:name="_Hlk111704515"/>
      <w:bookmarkStart w:id="6" w:name="_Hlk111704494"/>
    </w:p>
    <w:p>
      <w:pPr>
        <w:snapToGrid w:val="0"/>
        <w:spacing w:line="600" w:lineRule="exact"/>
        <w:ind w:firstLine="643" w:firstLineChars="200"/>
        <w:outlineLvl w:val="1"/>
        <w:rPr>
          <w:rFonts w:ascii="Times New Roman" w:hAnsi="Times New Roman" w:eastAsia="楷体_GB2312" w:cs="Times New Roman"/>
          <w:b/>
          <w:bCs/>
          <w:sz w:val="32"/>
          <w:szCs w:val="32"/>
        </w:rPr>
      </w:pPr>
      <w:r>
        <w:rPr>
          <w:rFonts w:hint="eastAsia" w:ascii="仿宋_GB2312" w:hAnsi="Times New Roman" w:eastAsia="仿宋_GB2312" w:cs="Times New Roman"/>
          <w:b/>
          <w:bCs/>
          <w:color w:val="000000"/>
          <w:sz w:val="32"/>
          <w:szCs w:val="32"/>
        </w:rPr>
        <w:t>1.基金成立背景</w:t>
      </w:r>
    </w:p>
    <w:p>
      <w:pPr>
        <w:spacing w:line="600" w:lineRule="exact"/>
        <w:ind w:firstLine="640" w:firstLineChars="200"/>
        <w:rPr>
          <w:rFonts w:ascii="仿宋_GB2312" w:hAnsi="Times New Roman" w:eastAsia="仿宋_GB2312" w:cs="Times New Roman"/>
          <w:bCs/>
          <w:kern w:val="0"/>
          <w:sz w:val="32"/>
          <w:szCs w:val="32"/>
        </w:rPr>
      </w:pPr>
      <w:r>
        <w:rPr>
          <w:rFonts w:hint="eastAsia" w:ascii="仿宋_GB2312" w:hAnsi="Times New Roman" w:eastAsia="仿宋_GB2312" w:cs="Times New Roman"/>
          <w:bCs/>
          <w:kern w:val="0"/>
          <w:sz w:val="32"/>
          <w:szCs w:val="32"/>
        </w:rPr>
        <w:t>政府引导基金是一种政府在经济发展中采取的资金投入方式，旨在引导特定产业的发展和壮大。</w:t>
      </w:r>
      <w:r>
        <w:rPr>
          <w:rFonts w:ascii="仿宋_GB2312" w:hAnsi="Times New Roman" w:eastAsia="仿宋_GB2312" w:cs="Times New Roman"/>
          <w:bCs/>
          <w:kern w:val="0"/>
          <w:sz w:val="32"/>
          <w:szCs w:val="32"/>
        </w:rPr>
        <w:t>发展政府引导基金是新时期的重大决策，2016年，国家发展改革委印发《政府出资产业投资基金管理暂行办法》（发改财金规〔2016〕2800号），为各层级政府设立和发展政府引导基金扶持地区经济发展提供了政策依据。其后，山东省人民政府办公厅相继印发《加快省级政府引导基金投资运作若干措施的通知》（鲁政办字〔2016〕194号）、《山东省新旧动能转换基金管理办法》（鲁政办字〔2018〕4号）</w:t>
      </w:r>
      <w:r>
        <w:rPr>
          <w:rFonts w:hint="eastAsia" w:ascii="仿宋_GB2312" w:hAnsi="Times New Roman" w:eastAsia="仿宋_GB2312" w:cs="Times New Roman"/>
          <w:bCs/>
          <w:kern w:val="0"/>
          <w:sz w:val="32"/>
          <w:szCs w:val="32"/>
        </w:rPr>
        <w:t>、</w:t>
      </w:r>
      <w:r>
        <w:rPr>
          <w:rFonts w:ascii="仿宋_GB2312" w:hAnsi="Times New Roman" w:eastAsia="仿宋_GB2312" w:cs="Times New Roman"/>
          <w:bCs/>
          <w:kern w:val="0"/>
          <w:sz w:val="32"/>
          <w:szCs w:val="32"/>
        </w:rPr>
        <w:t>《</w:t>
      </w:r>
      <w:r>
        <w:rPr>
          <w:rFonts w:hint="eastAsia" w:ascii="仿宋_GB2312" w:hAnsi="Times New Roman" w:eastAsia="仿宋_GB2312" w:cs="Times New Roman"/>
          <w:bCs/>
          <w:kern w:val="0"/>
          <w:sz w:val="32"/>
          <w:szCs w:val="32"/>
        </w:rPr>
        <w:t>山东省新旧动能转换项目基金管理办法</w:t>
      </w:r>
      <w:r>
        <w:rPr>
          <w:rFonts w:ascii="仿宋_GB2312" w:hAnsi="Times New Roman" w:eastAsia="仿宋_GB2312" w:cs="Times New Roman"/>
          <w:bCs/>
          <w:kern w:val="0"/>
          <w:sz w:val="32"/>
          <w:szCs w:val="32"/>
        </w:rPr>
        <w:t>》</w:t>
      </w:r>
      <w:r>
        <w:rPr>
          <w:rFonts w:hint="eastAsia" w:ascii="仿宋_GB2312" w:hAnsi="Times New Roman" w:eastAsia="仿宋_GB2312" w:cs="Times New Roman"/>
          <w:bCs/>
          <w:kern w:val="0"/>
          <w:sz w:val="32"/>
          <w:szCs w:val="32"/>
        </w:rPr>
        <w:t>（鲁财基金〔2019〕9号）</w:t>
      </w:r>
      <w:r>
        <w:rPr>
          <w:rFonts w:ascii="仿宋_GB2312" w:hAnsi="Times New Roman" w:eastAsia="仿宋_GB2312" w:cs="Times New Roman"/>
          <w:bCs/>
          <w:kern w:val="0"/>
          <w:sz w:val="32"/>
          <w:szCs w:val="32"/>
        </w:rPr>
        <w:t>等文件，促进了政府引导基金在山东省的快速发展。</w:t>
      </w:r>
    </w:p>
    <w:p>
      <w:pPr>
        <w:spacing w:line="600" w:lineRule="exact"/>
        <w:ind w:firstLine="640" w:firstLineChars="200"/>
        <w:rPr>
          <w:rFonts w:ascii="仿宋_GB2312" w:hAnsi="Times New Roman" w:eastAsia="仿宋_GB2312" w:cs="Times New Roman"/>
          <w:bCs/>
          <w:kern w:val="0"/>
          <w:sz w:val="32"/>
          <w:szCs w:val="32"/>
        </w:rPr>
      </w:pPr>
      <w:r>
        <w:rPr>
          <w:rFonts w:ascii="仿宋_GB2312" w:hAnsi="Times New Roman" w:eastAsia="仿宋_GB2312" w:cs="Times New Roman"/>
          <w:bCs/>
          <w:kern w:val="0"/>
          <w:sz w:val="32"/>
          <w:szCs w:val="32"/>
        </w:rPr>
        <w:t>2018年，在国家和省级政策的指引下，菏泽市人民政府办公室印发《菏泽市新旧动能转换基金管理办法》（菏政办发〔2018〕29号），提出由市级财政出资30亿元设立政府引导基金，菏泽市金源基金管理有限责任公司（现改名为菏泽金源产业发展有限公司）为引导基金管理公司。</w:t>
      </w:r>
    </w:p>
    <w:p>
      <w:pPr>
        <w:spacing w:line="600" w:lineRule="exact"/>
        <w:ind w:firstLine="640" w:firstLineChars="200"/>
        <w:rPr>
          <w:rFonts w:ascii="仿宋_GB2312" w:hAnsi="Times New Roman" w:eastAsia="仿宋_GB2312" w:cs="Times New Roman"/>
          <w:bCs/>
          <w:kern w:val="0"/>
          <w:sz w:val="32"/>
          <w:szCs w:val="32"/>
        </w:rPr>
      </w:pPr>
      <w:r>
        <w:rPr>
          <w:rFonts w:ascii="仿宋_GB2312" w:hAnsi="Times New Roman" w:eastAsia="仿宋_GB2312" w:cs="Times New Roman"/>
          <w:bCs/>
          <w:kern w:val="0"/>
          <w:sz w:val="32"/>
          <w:szCs w:val="32"/>
        </w:rPr>
        <w:t>基于上述背景，2019年</w:t>
      </w:r>
      <w:r>
        <w:rPr>
          <w:rFonts w:hint="eastAsia" w:ascii="仿宋_GB2312" w:hAnsi="Times New Roman" w:eastAsia="仿宋_GB2312" w:cs="Times New Roman"/>
          <w:bCs/>
          <w:kern w:val="0"/>
          <w:sz w:val="32"/>
          <w:szCs w:val="32"/>
          <w:lang w:eastAsia="zh-CN"/>
        </w:rPr>
        <w:t>，</w:t>
      </w:r>
      <w:r>
        <w:rPr>
          <w:rFonts w:ascii="仿宋_GB2312" w:hAnsi="Times New Roman" w:eastAsia="仿宋_GB2312" w:cs="Times New Roman"/>
          <w:bCs/>
          <w:kern w:val="0"/>
          <w:sz w:val="32"/>
          <w:szCs w:val="32"/>
        </w:rPr>
        <w:t>菏泽市成立了菏泽市单县湖西新动能产业发展基金（以下简称“单县湖西基金”），基金组织形式为有限合伙企业</w:t>
      </w:r>
      <w:r>
        <w:rPr>
          <w:rFonts w:ascii="仿宋" w:hAnsi="仿宋" w:eastAsia="仿宋" w:cs="Times New Roman"/>
          <w:bCs/>
          <w:kern w:val="0"/>
          <w:sz w:val="32"/>
          <w:szCs w:val="32"/>
        </w:rPr>
        <w:t>，全称为“菏泽市单县湖西新动能产业发展基金合伙企业（有限合伙）”。</w:t>
      </w:r>
    </w:p>
    <w:p>
      <w:pPr>
        <w:snapToGrid w:val="0"/>
        <w:spacing w:line="600" w:lineRule="exact"/>
        <w:ind w:firstLine="643" w:firstLineChars="200"/>
        <w:outlineLvl w:val="1"/>
        <w:rPr>
          <w:rFonts w:ascii="仿宋" w:hAnsi="仿宋" w:eastAsia="仿宋" w:cs="Times New Roman"/>
          <w:b/>
          <w:bCs w:val="0"/>
          <w:sz w:val="32"/>
          <w:szCs w:val="32"/>
        </w:rPr>
      </w:pPr>
      <w:r>
        <w:rPr>
          <w:rFonts w:ascii="仿宋" w:hAnsi="仿宋" w:eastAsia="仿宋" w:cs="Times New Roman"/>
          <w:b/>
          <w:bCs w:val="0"/>
          <w:sz w:val="32"/>
          <w:szCs w:val="32"/>
        </w:rPr>
        <w:t>2.</w:t>
      </w:r>
      <w:r>
        <w:rPr>
          <w:rFonts w:hint="eastAsia" w:ascii="仿宋" w:hAnsi="仿宋" w:eastAsia="仿宋" w:cs="Times New Roman"/>
          <w:b/>
          <w:bCs w:val="0"/>
          <w:sz w:val="32"/>
          <w:szCs w:val="32"/>
        </w:rPr>
        <w:t>资金</w:t>
      </w:r>
      <w:r>
        <w:rPr>
          <w:rFonts w:ascii="仿宋" w:hAnsi="仿宋" w:eastAsia="仿宋" w:cs="Times New Roman"/>
          <w:b/>
          <w:bCs w:val="0"/>
          <w:sz w:val="32"/>
          <w:szCs w:val="32"/>
        </w:rPr>
        <w:t>投入及使用情况</w:t>
      </w:r>
    </w:p>
    <w:bookmarkEnd w:id="5"/>
    <w:bookmarkEnd w:id="6"/>
    <w:p>
      <w:pPr>
        <w:spacing w:line="600" w:lineRule="exact"/>
        <w:ind w:firstLine="640" w:firstLineChars="200"/>
        <w:rPr>
          <w:rFonts w:ascii="仿宋_GB2312" w:hAnsi="Times New Roman" w:eastAsia="仿宋_GB2312" w:cs="Times New Roman"/>
          <w:bCs/>
          <w:kern w:val="0"/>
          <w:sz w:val="32"/>
          <w:szCs w:val="32"/>
        </w:rPr>
      </w:pPr>
      <w:r>
        <w:rPr>
          <w:rFonts w:ascii="仿宋_GB2312" w:hAnsi="Times New Roman" w:eastAsia="仿宋_GB2312" w:cs="Times New Roman"/>
          <w:bCs/>
          <w:kern w:val="0"/>
          <w:sz w:val="32"/>
          <w:szCs w:val="32"/>
        </w:rPr>
        <w:t>单县湖西基金规模</w:t>
      </w:r>
      <w:r>
        <w:rPr>
          <w:rFonts w:hint="eastAsia" w:ascii="仿宋_GB2312" w:hAnsi="Times New Roman" w:eastAsia="仿宋_GB2312" w:cs="Times New Roman"/>
          <w:bCs/>
          <w:kern w:val="0"/>
          <w:sz w:val="32"/>
          <w:szCs w:val="32"/>
        </w:rPr>
        <w:t>100</w:t>
      </w:r>
      <w:r>
        <w:rPr>
          <w:rFonts w:ascii="仿宋_GB2312" w:hAnsi="Times New Roman" w:eastAsia="仿宋_GB2312" w:cs="Times New Roman"/>
          <w:bCs/>
          <w:kern w:val="0"/>
          <w:sz w:val="32"/>
          <w:szCs w:val="32"/>
        </w:rPr>
        <w:t>00万元，其中政府引导基金</w:t>
      </w:r>
      <w:r>
        <w:rPr>
          <w:rFonts w:hint="eastAsia" w:ascii="仿宋_GB2312" w:hAnsi="Times New Roman" w:eastAsia="仿宋_GB2312" w:cs="Times New Roman"/>
          <w:bCs/>
          <w:kern w:val="0"/>
          <w:sz w:val="32"/>
          <w:szCs w:val="32"/>
        </w:rPr>
        <w:t>500</w:t>
      </w:r>
      <w:r>
        <w:rPr>
          <w:rFonts w:ascii="仿宋_GB2312" w:hAnsi="Times New Roman" w:eastAsia="仿宋_GB2312" w:cs="Times New Roman"/>
          <w:bCs/>
          <w:kern w:val="0"/>
          <w:sz w:val="32"/>
          <w:szCs w:val="32"/>
        </w:rPr>
        <w:t>0万元，包括</w:t>
      </w:r>
      <w:r>
        <w:rPr>
          <w:rFonts w:hint="eastAsia" w:ascii="仿宋_GB2312" w:hAnsi="Times New Roman" w:eastAsia="仿宋_GB2312" w:cs="Times New Roman"/>
          <w:bCs/>
          <w:kern w:val="0"/>
          <w:sz w:val="32"/>
          <w:szCs w:val="32"/>
        </w:rPr>
        <w:t>省</w:t>
      </w:r>
      <w:r>
        <w:rPr>
          <w:rFonts w:ascii="仿宋_GB2312" w:hAnsi="Times New Roman" w:eastAsia="仿宋_GB2312" w:cs="Times New Roman"/>
          <w:bCs/>
          <w:kern w:val="0"/>
          <w:sz w:val="32"/>
          <w:szCs w:val="32"/>
        </w:rPr>
        <w:t>级财政预算出资</w:t>
      </w:r>
      <w:r>
        <w:rPr>
          <w:rFonts w:hint="eastAsia" w:ascii="仿宋_GB2312" w:hAnsi="Times New Roman" w:eastAsia="仿宋_GB2312" w:cs="Times New Roman"/>
          <w:bCs/>
          <w:kern w:val="0"/>
          <w:sz w:val="32"/>
          <w:szCs w:val="32"/>
        </w:rPr>
        <w:t>2000</w:t>
      </w:r>
      <w:r>
        <w:rPr>
          <w:rFonts w:ascii="仿宋_GB2312" w:hAnsi="Times New Roman" w:eastAsia="仿宋_GB2312" w:cs="Times New Roman"/>
          <w:bCs/>
          <w:kern w:val="0"/>
          <w:sz w:val="32"/>
          <w:szCs w:val="32"/>
        </w:rPr>
        <w:t>万元，市级财政预算出资1</w:t>
      </w:r>
      <w:r>
        <w:rPr>
          <w:rFonts w:hint="eastAsia" w:ascii="仿宋_GB2312" w:hAnsi="Times New Roman" w:eastAsia="仿宋_GB2312" w:cs="Times New Roman"/>
          <w:bCs/>
          <w:kern w:val="0"/>
          <w:sz w:val="32"/>
          <w:szCs w:val="32"/>
        </w:rPr>
        <w:t>500</w:t>
      </w:r>
      <w:r>
        <w:rPr>
          <w:rFonts w:ascii="仿宋_GB2312" w:hAnsi="Times New Roman" w:eastAsia="仿宋_GB2312" w:cs="Times New Roman"/>
          <w:bCs/>
          <w:kern w:val="0"/>
          <w:sz w:val="32"/>
          <w:szCs w:val="32"/>
        </w:rPr>
        <w:t>万元，县级财政预算出资</w:t>
      </w:r>
      <w:r>
        <w:rPr>
          <w:rFonts w:hint="eastAsia" w:ascii="仿宋_GB2312" w:hAnsi="Times New Roman" w:eastAsia="仿宋_GB2312" w:cs="Times New Roman"/>
          <w:bCs/>
          <w:kern w:val="0"/>
          <w:sz w:val="32"/>
          <w:szCs w:val="32"/>
        </w:rPr>
        <w:t>15</w:t>
      </w:r>
      <w:r>
        <w:rPr>
          <w:rFonts w:ascii="仿宋_GB2312" w:hAnsi="Times New Roman" w:eastAsia="仿宋_GB2312" w:cs="Times New Roman"/>
          <w:bCs/>
          <w:kern w:val="0"/>
          <w:sz w:val="32"/>
          <w:szCs w:val="32"/>
        </w:rPr>
        <w:t>00万元</w:t>
      </w:r>
      <w:r>
        <w:rPr>
          <w:rFonts w:hint="eastAsia" w:ascii="仿宋_GB2312" w:hAnsi="Times New Roman" w:eastAsia="仿宋_GB2312" w:cs="Times New Roman"/>
          <w:bCs/>
          <w:kern w:val="0"/>
          <w:sz w:val="32"/>
          <w:szCs w:val="32"/>
        </w:rPr>
        <w:t>；企业资金5000万元</w:t>
      </w:r>
      <w:r>
        <w:rPr>
          <w:rFonts w:ascii="仿宋_GB2312" w:hAnsi="Times New Roman" w:eastAsia="仿宋_GB2312" w:cs="Times New Roman"/>
          <w:bCs/>
          <w:kern w:val="0"/>
          <w:sz w:val="32"/>
          <w:szCs w:val="32"/>
        </w:rPr>
        <w:t>。</w:t>
      </w:r>
      <w:r>
        <w:rPr>
          <w:rFonts w:hint="eastAsia" w:ascii="仿宋_GB2312" w:hAnsi="Times New Roman" w:eastAsia="仿宋_GB2312" w:cs="Times New Roman"/>
          <w:bCs/>
          <w:kern w:val="0"/>
          <w:sz w:val="32"/>
          <w:szCs w:val="32"/>
        </w:rPr>
        <w:t>全部投资用于湖西王铸业公司智能化生产技术改造项目，扶持湖西王铸业公司发展。</w:t>
      </w:r>
    </w:p>
    <w:p>
      <w:pPr>
        <w:snapToGrid w:val="0"/>
        <w:spacing w:line="600" w:lineRule="exact"/>
        <w:ind w:firstLine="643" w:firstLineChars="200"/>
        <w:outlineLvl w:val="1"/>
        <w:rPr>
          <w:rFonts w:ascii="仿宋" w:hAnsi="仿宋" w:eastAsia="仿宋" w:cs="Times New Roman"/>
          <w:b/>
          <w:bCs w:val="0"/>
          <w:sz w:val="32"/>
          <w:szCs w:val="32"/>
        </w:rPr>
      </w:pPr>
      <w:bookmarkStart w:id="7" w:name="_Toc115301522"/>
      <w:bookmarkStart w:id="8" w:name="_Toc154238740"/>
      <w:r>
        <w:rPr>
          <w:rFonts w:hint="eastAsia" w:ascii="仿宋" w:hAnsi="仿宋" w:eastAsia="仿宋" w:cs="Times New Roman"/>
          <w:b/>
          <w:bCs w:val="0"/>
          <w:sz w:val="32"/>
          <w:szCs w:val="32"/>
        </w:rPr>
        <w:t>3.</w:t>
      </w:r>
      <w:r>
        <w:rPr>
          <w:rFonts w:ascii="仿宋" w:hAnsi="仿宋" w:eastAsia="仿宋" w:cs="Times New Roman"/>
          <w:b/>
          <w:bCs w:val="0"/>
          <w:sz w:val="32"/>
          <w:szCs w:val="32"/>
        </w:rPr>
        <w:t>实施内容</w:t>
      </w:r>
      <w:bookmarkEnd w:id="7"/>
      <w:bookmarkEnd w:id="8"/>
    </w:p>
    <w:p>
      <w:pPr>
        <w:spacing w:line="600" w:lineRule="exact"/>
        <w:ind w:firstLine="640" w:firstLineChars="200"/>
        <w:rPr>
          <w:rFonts w:ascii="仿宋" w:hAnsi="仿宋" w:eastAsia="仿宋" w:cs="Times New Roman"/>
          <w:bCs/>
          <w:kern w:val="0"/>
          <w:sz w:val="32"/>
          <w:szCs w:val="32"/>
        </w:rPr>
      </w:pPr>
      <w:r>
        <w:rPr>
          <w:rFonts w:ascii="仿宋" w:hAnsi="仿宋" w:eastAsia="仿宋" w:cs="Times New Roman"/>
          <w:bCs/>
          <w:kern w:val="0"/>
          <w:sz w:val="32"/>
          <w:szCs w:val="32"/>
        </w:rPr>
        <w:t>本基金投资于山东湖西王集团铸业有限公司，用于公司</w:t>
      </w:r>
      <w:r>
        <w:rPr>
          <w:rFonts w:hint="eastAsia" w:ascii="仿宋" w:hAnsi="仿宋" w:eastAsia="仿宋" w:cs="Times New Roman"/>
          <w:bCs/>
          <w:kern w:val="0"/>
          <w:sz w:val="32"/>
          <w:szCs w:val="32"/>
        </w:rPr>
        <w:t>智能化生产技术改造项目</w:t>
      </w:r>
      <w:r>
        <w:rPr>
          <w:rFonts w:ascii="仿宋" w:hAnsi="仿宋" w:eastAsia="仿宋" w:cs="Times New Roman"/>
          <w:bCs/>
          <w:kern w:val="0"/>
          <w:sz w:val="32"/>
          <w:szCs w:val="32"/>
        </w:rPr>
        <w:t>，旨在撬动社会资本，支持做高做强菏泽市“231”产业体系，推进菏泽市以项目基金支持重点项目的新型运作模式快速发展。</w:t>
      </w:r>
    </w:p>
    <w:p>
      <w:pPr>
        <w:snapToGrid w:val="0"/>
        <w:spacing w:line="600" w:lineRule="exact"/>
        <w:ind w:firstLine="643" w:firstLineChars="200"/>
        <w:outlineLvl w:val="1"/>
        <w:rPr>
          <w:rFonts w:ascii="仿宋" w:hAnsi="仿宋" w:eastAsia="仿宋" w:cs="Times New Roman"/>
          <w:b/>
          <w:bCs w:val="0"/>
          <w:sz w:val="32"/>
          <w:szCs w:val="32"/>
        </w:rPr>
      </w:pPr>
      <w:bookmarkStart w:id="9" w:name="_Toc154238741"/>
      <w:bookmarkStart w:id="10" w:name="_Toc115301523"/>
      <w:r>
        <w:rPr>
          <w:rFonts w:hint="eastAsia" w:ascii="仿宋" w:hAnsi="仿宋" w:eastAsia="仿宋" w:cs="Times New Roman"/>
          <w:b/>
          <w:bCs w:val="0"/>
          <w:sz w:val="32"/>
          <w:szCs w:val="32"/>
        </w:rPr>
        <w:t>4.</w:t>
      </w:r>
      <w:r>
        <w:rPr>
          <w:rFonts w:ascii="仿宋" w:hAnsi="仿宋" w:eastAsia="仿宋" w:cs="Times New Roman"/>
          <w:b/>
          <w:bCs w:val="0"/>
          <w:sz w:val="32"/>
          <w:szCs w:val="32"/>
        </w:rPr>
        <w:t>组织</w:t>
      </w:r>
      <w:bookmarkEnd w:id="9"/>
      <w:bookmarkEnd w:id="10"/>
      <w:r>
        <w:rPr>
          <w:rFonts w:ascii="仿宋" w:hAnsi="仿宋" w:eastAsia="仿宋" w:cs="Times New Roman"/>
          <w:b/>
          <w:bCs w:val="0"/>
          <w:sz w:val="32"/>
          <w:szCs w:val="32"/>
        </w:rPr>
        <w:t>实施</w:t>
      </w:r>
    </w:p>
    <w:p>
      <w:pPr>
        <w:spacing w:line="600" w:lineRule="exact"/>
        <w:ind w:firstLine="640" w:firstLineChars="200"/>
        <w:rPr>
          <w:rFonts w:ascii="Times New Roman" w:hAnsi="Times New Roman" w:eastAsia="仿宋_GB2312" w:cs="Times New Roman"/>
          <w:bCs/>
          <w:color w:val="000000"/>
          <w:sz w:val="32"/>
          <w:szCs w:val="32"/>
        </w:rPr>
      </w:pPr>
      <w:r>
        <w:rPr>
          <w:rFonts w:ascii="Times New Roman" w:hAnsi="Times New Roman" w:eastAsia="仿宋_GB2312" w:cs="Times New Roman"/>
          <w:bCs/>
          <w:color w:val="000000"/>
          <w:sz w:val="32"/>
          <w:szCs w:val="32"/>
        </w:rPr>
        <w:t>菏泽市财政局为本项目主管部门，负责市级政府引导基金的预算和资金管理。</w:t>
      </w:r>
    </w:p>
    <w:p>
      <w:pPr>
        <w:spacing w:line="600" w:lineRule="exact"/>
        <w:ind w:firstLine="640" w:firstLineChars="200"/>
        <w:rPr>
          <w:rFonts w:ascii="Times New Roman" w:hAnsi="Times New Roman" w:eastAsia="仿宋_GB2312" w:cs="Times New Roman"/>
          <w:bCs/>
          <w:color w:val="000000"/>
          <w:sz w:val="32"/>
          <w:szCs w:val="32"/>
        </w:rPr>
      </w:pPr>
      <w:r>
        <w:rPr>
          <w:rFonts w:ascii="Times New Roman" w:hAnsi="Times New Roman" w:eastAsia="仿宋_GB2312" w:cs="Times New Roman"/>
          <w:bCs/>
          <w:color w:val="000000"/>
          <w:sz w:val="32"/>
          <w:szCs w:val="32"/>
        </w:rPr>
        <w:t>菏泽市单县湖西新动能产业发展基金合伙企业（有限合伙）为本项目实施主体。</w:t>
      </w:r>
    </w:p>
    <w:p>
      <w:pPr>
        <w:spacing w:line="600" w:lineRule="exact"/>
        <w:ind w:firstLine="640" w:firstLineChars="200"/>
        <w:rPr>
          <w:rFonts w:ascii="Times New Roman" w:hAnsi="Times New Roman" w:eastAsia="仿宋_GB2312" w:cs="Times New Roman"/>
          <w:bCs/>
          <w:color w:val="000000"/>
          <w:sz w:val="32"/>
          <w:szCs w:val="32"/>
        </w:rPr>
      </w:pPr>
      <w:r>
        <w:rPr>
          <w:rFonts w:hint="eastAsia" w:ascii="Times New Roman" w:hAnsi="Times New Roman" w:eastAsia="仿宋_GB2312" w:cs="Times New Roman"/>
          <w:bCs/>
          <w:color w:val="000000"/>
          <w:sz w:val="32"/>
          <w:szCs w:val="32"/>
        </w:rPr>
        <w:t>山东省新动能基金管理有限公司、</w:t>
      </w:r>
      <w:r>
        <w:rPr>
          <w:rFonts w:ascii="Times New Roman" w:hAnsi="Times New Roman" w:eastAsia="仿宋_GB2312" w:cs="Times New Roman"/>
          <w:bCs/>
          <w:color w:val="000000"/>
          <w:sz w:val="32"/>
          <w:szCs w:val="32"/>
        </w:rPr>
        <w:t>菏泽金源产业发展有限公司、</w:t>
      </w:r>
      <w:r>
        <w:rPr>
          <w:rFonts w:hint="eastAsia" w:ascii="Times New Roman" w:hAnsi="Times New Roman" w:eastAsia="仿宋_GB2312" w:cs="Times New Roman"/>
          <w:bCs/>
          <w:color w:val="000000"/>
          <w:sz w:val="32"/>
          <w:szCs w:val="32"/>
        </w:rPr>
        <w:t>单县善青基金管理有限公司</w:t>
      </w:r>
      <w:r>
        <w:rPr>
          <w:rFonts w:ascii="Times New Roman" w:hAnsi="Times New Roman" w:eastAsia="仿宋_GB2312" w:cs="Times New Roman"/>
          <w:bCs/>
          <w:color w:val="000000"/>
          <w:sz w:val="32"/>
          <w:szCs w:val="32"/>
        </w:rPr>
        <w:t>为本项目政府引导基金出资人。</w:t>
      </w:r>
    </w:p>
    <w:p>
      <w:pPr>
        <w:spacing w:line="600" w:lineRule="exact"/>
        <w:ind w:firstLine="640" w:firstLineChars="200"/>
        <w:rPr>
          <w:rFonts w:ascii="Times New Roman" w:hAnsi="Times New Roman" w:eastAsia="仿宋_GB2312" w:cs="Times New Roman"/>
          <w:bCs/>
          <w:color w:val="000000"/>
          <w:sz w:val="32"/>
          <w:szCs w:val="32"/>
        </w:rPr>
      </w:pPr>
      <w:r>
        <w:rPr>
          <w:rFonts w:hint="eastAsia" w:ascii="Times New Roman" w:hAnsi="Times New Roman" w:eastAsia="仿宋_GB2312" w:cs="Times New Roman"/>
          <w:bCs/>
          <w:color w:val="000000"/>
          <w:sz w:val="32"/>
          <w:szCs w:val="32"/>
        </w:rPr>
        <w:t>山东省新动能投资管理有限公司</w:t>
      </w:r>
      <w:r>
        <w:rPr>
          <w:rFonts w:ascii="Times New Roman" w:hAnsi="Times New Roman" w:eastAsia="仿宋_GB2312" w:cs="Times New Roman"/>
          <w:bCs/>
          <w:color w:val="000000"/>
          <w:sz w:val="32"/>
          <w:szCs w:val="32"/>
        </w:rPr>
        <w:t>为本项目基金管理人。</w:t>
      </w:r>
    </w:p>
    <w:p>
      <w:pPr>
        <w:spacing w:line="600" w:lineRule="exact"/>
        <w:ind w:firstLine="640" w:firstLineChars="200"/>
        <w:rPr>
          <w:rFonts w:ascii="Times New Roman" w:hAnsi="Times New Roman" w:eastAsia="仿宋_GB2312" w:cs="Times New Roman"/>
          <w:bCs/>
          <w:color w:val="000000"/>
          <w:sz w:val="32"/>
          <w:szCs w:val="32"/>
        </w:rPr>
      </w:pPr>
      <w:r>
        <w:rPr>
          <w:rFonts w:ascii="Times New Roman" w:hAnsi="Times New Roman" w:eastAsia="仿宋_GB2312" w:cs="Times New Roman"/>
          <w:bCs/>
          <w:color w:val="000000"/>
          <w:sz w:val="32"/>
          <w:szCs w:val="32"/>
        </w:rPr>
        <w:t>山东湖西王集团铸业有限公司为本项目投资对象。</w:t>
      </w:r>
    </w:p>
    <w:bookmarkEnd w:id="4"/>
    <w:p>
      <w:pPr>
        <w:snapToGrid w:val="0"/>
        <w:spacing w:line="600" w:lineRule="exact"/>
        <w:ind w:firstLine="640" w:firstLineChars="200"/>
        <w:outlineLvl w:val="1"/>
        <w:rPr>
          <w:rFonts w:ascii="Times New Roman" w:hAnsi="Times New Roman" w:eastAsia="楷体_GB2312" w:cs="Times New Roman"/>
          <w:bCs/>
          <w:sz w:val="32"/>
          <w:szCs w:val="32"/>
        </w:rPr>
      </w:pPr>
      <w:bookmarkStart w:id="11" w:name="_Toc154238742"/>
      <w:bookmarkStart w:id="12" w:name="_Toc115301524"/>
      <w:r>
        <w:rPr>
          <w:rFonts w:hint="eastAsia" w:ascii="Times New Roman" w:hAnsi="Times New Roman" w:eastAsia="楷体_GB2312" w:cs="Times New Roman"/>
          <w:bCs/>
          <w:sz w:val="32"/>
          <w:szCs w:val="32"/>
        </w:rPr>
        <w:t>（二）</w:t>
      </w:r>
      <w:r>
        <w:rPr>
          <w:rFonts w:ascii="Times New Roman" w:hAnsi="Times New Roman" w:eastAsia="楷体_GB2312" w:cs="Times New Roman"/>
          <w:bCs/>
          <w:sz w:val="32"/>
          <w:szCs w:val="32"/>
        </w:rPr>
        <w:t>项目绩效目标</w:t>
      </w:r>
      <w:bookmarkEnd w:id="11"/>
      <w:bookmarkEnd w:id="12"/>
    </w:p>
    <w:p>
      <w:pPr>
        <w:snapToGrid w:val="0"/>
        <w:spacing w:line="600" w:lineRule="exact"/>
        <w:ind w:firstLine="643" w:firstLineChars="200"/>
        <w:outlineLvl w:val="1"/>
        <w:rPr>
          <w:rFonts w:ascii="仿宋" w:hAnsi="仿宋" w:eastAsia="仿宋" w:cs="Times New Roman"/>
          <w:b/>
          <w:bCs w:val="0"/>
          <w:sz w:val="32"/>
          <w:szCs w:val="32"/>
        </w:rPr>
      </w:pPr>
      <w:bookmarkStart w:id="13" w:name="_Toc115301525"/>
      <w:bookmarkStart w:id="14" w:name="_Toc154238743"/>
      <w:r>
        <w:rPr>
          <w:rFonts w:hint="eastAsia" w:ascii="仿宋" w:hAnsi="仿宋" w:eastAsia="仿宋" w:cs="Times New Roman"/>
          <w:b/>
          <w:bCs w:val="0"/>
          <w:sz w:val="32"/>
          <w:szCs w:val="32"/>
        </w:rPr>
        <w:t>1.</w:t>
      </w:r>
      <w:r>
        <w:rPr>
          <w:rFonts w:ascii="仿宋" w:hAnsi="仿宋" w:eastAsia="仿宋" w:cs="Times New Roman"/>
          <w:b/>
          <w:bCs w:val="0"/>
          <w:sz w:val="32"/>
          <w:szCs w:val="32"/>
        </w:rPr>
        <w:t>总体绩效目标</w:t>
      </w:r>
      <w:bookmarkEnd w:id="13"/>
      <w:bookmarkEnd w:id="14"/>
    </w:p>
    <w:p>
      <w:pPr>
        <w:spacing w:line="600" w:lineRule="exact"/>
        <w:ind w:firstLine="640" w:firstLineChars="200"/>
        <w:rPr>
          <w:rFonts w:ascii="Times New Roman" w:hAnsi="Times New Roman" w:eastAsia="仿宋_GB2312" w:cs="Times New Roman"/>
          <w:bCs/>
          <w:color w:val="000000"/>
          <w:sz w:val="32"/>
          <w:szCs w:val="32"/>
        </w:rPr>
      </w:pPr>
      <w:r>
        <w:rPr>
          <w:rFonts w:ascii="Times New Roman" w:hAnsi="Times New Roman" w:eastAsia="仿宋_GB2312" w:cs="Times New Roman"/>
          <w:bCs/>
          <w:color w:val="000000"/>
          <w:sz w:val="32"/>
          <w:szCs w:val="32"/>
        </w:rPr>
        <w:t>基金通过</w:t>
      </w:r>
      <w:r>
        <w:rPr>
          <w:rFonts w:hint="eastAsia" w:ascii="Times New Roman" w:hAnsi="Times New Roman" w:eastAsia="仿宋_GB2312" w:cs="Times New Roman"/>
          <w:bCs/>
          <w:color w:val="000000"/>
          <w:sz w:val="32"/>
          <w:szCs w:val="32"/>
        </w:rPr>
        <w:t>可转股债权</w:t>
      </w:r>
      <w:r>
        <w:rPr>
          <w:rFonts w:ascii="Times New Roman" w:hAnsi="Times New Roman" w:eastAsia="仿宋_GB2312" w:cs="Times New Roman"/>
          <w:bCs/>
          <w:color w:val="000000"/>
          <w:sz w:val="32"/>
          <w:szCs w:val="32"/>
        </w:rPr>
        <w:t>投资的方式，扶持湖西王铸业公司发展，充分发挥好政府资金的引导作用和放大效应，</w:t>
      </w:r>
      <w:r>
        <w:rPr>
          <w:rFonts w:hint="eastAsia" w:ascii="Times New Roman" w:hAnsi="Times New Roman" w:eastAsia="仿宋_GB2312" w:cs="Times New Roman"/>
          <w:bCs/>
          <w:color w:val="000000"/>
          <w:sz w:val="32"/>
          <w:szCs w:val="32"/>
        </w:rPr>
        <w:t>加快新旧动能接续转换，促进经济结构转型和实体经济升级。</w:t>
      </w:r>
    </w:p>
    <w:p>
      <w:pPr>
        <w:snapToGrid w:val="0"/>
        <w:spacing w:line="600" w:lineRule="exact"/>
        <w:ind w:firstLine="643" w:firstLineChars="200"/>
        <w:outlineLvl w:val="1"/>
        <w:rPr>
          <w:rFonts w:ascii="仿宋" w:hAnsi="仿宋" w:eastAsia="仿宋" w:cs="Times New Roman"/>
          <w:b/>
          <w:bCs w:val="0"/>
          <w:sz w:val="32"/>
          <w:szCs w:val="32"/>
        </w:rPr>
      </w:pPr>
      <w:bookmarkStart w:id="15" w:name="_Toc154238744"/>
      <w:bookmarkStart w:id="16" w:name="_Toc115301526"/>
      <w:r>
        <w:rPr>
          <w:rFonts w:hint="eastAsia" w:ascii="仿宋" w:hAnsi="仿宋" w:eastAsia="仿宋" w:cs="Times New Roman"/>
          <w:b/>
          <w:bCs w:val="0"/>
          <w:sz w:val="32"/>
          <w:szCs w:val="32"/>
        </w:rPr>
        <w:t>2.年度</w:t>
      </w:r>
      <w:r>
        <w:rPr>
          <w:rFonts w:ascii="仿宋" w:hAnsi="仿宋" w:eastAsia="仿宋" w:cs="Times New Roman"/>
          <w:b/>
          <w:bCs w:val="0"/>
          <w:sz w:val="32"/>
          <w:szCs w:val="32"/>
        </w:rPr>
        <w:t>绩效目标</w:t>
      </w:r>
      <w:bookmarkEnd w:id="15"/>
      <w:bookmarkEnd w:id="16"/>
    </w:p>
    <w:p>
      <w:pPr>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bCs/>
          <w:sz w:val="32"/>
          <w:szCs w:val="32"/>
        </w:rPr>
        <w:t>政府引导基金通过</w:t>
      </w:r>
      <w:r>
        <w:rPr>
          <w:rFonts w:ascii="Times New Roman" w:hAnsi="Times New Roman" w:eastAsia="仿宋_GB2312" w:cs="Times New Roman"/>
          <w:bCs/>
          <w:color w:val="000000"/>
          <w:sz w:val="32"/>
          <w:szCs w:val="32"/>
        </w:rPr>
        <w:t>引导社会资本，</w:t>
      </w:r>
      <w:r>
        <w:rPr>
          <w:rFonts w:ascii="Times New Roman" w:hAnsi="Times New Roman" w:eastAsia="仿宋_GB2312" w:cs="Times New Roman"/>
          <w:bCs/>
          <w:sz w:val="32"/>
          <w:szCs w:val="32"/>
        </w:rPr>
        <w:t>投资</w:t>
      </w:r>
      <w:r>
        <w:rPr>
          <w:rFonts w:ascii="Times New Roman" w:hAnsi="Times New Roman" w:eastAsia="仿宋_GB2312" w:cs="Times New Roman"/>
          <w:bCs/>
          <w:color w:val="000000"/>
          <w:sz w:val="32"/>
          <w:szCs w:val="32"/>
        </w:rPr>
        <w:t>山东湖西王集团铸业有限公司，用于</w:t>
      </w:r>
      <w:r>
        <w:rPr>
          <w:rFonts w:hint="eastAsia" w:ascii="Times New Roman" w:hAnsi="Times New Roman" w:eastAsia="仿宋_GB2312" w:cs="Times New Roman"/>
          <w:bCs/>
          <w:color w:val="000000"/>
          <w:sz w:val="32"/>
          <w:szCs w:val="32"/>
        </w:rPr>
        <w:t>公司智能化生产技术改造</w:t>
      </w:r>
      <w:r>
        <w:rPr>
          <w:rFonts w:ascii="Times New Roman" w:hAnsi="Times New Roman" w:eastAsia="仿宋_GB2312" w:cs="Times New Roman"/>
          <w:bCs/>
          <w:color w:val="000000"/>
          <w:sz w:val="32"/>
          <w:szCs w:val="32"/>
        </w:rPr>
        <w:t>，</w:t>
      </w:r>
      <w:bookmarkStart w:id="17" w:name="_Toc115301527"/>
      <w:r>
        <w:rPr>
          <w:rFonts w:hint="eastAsia" w:ascii="Times New Roman" w:hAnsi="Times New Roman" w:eastAsia="仿宋_GB2312" w:cs="Times New Roman"/>
          <w:kern w:val="0"/>
          <w:sz w:val="32"/>
          <w:szCs w:val="32"/>
        </w:rPr>
        <w:t>主要是购置生产设备及智能化相关设备共计92台(套)，根据生产需要，建造必要的厂房，把公司建设成为节能环保的现代化的大型精密铸件生产基地，打造成国内高端装备制造业的新高地。</w:t>
      </w:r>
    </w:p>
    <w:p>
      <w:pPr>
        <w:spacing w:line="600" w:lineRule="exact"/>
        <w:ind w:firstLine="640" w:firstLineChars="200"/>
        <w:outlineLvl w:val="0"/>
        <w:rPr>
          <w:rFonts w:ascii="Times New Roman" w:hAnsi="Times New Roman" w:eastAsia="仿宋_GB2312" w:cs="Times New Roman"/>
          <w:kern w:val="0"/>
          <w:sz w:val="32"/>
          <w:szCs w:val="32"/>
        </w:rPr>
      </w:pPr>
      <w:bookmarkStart w:id="18" w:name="_Toc154238745"/>
      <w:r>
        <w:rPr>
          <w:rFonts w:hint="eastAsia" w:ascii="Times New Roman" w:hAnsi="Times New Roman" w:eastAsia="黑体" w:cs="Times New Roman"/>
          <w:bCs/>
          <w:sz w:val="32"/>
          <w:szCs w:val="32"/>
        </w:rPr>
        <w:t>二</w:t>
      </w:r>
      <w:r>
        <w:rPr>
          <w:rFonts w:ascii="Times New Roman" w:hAnsi="Times New Roman" w:eastAsia="黑体" w:cs="Times New Roman"/>
          <w:bCs/>
          <w:sz w:val="32"/>
          <w:szCs w:val="32"/>
        </w:rPr>
        <w:t>、评价基本情况</w:t>
      </w:r>
      <w:bookmarkEnd w:id="17"/>
      <w:bookmarkEnd w:id="18"/>
    </w:p>
    <w:p>
      <w:pPr>
        <w:snapToGrid w:val="0"/>
        <w:spacing w:line="600" w:lineRule="exact"/>
        <w:ind w:firstLine="640" w:firstLineChars="200"/>
        <w:outlineLvl w:val="1"/>
        <w:rPr>
          <w:rFonts w:ascii="Times New Roman" w:hAnsi="Times New Roman" w:eastAsia="楷体_GB2312" w:cs="Times New Roman"/>
          <w:bCs/>
          <w:sz w:val="32"/>
          <w:szCs w:val="32"/>
        </w:rPr>
      </w:pPr>
      <w:bookmarkStart w:id="19" w:name="_Toc154238746"/>
      <w:bookmarkStart w:id="20" w:name="_Toc107437520"/>
      <w:bookmarkStart w:id="21" w:name="_Toc115301528"/>
      <w:r>
        <w:rPr>
          <w:rFonts w:ascii="Times New Roman" w:hAnsi="Times New Roman" w:eastAsia="楷体_GB2312" w:cs="Times New Roman"/>
          <w:bCs/>
          <w:sz w:val="32"/>
          <w:szCs w:val="32"/>
        </w:rPr>
        <w:t>（一）</w:t>
      </w:r>
      <w:bookmarkEnd w:id="19"/>
      <w:bookmarkEnd w:id="20"/>
      <w:bookmarkEnd w:id="21"/>
      <w:r>
        <w:rPr>
          <w:rFonts w:hint="eastAsia" w:ascii="Times New Roman" w:hAnsi="Times New Roman" w:eastAsia="楷体_GB2312" w:cs="Times New Roman"/>
          <w:bCs/>
          <w:sz w:val="32"/>
          <w:szCs w:val="32"/>
        </w:rPr>
        <w:t>绩效评价目的、对象和范围</w:t>
      </w:r>
    </w:p>
    <w:p>
      <w:pPr>
        <w:snapToGrid w:val="0"/>
        <w:spacing w:line="600" w:lineRule="exact"/>
        <w:ind w:firstLine="643" w:firstLineChars="200"/>
        <w:rPr>
          <w:rFonts w:ascii="Times New Roman" w:hAnsi="Times New Roman" w:eastAsia="楷体_GB2312" w:cs="Times New Roman"/>
          <w:b/>
          <w:bCs/>
          <w:sz w:val="32"/>
          <w:szCs w:val="32"/>
        </w:rPr>
      </w:pPr>
      <w:r>
        <w:rPr>
          <w:rFonts w:hint="eastAsia" w:ascii="仿宋_GB2312" w:hAnsi="Times New Roman" w:eastAsia="仿宋_GB2312" w:cs="Times New Roman"/>
          <w:b/>
          <w:bCs/>
          <w:color w:val="000000"/>
          <w:sz w:val="32"/>
          <w:szCs w:val="32"/>
        </w:rPr>
        <w:t>1.绩效评价目的</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本次评价从政策效应、投资运营、管理效能和投资效益等角度，对</w:t>
      </w:r>
      <w:r>
        <w:rPr>
          <w:rFonts w:ascii="Times New Roman" w:hAnsi="Times New Roman" w:eastAsia="仿宋_GB2312" w:cs="Times New Roman"/>
          <w:bCs/>
          <w:color w:val="000000"/>
          <w:sz w:val="32"/>
          <w:szCs w:val="32"/>
        </w:rPr>
        <w:t>菏泽市单县湖西新动能产业发展基金</w:t>
      </w:r>
      <w:r>
        <w:rPr>
          <w:rFonts w:ascii="Times New Roman" w:hAnsi="Times New Roman" w:eastAsia="仿宋_GB2312" w:cs="Times New Roman"/>
          <w:sz w:val="32"/>
          <w:szCs w:val="32"/>
        </w:rPr>
        <w:t>的政策目标实现程度、投资运营效果、管理效能以及基金产生的效益等内容进行客观、公正的综合评价，发现项目管理存在的问题，总结项目实施运营的经验，提出改进基金管理和投入使用方面的具体建议，进一步提升基金政策实施效果和基金使用效益，为下一步基金投资安排、完善政策提供参考，持续改善政府引导基金投资效益。</w:t>
      </w:r>
      <w:bookmarkStart w:id="22" w:name="_Toc107437521"/>
      <w:bookmarkStart w:id="23" w:name="_Toc115301529"/>
      <w:bookmarkStart w:id="24" w:name="_Toc154238747"/>
    </w:p>
    <w:p>
      <w:pPr>
        <w:spacing w:line="600" w:lineRule="exact"/>
        <w:ind w:firstLine="643" w:firstLineChars="200"/>
        <w:rPr>
          <w:rFonts w:ascii="Times New Roman" w:hAnsi="Times New Roman" w:eastAsia="仿宋_GB2312" w:cs="Times New Roman"/>
          <w:b/>
          <w:bCs/>
          <w:sz w:val="32"/>
          <w:szCs w:val="32"/>
        </w:rPr>
      </w:pPr>
      <w:r>
        <w:rPr>
          <w:rFonts w:hint="eastAsia" w:ascii="仿宋_GB2312" w:hAnsi="Times New Roman" w:eastAsia="仿宋_GB2312" w:cs="Times New Roman"/>
          <w:b/>
          <w:bCs/>
          <w:color w:val="000000"/>
          <w:sz w:val="32"/>
          <w:szCs w:val="32"/>
        </w:rPr>
        <w:t>2.</w:t>
      </w:r>
      <w:r>
        <w:rPr>
          <w:rFonts w:ascii="仿宋_GB2312" w:hAnsi="Times New Roman" w:eastAsia="仿宋_GB2312" w:cs="Times New Roman"/>
          <w:b/>
          <w:bCs/>
          <w:color w:val="000000"/>
          <w:sz w:val="32"/>
          <w:szCs w:val="32"/>
        </w:rPr>
        <w:t>评价对象与范围</w:t>
      </w:r>
      <w:bookmarkEnd w:id="22"/>
      <w:bookmarkEnd w:id="23"/>
      <w:bookmarkEnd w:id="24"/>
    </w:p>
    <w:p>
      <w:pPr>
        <w:spacing w:line="600" w:lineRule="exact"/>
        <w:ind w:firstLine="640" w:firstLineChars="200"/>
        <w:rPr>
          <w:rFonts w:ascii="仿宋_GB2312" w:hAnsi="Times New Roman" w:eastAsia="仿宋_GB2312" w:cs="Times New Roman"/>
          <w:bCs/>
          <w:kern w:val="0"/>
          <w:sz w:val="32"/>
          <w:szCs w:val="32"/>
        </w:rPr>
      </w:pPr>
      <w:r>
        <w:rPr>
          <w:rFonts w:ascii="仿宋_GB2312" w:hAnsi="Times New Roman" w:eastAsia="仿宋_GB2312" w:cs="Times New Roman"/>
          <w:bCs/>
          <w:kern w:val="0"/>
          <w:sz w:val="32"/>
          <w:szCs w:val="32"/>
        </w:rPr>
        <w:t>本次评价对象为菏泽市单县湖西新动能产业发展基金所使用的菏泽市市级财政资金</w:t>
      </w:r>
      <w:r>
        <w:rPr>
          <w:rFonts w:hint="eastAsia" w:ascii="仿宋_GB2312" w:hAnsi="Times New Roman" w:eastAsia="仿宋_GB2312" w:cs="Times New Roman"/>
          <w:bCs/>
          <w:kern w:val="0"/>
          <w:sz w:val="32"/>
          <w:szCs w:val="32"/>
        </w:rPr>
        <w:t>1500</w:t>
      </w:r>
      <w:r>
        <w:rPr>
          <w:rFonts w:ascii="仿宋_GB2312" w:hAnsi="Times New Roman" w:eastAsia="仿宋_GB2312" w:cs="Times New Roman"/>
          <w:bCs/>
          <w:kern w:val="0"/>
          <w:sz w:val="32"/>
          <w:szCs w:val="32"/>
        </w:rPr>
        <w:t>万元</w:t>
      </w:r>
      <w:r>
        <w:rPr>
          <w:rFonts w:hint="eastAsia" w:ascii="仿宋_GB2312" w:hAnsi="Times New Roman" w:eastAsia="仿宋_GB2312" w:cs="Times New Roman"/>
          <w:bCs/>
          <w:kern w:val="0"/>
          <w:sz w:val="32"/>
          <w:szCs w:val="32"/>
        </w:rPr>
        <w:t>。</w:t>
      </w:r>
    </w:p>
    <w:p>
      <w:pPr>
        <w:spacing w:line="600" w:lineRule="exact"/>
        <w:ind w:firstLine="640" w:firstLineChars="200"/>
        <w:rPr>
          <w:rFonts w:ascii="仿宋_GB2312" w:hAnsi="Times New Roman" w:eastAsia="仿宋_GB2312" w:cs="Times New Roman"/>
          <w:bCs/>
          <w:kern w:val="0"/>
          <w:sz w:val="32"/>
          <w:szCs w:val="32"/>
        </w:rPr>
      </w:pPr>
      <w:r>
        <w:rPr>
          <w:rFonts w:ascii="仿宋_GB2312" w:hAnsi="Times New Roman" w:eastAsia="仿宋_GB2312" w:cs="Times New Roman"/>
          <w:bCs/>
          <w:kern w:val="0"/>
          <w:sz w:val="32"/>
          <w:szCs w:val="32"/>
        </w:rPr>
        <w:t>本次评价范围包括</w:t>
      </w:r>
      <w:r>
        <w:rPr>
          <w:rFonts w:hint="eastAsia" w:ascii="仿宋_GB2312" w:hAnsi="Times New Roman" w:eastAsia="仿宋_GB2312" w:cs="Times New Roman"/>
          <w:bCs/>
          <w:kern w:val="0"/>
          <w:sz w:val="32"/>
          <w:szCs w:val="32"/>
        </w:rPr>
        <w:t>山东省新动能投资管理有限公司</w:t>
      </w:r>
      <w:r>
        <w:rPr>
          <w:rFonts w:ascii="Times New Roman" w:hAnsi="Times New Roman" w:eastAsia="仿宋_GB2312" w:cs="Times New Roman"/>
          <w:bCs/>
          <w:color w:val="000000"/>
          <w:sz w:val="32"/>
          <w:szCs w:val="32"/>
        </w:rPr>
        <w:t>、菏泽市单县湖西新动能产业发展基金合伙企业（有限合伙）及山东湖西王集团铸业有限公司自基金投入以来至评价基准日的管理运营情况。</w:t>
      </w:r>
      <w:r>
        <w:rPr>
          <w:rFonts w:ascii="仿宋_GB2312" w:hAnsi="Times New Roman" w:eastAsia="仿宋_GB2312" w:cs="Times New Roman"/>
          <w:bCs/>
          <w:kern w:val="0"/>
          <w:sz w:val="32"/>
          <w:szCs w:val="32"/>
        </w:rPr>
        <w:t>由于本项目资金使用单位数量少、地域相对集中，本次评价实施现场评价范围全覆盖。</w:t>
      </w:r>
    </w:p>
    <w:p>
      <w:pPr>
        <w:snapToGrid w:val="0"/>
        <w:spacing w:line="600" w:lineRule="exact"/>
        <w:ind w:firstLine="640" w:firstLineChars="200"/>
        <w:outlineLvl w:val="1"/>
        <w:rPr>
          <w:rFonts w:ascii="Times New Roman" w:hAnsi="Times New Roman" w:eastAsia="楷体_GB2312" w:cs="Times New Roman"/>
          <w:bCs/>
          <w:sz w:val="32"/>
          <w:szCs w:val="32"/>
        </w:rPr>
      </w:pPr>
      <w:bookmarkStart w:id="25" w:name="_Toc154238750"/>
      <w:bookmarkStart w:id="26" w:name="_Toc115301532"/>
      <w:bookmarkStart w:id="27" w:name="_Toc478932145"/>
      <w:bookmarkStart w:id="28" w:name="_Toc480041981"/>
      <w:r>
        <w:rPr>
          <w:rFonts w:ascii="Times New Roman" w:hAnsi="Times New Roman" w:eastAsia="楷体_GB2312" w:cs="Times New Roman"/>
          <w:bCs/>
          <w:sz w:val="32"/>
          <w:szCs w:val="32"/>
        </w:rPr>
        <w:t>（</w:t>
      </w:r>
      <w:r>
        <w:rPr>
          <w:rFonts w:hint="eastAsia" w:ascii="Times New Roman" w:hAnsi="Times New Roman" w:eastAsia="楷体_GB2312" w:cs="Times New Roman"/>
          <w:bCs/>
          <w:sz w:val="32"/>
          <w:szCs w:val="32"/>
        </w:rPr>
        <w:t>二</w:t>
      </w:r>
      <w:r>
        <w:rPr>
          <w:rFonts w:ascii="Times New Roman" w:hAnsi="Times New Roman" w:eastAsia="楷体_GB2312" w:cs="Times New Roman"/>
          <w:bCs/>
          <w:sz w:val="32"/>
          <w:szCs w:val="32"/>
        </w:rPr>
        <w:t>）绩效评价指标体系</w:t>
      </w:r>
      <w:bookmarkEnd w:id="25"/>
      <w:bookmarkEnd w:id="26"/>
      <w:bookmarkStart w:id="29" w:name="_Hlk81318917"/>
      <w:bookmarkStart w:id="30" w:name="_Toc115301533"/>
    </w:p>
    <w:bookmarkEnd w:id="29"/>
    <w:bookmarkEnd w:id="30"/>
    <w:p>
      <w:pPr>
        <w:spacing w:line="600" w:lineRule="exact"/>
        <w:ind w:firstLine="640" w:firstLineChars="200"/>
        <w:rPr>
          <w:rFonts w:ascii="仿宋_GB2312" w:hAnsi="Times New Roman" w:eastAsia="仿宋_GB2312" w:cs="Times New Roman"/>
          <w:bCs/>
          <w:kern w:val="0"/>
          <w:sz w:val="32"/>
          <w:szCs w:val="32"/>
        </w:rPr>
      </w:pPr>
      <w:r>
        <w:rPr>
          <w:rFonts w:ascii="仿宋_GB2312" w:hAnsi="Times New Roman" w:eastAsia="仿宋_GB2312" w:cs="Times New Roman"/>
          <w:bCs/>
          <w:kern w:val="0"/>
          <w:sz w:val="32"/>
          <w:szCs w:val="32"/>
        </w:rPr>
        <w:t>本次评价指标体系参照《财政部关于印发&lt;项目支出绩效评价管理办法&gt;的通知》（财预〔2020〕10号）、《山东省财政厅关于印发&lt;山东省新旧动能转换引导基金绩效评价暂行办法&gt;的通知》（鲁财基金〔2019〕11号）等政策文件规定以及相关法律法规、项目绩效目标及管理办法制定。</w:t>
      </w:r>
      <w:bookmarkStart w:id="31" w:name="_Toc115301534"/>
    </w:p>
    <w:bookmarkEnd w:id="31"/>
    <w:p>
      <w:pPr>
        <w:spacing w:line="600" w:lineRule="exact"/>
        <w:ind w:firstLine="640" w:firstLineChars="200"/>
        <w:rPr>
          <w:rFonts w:ascii="仿宋" w:hAnsi="仿宋" w:eastAsia="仿宋" w:cs="Times New Roman"/>
          <w:bCs/>
          <w:kern w:val="0"/>
          <w:sz w:val="32"/>
          <w:szCs w:val="32"/>
        </w:rPr>
      </w:pPr>
      <w:bookmarkStart w:id="32" w:name="_Hlk81318944"/>
      <w:r>
        <w:rPr>
          <w:rFonts w:ascii="仿宋_GB2312" w:hAnsi="Times New Roman" w:eastAsia="仿宋_GB2312" w:cs="Times New Roman"/>
          <w:bCs/>
          <w:kern w:val="0"/>
          <w:sz w:val="32"/>
          <w:szCs w:val="32"/>
        </w:rPr>
        <w:t>本次评价指标体系涵盖政策效应、投资运营、管理效能、投资效益四个方面，包括4个一级指标、11个二级指标、2</w:t>
      </w:r>
      <w:r>
        <w:rPr>
          <w:rFonts w:hint="eastAsia" w:ascii="仿宋_GB2312" w:hAnsi="Times New Roman" w:eastAsia="仿宋_GB2312" w:cs="Times New Roman"/>
          <w:bCs/>
          <w:kern w:val="0"/>
          <w:sz w:val="32"/>
          <w:szCs w:val="32"/>
        </w:rPr>
        <w:t>0</w:t>
      </w:r>
      <w:r>
        <w:rPr>
          <w:rFonts w:ascii="仿宋_GB2312" w:hAnsi="Times New Roman" w:eastAsia="仿宋_GB2312" w:cs="Times New Roman"/>
          <w:bCs/>
          <w:kern w:val="0"/>
          <w:sz w:val="32"/>
          <w:szCs w:val="32"/>
        </w:rPr>
        <w:t>个三级指标</w:t>
      </w:r>
      <w:r>
        <w:rPr>
          <w:rFonts w:hint="eastAsia" w:ascii="仿宋_GB2312" w:hAnsi="Times New Roman" w:eastAsia="仿宋_GB2312" w:cs="Times New Roman"/>
          <w:bCs/>
          <w:kern w:val="0"/>
          <w:sz w:val="32"/>
          <w:szCs w:val="32"/>
        </w:rPr>
        <w:t>。</w:t>
      </w:r>
    </w:p>
    <w:bookmarkEnd w:id="27"/>
    <w:bookmarkEnd w:id="28"/>
    <w:bookmarkEnd w:id="32"/>
    <w:p>
      <w:pPr>
        <w:pStyle w:val="36"/>
        <w:spacing w:line="600" w:lineRule="exact"/>
        <w:ind w:left="640" w:firstLine="0" w:firstLineChars="0"/>
        <w:outlineLvl w:val="0"/>
        <w:rPr>
          <w:rFonts w:ascii="Times New Roman" w:hAnsi="Times New Roman" w:eastAsia="黑体" w:cs="Times New Roman"/>
          <w:bCs/>
          <w:sz w:val="32"/>
          <w:szCs w:val="32"/>
        </w:rPr>
      </w:pPr>
      <w:bookmarkStart w:id="33" w:name="_Toc115301537"/>
      <w:bookmarkStart w:id="34" w:name="_Toc154238753"/>
      <w:r>
        <w:rPr>
          <w:rFonts w:hint="eastAsia" w:ascii="Times New Roman" w:hAnsi="Times New Roman" w:eastAsia="黑体" w:cs="Times New Roman"/>
          <w:bCs/>
          <w:sz w:val="32"/>
          <w:szCs w:val="32"/>
        </w:rPr>
        <w:t>三</w:t>
      </w:r>
      <w:r>
        <w:rPr>
          <w:rFonts w:ascii="Times New Roman" w:hAnsi="Times New Roman" w:eastAsia="黑体" w:cs="Times New Roman"/>
          <w:bCs/>
          <w:sz w:val="32"/>
          <w:szCs w:val="32"/>
        </w:rPr>
        <w:t>、绩效评价结论</w:t>
      </w:r>
      <w:bookmarkEnd w:id="33"/>
      <w:bookmarkEnd w:id="34"/>
    </w:p>
    <w:p>
      <w:pPr>
        <w:spacing w:line="600" w:lineRule="exact"/>
        <w:ind w:firstLine="640" w:firstLineChars="200"/>
        <w:rPr>
          <w:rFonts w:ascii="仿宋_GB2312" w:hAnsi="Times New Roman" w:eastAsia="仿宋_GB2312" w:cs="Times New Roman"/>
          <w:bCs/>
          <w:kern w:val="0"/>
          <w:sz w:val="32"/>
          <w:szCs w:val="32"/>
        </w:rPr>
      </w:pPr>
      <w:r>
        <w:rPr>
          <w:rFonts w:ascii="仿宋_GB2312" w:hAnsi="Times New Roman" w:eastAsia="仿宋_GB2312" w:cs="Times New Roman"/>
          <w:bCs/>
          <w:kern w:val="0"/>
          <w:sz w:val="32"/>
          <w:szCs w:val="32"/>
        </w:rPr>
        <w:t>经综合评价，项目得分8</w:t>
      </w:r>
      <w:r>
        <w:rPr>
          <w:rFonts w:hint="eastAsia" w:ascii="仿宋_GB2312" w:hAnsi="Times New Roman" w:eastAsia="仿宋_GB2312" w:cs="Times New Roman"/>
          <w:bCs/>
          <w:kern w:val="0"/>
          <w:sz w:val="32"/>
          <w:szCs w:val="32"/>
        </w:rPr>
        <w:t>3</w:t>
      </w:r>
      <w:r>
        <w:rPr>
          <w:rFonts w:ascii="仿宋_GB2312" w:hAnsi="Times New Roman" w:eastAsia="仿宋_GB2312" w:cs="Times New Roman"/>
          <w:bCs/>
          <w:kern w:val="0"/>
          <w:sz w:val="32"/>
          <w:szCs w:val="32"/>
        </w:rPr>
        <w:t>分，评价等级为“良”。具体得分见</w:t>
      </w:r>
      <w:r>
        <w:rPr>
          <w:rFonts w:hint="eastAsia" w:ascii="仿宋_GB2312" w:hAnsi="Times New Roman" w:eastAsia="仿宋_GB2312" w:cs="Times New Roman"/>
          <w:bCs/>
          <w:kern w:val="0"/>
          <w:sz w:val="32"/>
          <w:szCs w:val="32"/>
          <w:lang w:val="en-US" w:eastAsia="zh-CN"/>
        </w:rPr>
        <w:t>下</w:t>
      </w:r>
      <w:r>
        <w:rPr>
          <w:rFonts w:ascii="仿宋_GB2312" w:hAnsi="Times New Roman" w:eastAsia="仿宋_GB2312" w:cs="Times New Roman"/>
          <w:bCs/>
          <w:kern w:val="0"/>
          <w:sz w:val="32"/>
          <w:szCs w:val="32"/>
        </w:rPr>
        <w:t>表</w:t>
      </w:r>
    </w:p>
    <w:p>
      <w:pPr>
        <w:pStyle w:val="37"/>
        <w:ind w:firstLine="0" w:firstLineChars="0"/>
        <w:jc w:val="center"/>
        <w:rPr>
          <w:rFonts w:ascii="Times New Roman" w:hAnsi="Times New Roman" w:eastAsia="黑体" w:cs="Times New Roman"/>
          <w:sz w:val="28"/>
          <w:szCs w:val="28"/>
        </w:rPr>
      </w:pPr>
      <w:r>
        <w:rPr>
          <w:rFonts w:ascii="Times New Roman" w:hAnsi="Times New Roman" w:eastAsia="黑体" w:cs="Times New Roman"/>
          <w:sz w:val="28"/>
          <w:szCs w:val="28"/>
        </w:rPr>
        <w:t>绩效评价得分汇总表</w:t>
      </w:r>
    </w:p>
    <w:tbl>
      <w:tblPr>
        <w:tblStyle w:val="1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1962"/>
        <w:gridCol w:w="1855"/>
        <w:gridCol w:w="2628"/>
        <w:gridCol w:w="2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40" w:hRule="atLeast"/>
          <w:tblHeader/>
        </w:trPr>
        <w:tc>
          <w:tcPr>
            <w:tcW w:w="1083" w:type="pct"/>
            <w:shd w:val="clear" w:color="auto" w:fill="FFFFFF" w:themeFill="background1"/>
            <w:noWrap/>
            <w:vAlign w:val="bottom"/>
          </w:tcPr>
          <w:p>
            <w:pPr>
              <w:widowControl/>
              <w:spacing w:line="600" w:lineRule="exact"/>
              <w:jc w:val="center"/>
              <w:textAlignment w:val="bottom"/>
              <w:rPr>
                <w:rFonts w:ascii="Times New Roman" w:hAnsi="Times New Roman" w:eastAsia="黑体" w:cs="Times New Roman"/>
                <w:color w:val="000000"/>
                <w:sz w:val="28"/>
                <w:szCs w:val="28"/>
              </w:rPr>
            </w:pPr>
            <w:r>
              <w:rPr>
                <w:rFonts w:hint="eastAsia" w:ascii="Times New Roman" w:hAnsi="Times New Roman" w:eastAsia="黑体" w:cs="Times New Roman"/>
                <w:color w:val="000000"/>
                <w:kern w:val="0"/>
                <w:sz w:val="28"/>
                <w:szCs w:val="28"/>
              </w:rPr>
              <w:t>评价</w:t>
            </w:r>
            <w:r>
              <w:rPr>
                <w:rFonts w:ascii="Times New Roman" w:hAnsi="Times New Roman" w:eastAsia="黑体" w:cs="Times New Roman"/>
                <w:color w:val="000000"/>
                <w:kern w:val="0"/>
                <w:sz w:val="28"/>
                <w:szCs w:val="28"/>
              </w:rPr>
              <w:t>指标</w:t>
            </w:r>
          </w:p>
        </w:tc>
        <w:tc>
          <w:tcPr>
            <w:tcW w:w="1024" w:type="pct"/>
            <w:shd w:val="clear" w:color="auto" w:fill="FFFFFF" w:themeFill="background1"/>
            <w:noWrap/>
            <w:vAlign w:val="bottom"/>
          </w:tcPr>
          <w:p>
            <w:pPr>
              <w:widowControl/>
              <w:spacing w:line="600" w:lineRule="exact"/>
              <w:jc w:val="center"/>
              <w:textAlignment w:val="bottom"/>
              <w:rPr>
                <w:rFonts w:ascii="Times New Roman" w:hAnsi="Times New Roman" w:eastAsia="黑体" w:cs="Times New Roman"/>
                <w:color w:val="000000"/>
                <w:sz w:val="28"/>
                <w:szCs w:val="28"/>
              </w:rPr>
            </w:pPr>
            <w:r>
              <w:rPr>
                <w:rFonts w:ascii="Times New Roman" w:hAnsi="Times New Roman" w:eastAsia="黑体" w:cs="Times New Roman"/>
                <w:color w:val="000000"/>
                <w:kern w:val="0"/>
                <w:sz w:val="28"/>
                <w:szCs w:val="28"/>
              </w:rPr>
              <w:t>权重</w:t>
            </w:r>
            <w:r>
              <w:rPr>
                <w:rFonts w:hint="eastAsia" w:ascii="Times New Roman" w:hAnsi="Times New Roman" w:eastAsia="黑体" w:cs="Times New Roman"/>
                <w:color w:val="000000"/>
                <w:kern w:val="0"/>
                <w:sz w:val="28"/>
                <w:szCs w:val="28"/>
              </w:rPr>
              <w:t>（%）</w:t>
            </w:r>
          </w:p>
        </w:tc>
        <w:tc>
          <w:tcPr>
            <w:tcW w:w="1451" w:type="pct"/>
            <w:shd w:val="clear" w:color="auto" w:fill="FFFFFF" w:themeFill="background1"/>
            <w:noWrap/>
            <w:vAlign w:val="bottom"/>
          </w:tcPr>
          <w:p>
            <w:pPr>
              <w:widowControl/>
              <w:spacing w:line="600" w:lineRule="exact"/>
              <w:jc w:val="center"/>
              <w:textAlignment w:val="bottom"/>
              <w:rPr>
                <w:rFonts w:ascii="Times New Roman" w:hAnsi="Times New Roman" w:eastAsia="黑体" w:cs="Times New Roman"/>
                <w:color w:val="000000"/>
                <w:sz w:val="28"/>
                <w:szCs w:val="28"/>
              </w:rPr>
            </w:pPr>
            <w:r>
              <w:rPr>
                <w:rFonts w:ascii="Times New Roman" w:hAnsi="Times New Roman" w:eastAsia="黑体" w:cs="Times New Roman"/>
                <w:color w:val="000000"/>
                <w:kern w:val="0"/>
                <w:sz w:val="28"/>
                <w:szCs w:val="28"/>
              </w:rPr>
              <w:t>评价得分</w:t>
            </w:r>
          </w:p>
        </w:tc>
        <w:tc>
          <w:tcPr>
            <w:tcW w:w="1442" w:type="pct"/>
            <w:shd w:val="clear" w:color="auto" w:fill="FFFFFF" w:themeFill="background1"/>
            <w:noWrap/>
            <w:vAlign w:val="bottom"/>
          </w:tcPr>
          <w:p>
            <w:pPr>
              <w:widowControl/>
              <w:spacing w:line="600" w:lineRule="exact"/>
              <w:jc w:val="center"/>
              <w:textAlignment w:val="bottom"/>
              <w:rPr>
                <w:rFonts w:ascii="Times New Roman" w:hAnsi="Times New Roman" w:eastAsia="黑体" w:cs="Times New Roman"/>
                <w:color w:val="000000"/>
                <w:sz w:val="28"/>
                <w:szCs w:val="28"/>
              </w:rPr>
            </w:pPr>
            <w:r>
              <w:rPr>
                <w:rFonts w:hint="eastAsia" w:ascii="Times New Roman" w:hAnsi="Times New Roman" w:eastAsia="黑体" w:cs="Times New Roman"/>
                <w:color w:val="000000"/>
                <w:kern w:val="0"/>
                <w:sz w:val="28"/>
                <w:szCs w:val="28"/>
              </w:rPr>
              <w:t>评价</w:t>
            </w:r>
            <w:r>
              <w:rPr>
                <w:rFonts w:ascii="Times New Roman" w:hAnsi="Times New Roman" w:eastAsia="黑体" w:cs="Times New Roman"/>
                <w:color w:val="000000"/>
                <w:kern w:val="0"/>
                <w:sz w:val="28"/>
                <w:szCs w:val="28"/>
              </w:rPr>
              <w:t>分值占比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083" w:type="pct"/>
            <w:shd w:val="clear" w:color="auto" w:fill="FFFFFF" w:themeFill="background1"/>
            <w:noWrap/>
            <w:vAlign w:val="bottom"/>
          </w:tcPr>
          <w:p>
            <w:pPr>
              <w:widowControl/>
              <w:spacing w:line="600" w:lineRule="exact"/>
              <w:jc w:val="center"/>
              <w:textAlignment w:val="bottom"/>
              <w:rPr>
                <w:rFonts w:ascii="Times New Roman" w:hAnsi="Times New Roman" w:eastAsia="仿宋_GB2312" w:cs="Times New Roman"/>
                <w:color w:val="000000"/>
                <w:sz w:val="28"/>
                <w:szCs w:val="28"/>
              </w:rPr>
            </w:pPr>
            <w:r>
              <w:rPr>
                <w:rFonts w:hint="eastAsia" w:ascii="Times New Roman" w:hAnsi="Times New Roman" w:eastAsia="仿宋_GB2312" w:cs="Times New Roman"/>
                <w:color w:val="000000"/>
                <w:kern w:val="0"/>
                <w:sz w:val="28"/>
                <w:szCs w:val="28"/>
              </w:rPr>
              <w:t>1.</w:t>
            </w:r>
            <w:r>
              <w:rPr>
                <w:rFonts w:ascii="Times New Roman" w:hAnsi="Times New Roman" w:eastAsia="仿宋_GB2312" w:cs="Times New Roman"/>
                <w:color w:val="000000"/>
                <w:kern w:val="0"/>
                <w:sz w:val="28"/>
                <w:szCs w:val="28"/>
              </w:rPr>
              <w:t>政策效应</w:t>
            </w:r>
          </w:p>
        </w:tc>
        <w:tc>
          <w:tcPr>
            <w:tcW w:w="1024" w:type="pct"/>
            <w:shd w:val="clear" w:color="auto" w:fill="FFFFFF" w:themeFill="background1"/>
            <w:noWrap/>
            <w:vAlign w:val="bottom"/>
          </w:tcPr>
          <w:p>
            <w:pPr>
              <w:widowControl/>
              <w:spacing w:line="600" w:lineRule="exact"/>
              <w:jc w:val="center"/>
              <w:textAlignment w:val="bottom"/>
              <w:rPr>
                <w:rFonts w:ascii="仿宋_GB2312" w:hAnsi="黑体" w:eastAsia="仿宋_GB2312" w:cs="Times New Roman"/>
                <w:color w:val="000000"/>
                <w:sz w:val="28"/>
                <w:szCs w:val="28"/>
              </w:rPr>
            </w:pPr>
            <w:r>
              <w:rPr>
                <w:rFonts w:hint="eastAsia" w:ascii="仿宋_GB2312" w:hAnsi="黑体" w:eastAsia="仿宋_GB2312" w:cs="Times New Roman"/>
                <w:color w:val="000000"/>
                <w:sz w:val="28"/>
                <w:szCs w:val="28"/>
              </w:rPr>
              <w:t>35.00</w:t>
            </w:r>
          </w:p>
        </w:tc>
        <w:tc>
          <w:tcPr>
            <w:tcW w:w="1451" w:type="pct"/>
            <w:shd w:val="clear" w:color="auto" w:fill="FFFFFF" w:themeFill="background1"/>
            <w:noWrap/>
            <w:vAlign w:val="bottom"/>
          </w:tcPr>
          <w:p>
            <w:pPr>
              <w:widowControl/>
              <w:spacing w:line="600" w:lineRule="exact"/>
              <w:jc w:val="center"/>
              <w:textAlignment w:val="bottom"/>
              <w:rPr>
                <w:rFonts w:ascii="仿宋_GB2312" w:hAnsi="黑体" w:eastAsia="仿宋_GB2312" w:cs="Times New Roman"/>
                <w:color w:val="000000"/>
                <w:kern w:val="0"/>
                <w:sz w:val="28"/>
                <w:szCs w:val="28"/>
              </w:rPr>
            </w:pPr>
            <w:r>
              <w:rPr>
                <w:rFonts w:hint="eastAsia" w:ascii="仿宋_GB2312" w:hAnsi="黑体" w:eastAsia="仿宋_GB2312" w:cs="Times New Roman"/>
                <w:color w:val="000000"/>
                <w:kern w:val="0"/>
                <w:sz w:val="28"/>
                <w:szCs w:val="28"/>
              </w:rPr>
              <w:t>26.00</w:t>
            </w:r>
          </w:p>
        </w:tc>
        <w:tc>
          <w:tcPr>
            <w:tcW w:w="1442" w:type="pct"/>
            <w:shd w:val="clear" w:color="auto" w:fill="FFFFFF" w:themeFill="background1"/>
            <w:noWrap/>
            <w:vAlign w:val="bottom"/>
          </w:tcPr>
          <w:p>
            <w:pPr>
              <w:widowControl/>
              <w:spacing w:line="600" w:lineRule="exact"/>
              <w:jc w:val="center"/>
              <w:textAlignment w:val="bottom"/>
              <w:rPr>
                <w:rFonts w:ascii="仿宋_GB2312" w:hAnsi="黑体" w:eastAsia="仿宋_GB2312" w:cs="Times New Roman"/>
                <w:color w:val="000000"/>
                <w:sz w:val="28"/>
                <w:szCs w:val="28"/>
              </w:rPr>
            </w:pPr>
            <w:r>
              <w:rPr>
                <w:rFonts w:hint="eastAsia" w:ascii="仿宋_GB2312" w:hAnsi="黑体" w:eastAsia="仿宋_GB2312" w:cs="Times New Roman"/>
                <w:color w:val="000000"/>
                <w:sz w:val="28"/>
                <w:szCs w:val="28"/>
              </w:rPr>
              <w:t>74.29%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083" w:type="pct"/>
            <w:shd w:val="clear" w:color="auto" w:fill="FFFFFF" w:themeFill="background1"/>
            <w:noWrap/>
            <w:vAlign w:val="bottom"/>
          </w:tcPr>
          <w:p>
            <w:pPr>
              <w:widowControl/>
              <w:spacing w:line="600" w:lineRule="exact"/>
              <w:jc w:val="center"/>
              <w:textAlignment w:val="bottom"/>
              <w:rPr>
                <w:rFonts w:ascii="Times New Roman" w:hAnsi="Times New Roman" w:eastAsia="仿宋_GB2312" w:cs="Times New Roman"/>
                <w:color w:val="000000"/>
                <w:sz w:val="28"/>
                <w:szCs w:val="28"/>
              </w:rPr>
            </w:pPr>
            <w:r>
              <w:rPr>
                <w:rFonts w:hint="eastAsia" w:ascii="Times New Roman" w:hAnsi="Times New Roman" w:eastAsia="仿宋_GB2312" w:cs="Times New Roman"/>
                <w:color w:val="000000"/>
                <w:kern w:val="0"/>
                <w:sz w:val="28"/>
                <w:szCs w:val="28"/>
              </w:rPr>
              <w:t>2.</w:t>
            </w:r>
            <w:r>
              <w:rPr>
                <w:rFonts w:ascii="Times New Roman" w:hAnsi="Times New Roman" w:eastAsia="仿宋_GB2312" w:cs="Times New Roman"/>
                <w:color w:val="000000"/>
                <w:kern w:val="0"/>
                <w:sz w:val="28"/>
                <w:szCs w:val="28"/>
              </w:rPr>
              <w:t>投资运营</w:t>
            </w:r>
          </w:p>
        </w:tc>
        <w:tc>
          <w:tcPr>
            <w:tcW w:w="1024" w:type="pct"/>
            <w:shd w:val="clear" w:color="auto" w:fill="FFFFFF" w:themeFill="background1"/>
            <w:noWrap/>
            <w:vAlign w:val="bottom"/>
          </w:tcPr>
          <w:p>
            <w:pPr>
              <w:widowControl/>
              <w:spacing w:line="600" w:lineRule="exact"/>
              <w:jc w:val="center"/>
              <w:textAlignment w:val="bottom"/>
              <w:rPr>
                <w:rFonts w:ascii="仿宋_GB2312" w:hAnsi="黑体" w:eastAsia="仿宋_GB2312" w:cs="Times New Roman"/>
                <w:color w:val="000000"/>
                <w:sz w:val="28"/>
                <w:szCs w:val="28"/>
              </w:rPr>
            </w:pPr>
            <w:r>
              <w:rPr>
                <w:rFonts w:hint="eastAsia" w:ascii="仿宋_GB2312" w:hAnsi="黑体" w:eastAsia="仿宋_GB2312" w:cs="Times New Roman"/>
                <w:color w:val="000000"/>
                <w:kern w:val="0"/>
                <w:sz w:val="28"/>
                <w:szCs w:val="28"/>
              </w:rPr>
              <w:t>25.00</w:t>
            </w:r>
          </w:p>
        </w:tc>
        <w:tc>
          <w:tcPr>
            <w:tcW w:w="1451" w:type="pct"/>
            <w:shd w:val="clear" w:color="auto" w:fill="FFFFFF" w:themeFill="background1"/>
            <w:noWrap/>
            <w:vAlign w:val="bottom"/>
          </w:tcPr>
          <w:p>
            <w:pPr>
              <w:widowControl/>
              <w:spacing w:line="600" w:lineRule="exact"/>
              <w:jc w:val="center"/>
              <w:textAlignment w:val="bottom"/>
              <w:rPr>
                <w:rFonts w:ascii="仿宋_GB2312" w:hAnsi="黑体" w:eastAsia="仿宋_GB2312" w:cs="Times New Roman"/>
                <w:color w:val="000000"/>
                <w:kern w:val="0"/>
                <w:sz w:val="28"/>
                <w:szCs w:val="28"/>
              </w:rPr>
            </w:pPr>
            <w:r>
              <w:rPr>
                <w:rFonts w:hint="eastAsia" w:ascii="仿宋_GB2312" w:hAnsi="黑体" w:eastAsia="仿宋_GB2312" w:cs="Times New Roman"/>
                <w:color w:val="000000"/>
                <w:kern w:val="0"/>
                <w:sz w:val="28"/>
                <w:szCs w:val="28"/>
              </w:rPr>
              <w:t>25.00</w:t>
            </w:r>
          </w:p>
        </w:tc>
        <w:tc>
          <w:tcPr>
            <w:tcW w:w="1442" w:type="pct"/>
            <w:shd w:val="clear" w:color="auto" w:fill="FFFFFF" w:themeFill="background1"/>
            <w:noWrap/>
            <w:vAlign w:val="bottom"/>
          </w:tcPr>
          <w:p>
            <w:pPr>
              <w:widowControl/>
              <w:spacing w:line="600" w:lineRule="exact"/>
              <w:jc w:val="center"/>
              <w:textAlignment w:val="bottom"/>
              <w:rPr>
                <w:rFonts w:ascii="仿宋_GB2312" w:hAnsi="黑体" w:eastAsia="仿宋_GB2312" w:cs="Times New Roman"/>
                <w:color w:val="000000"/>
                <w:sz w:val="28"/>
                <w:szCs w:val="28"/>
              </w:rPr>
            </w:pPr>
            <w:r>
              <w:rPr>
                <w:rFonts w:hint="eastAsia" w:ascii="仿宋_GB2312" w:hAnsi="黑体" w:eastAsia="仿宋_GB2312" w:cs="Times New Roman"/>
                <w:color w:val="000000"/>
                <w:sz w:val="28"/>
                <w:szCs w:val="28"/>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083" w:type="pct"/>
            <w:shd w:val="clear" w:color="auto" w:fill="FFFFFF" w:themeFill="background1"/>
            <w:noWrap/>
            <w:vAlign w:val="bottom"/>
          </w:tcPr>
          <w:p>
            <w:pPr>
              <w:widowControl/>
              <w:spacing w:line="600" w:lineRule="exact"/>
              <w:jc w:val="center"/>
              <w:textAlignment w:val="bottom"/>
              <w:rPr>
                <w:rFonts w:ascii="Times New Roman" w:hAnsi="Times New Roman" w:eastAsia="仿宋_GB2312" w:cs="Times New Roman"/>
                <w:color w:val="000000"/>
                <w:sz w:val="28"/>
                <w:szCs w:val="28"/>
              </w:rPr>
            </w:pPr>
            <w:r>
              <w:rPr>
                <w:rFonts w:hint="eastAsia" w:ascii="Times New Roman" w:hAnsi="Times New Roman" w:eastAsia="仿宋_GB2312" w:cs="Times New Roman"/>
                <w:color w:val="000000"/>
                <w:kern w:val="0"/>
                <w:sz w:val="28"/>
                <w:szCs w:val="28"/>
              </w:rPr>
              <w:t>3.</w:t>
            </w:r>
            <w:r>
              <w:rPr>
                <w:rFonts w:ascii="Times New Roman" w:hAnsi="Times New Roman" w:eastAsia="仿宋_GB2312" w:cs="Times New Roman"/>
                <w:color w:val="000000"/>
                <w:kern w:val="0"/>
                <w:sz w:val="28"/>
                <w:szCs w:val="28"/>
              </w:rPr>
              <w:t>管理效能</w:t>
            </w:r>
          </w:p>
        </w:tc>
        <w:tc>
          <w:tcPr>
            <w:tcW w:w="1024" w:type="pct"/>
            <w:shd w:val="clear" w:color="auto" w:fill="FFFFFF" w:themeFill="background1"/>
            <w:noWrap/>
            <w:vAlign w:val="bottom"/>
          </w:tcPr>
          <w:p>
            <w:pPr>
              <w:widowControl/>
              <w:spacing w:line="600" w:lineRule="exact"/>
              <w:jc w:val="center"/>
              <w:textAlignment w:val="bottom"/>
              <w:rPr>
                <w:rFonts w:ascii="仿宋_GB2312" w:hAnsi="黑体" w:eastAsia="仿宋_GB2312" w:cs="Times New Roman"/>
                <w:color w:val="000000"/>
                <w:sz w:val="28"/>
                <w:szCs w:val="28"/>
              </w:rPr>
            </w:pPr>
            <w:r>
              <w:rPr>
                <w:rFonts w:hint="eastAsia" w:ascii="仿宋_GB2312" w:hAnsi="黑体" w:eastAsia="仿宋_GB2312" w:cs="Times New Roman"/>
                <w:color w:val="000000"/>
                <w:sz w:val="28"/>
                <w:szCs w:val="28"/>
              </w:rPr>
              <w:t>20.00</w:t>
            </w:r>
          </w:p>
        </w:tc>
        <w:tc>
          <w:tcPr>
            <w:tcW w:w="1451" w:type="pct"/>
            <w:shd w:val="clear" w:color="auto" w:fill="FFFFFF" w:themeFill="background1"/>
            <w:noWrap/>
            <w:vAlign w:val="bottom"/>
          </w:tcPr>
          <w:p>
            <w:pPr>
              <w:widowControl/>
              <w:spacing w:line="600" w:lineRule="exact"/>
              <w:jc w:val="center"/>
              <w:textAlignment w:val="bottom"/>
              <w:rPr>
                <w:rFonts w:ascii="仿宋_GB2312" w:hAnsi="黑体" w:eastAsia="仿宋_GB2312" w:cs="Times New Roman"/>
                <w:color w:val="000000"/>
                <w:kern w:val="0"/>
                <w:sz w:val="28"/>
                <w:szCs w:val="28"/>
              </w:rPr>
            </w:pPr>
            <w:r>
              <w:rPr>
                <w:rFonts w:hint="eastAsia" w:ascii="仿宋_GB2312" w:hAnsi="黑体" w:eastAsia="仿宋_GB2312" w:cs="Times New Roman"/>
                <w:color w:val="000000"/>
                <w:kern w:val="0"/>
                <w:sz w:val="28"/>
                <w:szCs w:val="28"/>
              </w:rPr>
              <w:t>16.00</w:t>
            </w:r>
          </w:p>
        </w:tc>
        <w:tc>
          <w:tcPr>
            <w:tcW w:w="1442" w:type="pct"/>
            <w:shd w:val="clear" w:color="auto" w:fill="FFFFFF" w:themeFill="background1"/>
            <w:noWrap/>
            <w:vAlign w:val="bottom"/>
          </w:tcPr>
          <w:p>
            <w:pPr>
              <w:widowControl/>
              <w:spacing w:line="600" w:lineRule="exact"/>
              <w:jc w:val="center"/>
              <w:textAlignment w:val="bottom"/>
              <w:rPr>
                <w:rFonts w:ascii="仿宋_GB2312" w:hAnsi="黑体" w:eastAsia="仿宋_GB2312" w:cs="Times New Roman"/>
                <w:color w:val="000000"/>
                <w:sz w:val="28"/>
                <w:szCs w:val="28"/>
              </w:rPr>
            </w:pPr>
            <w:r>
              <w:rPr>
                <w:rFonts w:hint="eastAsia" w:ascii="仿宋_GB2312" w:hAnsi="黑体" w:eastAsia="仿宋_GB2312" w:cs="Times New Roman"/>
                <w:color w:val="000000"/>
                <w:sz w:val="28"/>
                <w:szCs w:val="28"/>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083" w:type="pct"/>
            <w:shd w:val="clear" w:color="auto" w:fill="FFFFFF" w:themeFill="background1"/>
            <w:noWrap/>
            <w:vAlign w:val="bottom"/>
          </w:tcPr>
          <w:p>
            <w:pPr>
              <w:widowControl/>
              <w:spacing w:line="600" w:lineRule="exact"/>
              <w:jc w:val="center"/>
              <w:textAlignment w:val="bottom"/>
              <w:rPr>
                <w:rFonts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4.</w:t>
            </w:r>
            <w:r>
              <w:rPr>
                <w:rFonts w:ascii="Times New Roman" w:hAnsi="Times New Roman" w:eastAsia="仿宋_GB2312" w:cs="Times New Roman"/>
                <w:color w:val="000000"/>
                <w:sz w:val="28"/>
                <w:szCs w:val="28"/>
              </w:rPr>
              <w:t>投资效益</w:t>
            </w:r>
          </w:p>
        </w:tc>
        <w:tc>
          <w:tcPr>
            <w:tcW w:w="1024" w:type="pct"/>
            <w:shd w:val="clear" w:color="auto" w:fill="FFFFFF" w:themeFill="background1"/>
            <w:noWrap/>
            <w:vAlign w:val="bottom"/>
          </w:tcPr>
          <w:p>
            <w:pPr>
              <w:widowControl/>
              <w:spacing w:line="600" w:lineRule="exact"/>
              <w:jc w:val="center"/>
              <w:textAlignment w:val="bottom"/>
              <w:rPr>
                <w:rFonts w:ascii="仿宋_GB2312" w:hAnsi="黑体" w:eastAsia="仿宋_GB2312" w:cs="Times New Roman"/>
                <w:color w:val="000000"/>
                <w:sz w:val="28"/>
                <w:szCs w:val="28"/>
              </w:rPr>
            </w:pPr>
            <w:r>
              <w:rPr>
                <w:rFonts w:hint="eastAsia" w:ascii="仿宋_GB2312" w:hAnsi="黑体" w:eastAsia="仿宋_GB2312" w:cs="Times New Roman"/>
                <w:color w:val="000000"/>
                <w:kern w:val="0"/>
                <w:sz w:val="28"/>
                <w:szCs w:val="28"/>
              </w:rPr>
              <w:t>20.00</w:t>
            </w:r>
          </w:p>
        </w:tc>
        <w:tc>
          <w:tcPr>
            <w:tcW w:w="1451" w:type="pct"/>
            <w:shd w:val="clear" w:color="auto" w:fill="FFFFFF" w:themeFill="background1"/>
            <w:noWrap/>
            <w:vAlign w:val="bottom"/>
          </w:tcPr>
          <w:p>
            <w:pPr>
              <w:widowControl/>
              <w:spacing w:line="600" w:lineRule="exact"/>
              <w:jc w:val="center"/>
              <w:textAlignment w:val="bottom"/>
              <w:rPr>
                <w:rFonts w:ascii="仿宋_GB2312" w:hAnsi="黑体" w:eastAsia="仿宋_GB2312" w:cs="Times New Roman"/>
                <w:color w:val="000000"/>
                <w:kern w:val="0"/>
                <w:sz w:val="28"/>
                <w:szCs w:val="28"/>
              </w:rPr>
            </w:pPr>
            <w:r>
              <w:rPr>
                <w:rFonts w:hint="eastAsia" w:ascii="仿宋_GB2312" w:hAnsi="黑体" w:eastAsia="仿宋_GB2312" w:cs="Times New Roman"/>
                <w:color w:val="000000"/>
                <w:kern w:val="0"/>
                <w:sz w:val="28"/>
                <w:szCs w:val="28"/>
              </w:rPr>
              <w:t>16.00</w:t>
            </w:r>
          </w:p>
        </w:tc>
        <w:tc>
          <w:tcPr>
            <w:tcW w:w="1442" w:type="pct"/>
            <w:shd w:val="clear" w:color="auto" w:fill="FFFFFF" w:themeFill="background1"/>
            <w:noWrap/>
            <w:vAlign w:val="bottom"/>
          </w:tcPr>
          <w:p>
            <w:pPr>
              <w:widowControl/>
              <w:spacing w:line="600" w:lineRule="exact"/>
              <w:jc w:val="center"/>
              <w:textAlignment w:val="bottom"/>
              <w:rPr>
                <w:rFonts w:ascii="仿宋_GB2312" w:hAnsi="黑体" w:eastAsia="仿宋_GB2312" w:cs="Times New Roman"/>
                <w:color w:val="000000"/>
                <w:sz w:val="28"/>
                <w:szCs w:val="28"/>
              </w:rPr>
            </w:pPr>
            <w:r>
              <w:rPr>
                <w:rFonts w:hint="eastAsia" w:ascii="仿宋_GB2312" w:hAnsi="黑体" w:eastAsia="仿宋_GB2312" w:cs="Times New Roman"/>
                <w:color w:val="000000"/>
                <w:sz w:val="28"/>
                <w:szCs w:val="28"/>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083" w:type="pct"/>
            <w:shd w:val="clear" w:color="auto" w:fill="FFFFFF" w:themeFill="background1"/>
            <w:noWrap/>
            <w:vAlign w:val="bottom"/>
          </w:tcPr>
          <w:p>
            <w:pPr>
              <w:widowControl/>
              <w:spacing w:line="600" w:lineRule="exact"/>
              <w:jc w:val="center"/>
              <w:textAlignment w:val="bottom"/>
              <w:rPr>
                <w:rFonts w:ascii="Times New Roman" w:hAnsi="Times New Roman" w:eastAsia="仿宋_GB2312" w:cs="Times New Roman"/>
                <w:color w:val="000000"/>
                <w:sz w:val="28"/>
                <w:szCs w:val="28"/>
              </w:rPr>
            </w:pPr>
            <w:r>
              <w:rPr>
                <w:rFonts w:ascii="Times New Roman" w:hAnsi="Times New Roman" w:eastAsia="仿宋_GB2312" w:cs="Times New Roman"/>
                <w:color w:val="000000"/>
                <w:kern w:val="0"/>
                <w:sz w:val="28"/>
                <w:szCs w:val="28"/>
              </w:rPr>
              <w:t>合计</w:t>
            </w:r>
          </w:p>
        </w:tc>
        <w:tc>
          <w:tcPr>
            <w:tcW w:w="1024" w:type="pct"/>
            <w:shd w:val="clear" w:color="auto" w:fill="FFFFFF" w:themeFill="background1"/>
            <w:noWrap/>
            <w:vAlign w:val="bottom"/>
          </w:tcPr>
          <w:p>
            <w:pPr>
              <w:widowControl/>
              <w:spacing w:line="600" w:lineRule="exact"/>
              <w:jc w:val="center"/>
              <w:textAlignment w:val="bottom"/>
              <w:rPr>
                <w:rFonts w:ascii="仿宋_GB2312" w:hAnsi="黑体" w:eastAsia="仿宋_GB2312" w:cs="Times New Roman"/>
                <w:color w:val="000000"/>
                <w:sz w:val="28"/>
                <w:szCs w:val="28"/>
              </w:rPr>
            </w:pPr>
            <w:r>
              <w:rPr>
                <w:rFonts w:hint="eastAsia" w:ascii="仿宋_GB2312" w:hAnsi="黑体" w:eastAsia="仿宋_GB2312" w:cs="Times New Roman"/>
                <w:color w:val="000000"/>
                <w:kern w:val="0"/>
                <w:sz w:val="28"/>
                <w:szCs w:val="28"/>
              </w:rPr>
              <w:t>100.00</w:t>
            </w:r>
          </w:p>
        </w:tc>
        <w:tc>
          <w:tcPr>
            <w:tcW w:w="1451" w:type="pct"/>
            <w:shd w:val="clear" w:color="auto" w:fill="FFFFFF" w:themeFill="background1"/>
            <w:noWrap/>
            <w:vAlign w:val="bottom"/>
          </w:tcPr>
          <w:p>
            <w:pPr>
              <w:widowControl/>
              <w:spacing w:line="600" w:lineRule="exact"/>
              <w:jc w:val="center"/>
              <w:textAlignment w:val="bottom"/>
              <w:rPr>
                <w:rFonts w:ascii="仿宋_GB2312" w:hAnsi="黑体" w:eastAsia="仿宋_GB2312" w:cs="Times New Roman"/>
                <w:color w:val="000000"/>
                <w:sz w:val="28"/>
                <w:szCs w:val="28"/>
              </w:rPr>
            </w:pPr>
            <w:r>
              <w:rPr>
                <w:rFonts w:hint="eastAsia" w:ascii="仿宋_GB2312" w:hAnsi="黑体" w:eastAsia="仿宋_GB2312" w:cs="Times New Roman"/>
                <w:color w:val="000000"/>
                <w:sz w:val="28"/>
                <w:szCs w:val="28"/>
              </w:rPr>
              <w:t>83.00</w:t>
            </w:r>
          </w:p>
        </w:tc>
        <w:tc>
          <w:tcPr>
            <w:tcW w:w="1442" w:type="pct"/>
            <w:shd w:val="clear" w:color="auto" w:fill="FFFFFF" w:themeFill="background1"/>
            <w:noWrap/>
            <w:vAlign w:val="bottom"/>
          </w:tcPr>
          <w:p>
            <w:pPr>
              <w:widowControl/>
              <w:spacing w:line="600" w:lineRule="exact"/>
              <w:jc w:val="center"/>
              <w:textAlignment w:val="bottom"/>
              <w:rPr>
                <w:rFonts w:ascii="仿宋_GB2312" w:hAnsi="黑体" w:eastAsia="仿宋_GB2312" w:cs="Times New Roman"/>
                <w:color w:val="000000"/>
                <w:sz w:val="28"/>
                <w:szCs w:val="28"/>
              </w:rPr>
            </w:pPr>
            <w:r>
              <w:rPr>
                <w:rFonts w:hint="eastAsia" w:ascii="仿宋_GB2312" w:hAnsi="黑体" w:eastAsia="仿宋_GB2312" w:cs="Times New Roman"/>
                <w:color w:val="000000"/>
                <w:sz w:val="28"/>
                <w:szCs w:val="28"/>
              </w:rPr>
              <w:t>83.00%</w:t>
            </w:r>
          </w:p>
        </w:tc>
      </w:tr>
    </w:tbl>
    <w:p>
      <w:pPr>
        <w:pStyle w:val="36"/>
        <w:spacing w:line="600" w:lineRule="exact"/>
        <w:ind w:left="640" w:firstLine="0" w:firstLineChars="0"/>
        <w:outlineLvl w:val="0"/>
        <w:rPr>
          <w:rFonts w:ascii="Times New Roman" w:hAnsi="Times New Roman" w:eastAsia="黑体" w:cs="Times New Roman"/>
          <w:bCs/>
          <w:sz w:val="32"/>
          <w:szCs w:val="32"/>
        </w:rPr>
      </w:pPr>
      <w:bookmarkStart w:id="35" w:name="_Toc115301557"/>
      <w:bookmarkStart w:id="36" w:name="_Toc154238761"/>
      <w:r>
        <w:rPr>
          <w:rFonts w:hint="eastAsia" w:ascii="Times New Roman" w:hAnsi="Times New Roman" w:eastAsia="黑体" w:cs="Times New Roman"/>
          <w:bCs/>
          <w:sz w:val="32"/>
          <w:szCs w:val="32"/>
        </w:rPr>
        <w:t>四</w:t>
      </w:r>
      <w:r>
        <w:rPr>
          <w:rFonts w:ascii="Times New Roman" w:hAnsi="Times New Roman" w:eastAsia="黑体" w:cs="Times New Roman"/>
          <w:bCs/>
          <w:sz w:val="32"/>
          <w:szCs w:val="32"/>
        </w:rPr>
        <w:t>、项目主要</w:t>
      </w:r>
      <w:bookmarkEnd w:id="35"/>
      <w:r>
        <w:rPr>
          <w:rFonts w:ascii="Times New Roman" w:hAnsi="Times New Roman" w:eastAsia="黑体" w:cs="Times New Roman"/>
          <w:bCs/>
          <w:sz w:val="32"/>
          <w:szCs w:val="32"/>
        </w:rPr>
        <w:t>绩效</w:t>
      </w:r>
      <w:bookmarkEnd w:id="36"/>
      <w:r>
        <w:rPr>
          <w:rFonts w:hint="eastAsia" w:ascii="Times New Roman" w:hAnsi="Times New Roman" w:eastAsia="黑体" w:cs="Times New Roman"/>
          <w:bCs/>
          <w:sz w:val="32"/>
          <w:szCs w:val="32"/>
        </w:rPr>
        <w:t>、存在问题及原因分析</w:t>
      </w:r>
    </w:p>
    <w:p>
      <w:pPr>
        <w:pStyle w:val="36"/>
        <w:spacing w:line="600" w:lineRule="exact"/>
        <w:ind w:left="640" w:firstLine="0" w:firstLineChars="0"/>
        <w:outlineLvl w:val="0"/>
        <w:rPr>
          <w:rFonts w:ascii="Times New Roman" w:hAnsi="Times New Roman" w:eastAsia="楷体_GB2312" w:cs="Times New Roman"/>
          <w:bCs/>
          <w:sz w:val="32"/>
          <w:szCs w:val="32"/>
        </w:rPr>
      </w:pPr>
      <w:r>
        <w:rPr>
          <w:rFonts w:hint="eastAsia" w:ascii="Times New Roman" w:hAnsi="Times New Roman" w:eastAsia="楷体_GB2312" w:cs="Times New Roman"/>
          <w:bCs/>
          <w:sz w:val="32"/>
          <w:szCs w:val="32"/>
        </w:rPr>
        <w:t>（一）项目主要绩效</w:t>
      </w:r>
    </w:p>
    <w:p>
      <w:pPr>
        <w:snapToGrid w:val="0"/>
        <w:spacing w:line="600" w:lineRule="exact"/>
        <w:ind w:firstLine="643" w:firstLineChars="200"/>
        <w:rPr>
          <w:rFonts w:ascii="仿宋" w:hAnsi="仿宋" w:eastAsia="仿宋" w:cs="Times New Roman"/>
          <w:b/>
          <w:bCs w:val="0"/>
          <w:sz w:val="32"/>
          <w:szCs w:val="32"/>
        </w:rPr>
      </w:pPr>
      <w:r>
        <w:rPr>
          <w:rFonts w:hint="eastAsia" w:ascii="仿宋" w:hAnsi="仿宋" w:eastAsia="仿宋" w:cs="Times New Roman"/>
          <w:b/>
          <w:bCs w:val="0"/>
          <w:sz w:val="32"/>
          <w:szCs w:val="32"/>
        </w:rPr>
        <w:t>1.基金投向精准，符合省、市产业政策，助力菏泽精密铸造产业加快发展</w:t>
      </w:r>
    </w:p>
    <w:p>
      <w:pPr>
        <w:snapToGrid w:val="0"/>
        <w:spacing w:line="600" w:lineRule="exact"/>
        <w:ind w:firstLine="640" w:firstLineChars="200"/>
        <w:rPr>
          <w:rFonts w:ascii="仿宋_GB2312" w:hAnsi="Times New Roman" w:eastAsia="仿宋_GB2312" w:cs="Times New Roman"/>
          <w:bCs/>
          <w:kern w:val="0"/>
          <w:sz w:val="32"/>
          <w:szCs w:val="32"/>
        </w:rPr>
      </w:pPr>
      <w:r>
        <w:rPr>
          <w:rFonts w:hint="eastAsia" w:ascii="仿宋_GB2312" w:hAnsi="Times New Roman" w:eastAsia="仿宋_GB2312" w:cs="Times New Roman"/>
          <w:bCs/>
          <w:kern w:val="0"/>
          <w:sz w:val="32"/>
          <w:szCs w:val="32"/>
        </w:rPr>
        <w:t>本基金是菏泽市较早落地并投放的政府引导产业基金之一，投向高端装备制造智能化生产技术改造项目，与山东省“十强产业”和菏泽市“231产业体系”发展战略高度契合。根据山东省工业和信息化厅公示信息，湖西王集团成功入围2023年度省级智能工厂，基金较好地发挥了省、市、县新旧动能基金政策效应和引导带动作用。</w:t>
      </w:r>
    </w:p>
    <w:p>
      <w:pPr>
        <w:snapToGrid w:val="0"/>
        <w:spacing w:line="600" w:lineRule="exact"/>
        <w:ind w:firstLine="643" w:firstLineChars="200"/>
        <w:rPr>
          <w:rFonts w:ascii="仿宋" w:hAnsi="仿宋" w:eastAsia="仿宋" w:cs="Times New Roman"/>
          <w:b/>
          <w:bCs w:val="0"/>
          <w:sz w:val="32"/>
          <w:szCs w:val="32"/>
        </w:rPr>
      </w:pPr>
      <w:r>
        <w:rPr>
          <w:rFonts w:hint="eastAsia" w:ascii="仿宋" w:hAnsi="仿宋" w:eastAsia="仿宋" w:cs="Times New Roman"/>
          <w:b/>
          <w:bCs w:val="0"/>
          <w:sz w:val="32"/>
          <w:szCs w:val="32"/>
        </w:rPr>
        <w:t>2.引导带动其他社会资本投资效益较为明显</w:t>
      </w:r>
    </w:p>
    <w:p>
      <w:pPr>
        <w:snapToGrid w:val="0"/>
        <w:spacing w:line="600" w:lineRule="exact"/>
        <w:ind w:firstLine="640" w:firstLineChars="200"/>
        <w:rPr>
          <w:rFonts w:ascii="仿宋_GB2312" w:hAnsi="Times New Roman" w:eastAsia="仿宋_GB2312" w:cs="Times New Roman"/>
          <w:bCs/>
          <w:kern w:val="0"/>
          <w:sz w:val="32"/>
          <w:szCs w:val="32"/>
        </w:rPr>
      </w:pPr>
      <w:r>
        <w:rPr>
          <w:rFonts w:hint="eastAsia" w:ascii="仿宋_GB2312" w:hAnsi="Times New Roman" w:eastAsia="仿宋_GB2312" w:cs="Times New Roman"/>
          <w:bCs/>
          <w:kern w:val="0"/>
          <w:sz w:val="32"/>
          <w:szCs w:val="32"/>
        </w:rPr>
        <w:t>本基金项目投资以来，累计带动湖西王铸业公司社会资本融资14,079.17万元，对企业智能工厂建设和高端装备精密铸造产业发展发挥了较大的促进作用。</w:t>
      </w:r>
    </w:p>
    <w:p>
      <w:pPr>
        <w:snapToGrid w:val="0"/>
        <w:spacing w:line="600" w:lineRule="exact"/>
        <w:ind w:firstLine="643" w:firstLineChars="200"/>
        <w:rPr>
          <w:rFonts w:ascii="仿宋" w:hAnsi="仿宋" w:eastAsia="仿宋" w:cs="Times New Roman"/>
          <w:b/>
          <w:bCs w:val="0"/>
          <w:sz w:val="32"/>
          <w:szCs w:val="32"/>
        </w:rPr>
      </w:pPr>
      <w:r>
        <w:rPr>
          <w:rFonts w:hint="eastAsia" w:ascii="仿宋" w:hAnsi="仿宋" w:eastAsia="仿宋" w:cs="Times New Roman"/>
          <w:b/>
          <w:bCs w:val="0"/>
          <w:sz w:val="32"/>
          <w:szCs w:val="32"/>
        </w:rPr>
        <w:t>3.项目实施将进一步推动企业生产智能化管理和产品结构优化升级</w:t>
      </w:r>
    </w:p>
    <w:p>
      <w:pPr>
        <w:snapToGrid w:val="0"/>
        <w:spacing w:line="600" w:lineRule="exact"/>
        <w:ind w:firstLine="640" w:firstLineChars="200"/>
        <w:rPr>
          <w:rFonts w:ascii="仿宋_GB2312" w:hAnsi="Times New Roman" w:eastAsia="仿宋_GB2312" w:cs="Times New Roman"/>
          <w:bCs/>
          <w:kern w:val="0"/>
          <w:sz w:val="32"/>
          <w:szCs w:val="32"/>
        </w:rPr>
      </w:pPr>
      <w:r>
        <w:rPr>
          <w:rFonts w:hint="eastAsia" w:ascii="仿宋_GB2312" w:hAnsi="Times New Roman" w:eastAsia="仿宋_GB2312" w:cs="Times New Roman"/>
          <w:bCs/>
          <w:kern w:val="0"/>
          <w:sz w:val="32"/>
          <w:szCs w:val="32"/>
        </w:rPr>
        <w:t>本基金项目以智能化、绿色环保为主导，智能防错、少人化，进行能耗监控、物料自动配送、状态跟踪、智能调度、设备运行状态监控、质量追溯和管理等推动实现整个生产过程的智能化。采用行业先进的生产工艺，帮助企业建成国内一流、国际领先的智能绿色工厂。技改后生产检测装备达到国际领先水平，大大提高生产效率，有效减少生产能耗。</w:t>
      </w:r>
    </w:p>
    <w:p>
      <w:pPr>
        <w:snapToGrid w:val="0"/>
        <w:spacing w:line="600" w:lineRule="exact"/>
        <w:ind w:firstLine="643" w:firstLineChars="200"/>
        <w:rPr>
          <w:rFonts w:ascii="仿宋" w:hAnsi="仿宋" w:eastAsia="仿宋" w:cs="Times New Roman"/>
          <w:b/>
          <w:bCs w:val="0"/>
          <w:sz w:val="32"/>
          <w:szCs w:val="32"/>
        </w:rPr>
      </w:pPr>
      <w:r>
        <w:rPr>
          <w:rFonts w:hint="eastAsia" w:ascii="仿宋" w:hAnsi="仿宋" w:eastAsia="仿宋" w:cs="Times New Roman"/>
          <w:b/>
          <w:bCs w:val="0"/>
          <w:sz w:val="32"/>
          <w:szCs w:val="32"/>
        </w:rPr>
        <w:t>4.项目建成后有力地推动当地吸引机械加工企业聚集</w:t>
      </w:r>
    </w:p>
    <w:p>
      <w:pPr>
        <w:snapToGrid w:val="0"/>
        <w:spacing w:line="600" w:lineRule="exact"/>
        <w:ind w:firstLine="640" w:firstLineChars="200"/>
        <w:rPr>
          <w:rFonts w:ascii="仿宋_GB2312" w:hAnsi="Times New Roman" w:eastAsia="仿宋_GB2312" w:cs="Times New Roman"/>
          <w:bCs/>
          <w:kern w:val="0"/>
          <w:sz w:val="32"/>
          <w:szCs w:val="32"/>
        </w:rPr>
      </w:pPr>
      <w:r>
        <w:rPr>
          <w:rFonts w:hint="eastAsia" w:ascii="仿宋_GB2312" w:hAnsi="Times New Roman" w:eastAsia="仿宋_GB2312" w:cs="Times New Roman"/>
          <w:bCs/>
          <w:kern w:val="0"/>
          <w:sz w:val="32"/>
          <w:szCs w:val="32"/>
        </w:rPr>
        <w:t>项目单位目前由于机加工能力受限，在临沂、泰安、济南有四家外协厂为其加工铸件</w:t>
      </w:r>
      <w:bookmarkStart w:id="41" w:name="_GoBack"/>
      <w:bookmarkEnd w:id="41"/>
      <w:r>
        <w:rPr>
          <w:rFonts w:hint="eastAsia" w:ascii="仿宋_GB2312" w:hAnsi="Times New Roman" w:eastAsia="仿宋_GB2312" w:cs="Times New Roman"/>
          <w:bCs/>
          <w:kern w:val="0"/>
          <w:sz w:val="32"/>
          <w:szCs w:val="32"/>
        </w:rPr>
        <w:t>。项目建成后，产能的提升，吸引相关机械加工企业先后来当地建厂，带动了当地产业集聚、人才引进和就业岗位增加。</w:t>
      </w:r>
    </w:p>
    <w:p>
      <w:pPr>
        <w:pStyle w:val="36"/>
        <w:spacing w:line="600" w:lineRule="exact"/>
        <w:ind w:left="640" w:firstLine="0" w:firstLineChars="0"/>
        <w:outlineLvl w:val="0"/>
        <w:rPr>
          <w:rFonts w:ascii="Times New Roman" w:hAnsi="Times New Roman" w:eastAsia="楷体_GB2312" w:cs="Times New Roman"/>
          <w:bCs/>
          <w:kern w:val="0"/>
          <w:sz w:val="32"/>
          <w:szCs w:val="32"/>
        </w:rPr>
      </w:pPr>
      <w:bookmarkStart w:id="37" w:name="_Toc154238762"/>
      <w:bookmarkStart w:id="38" w:name="_Toc115301560"/>
      <w:r>
        <w:rPr>
          <w:rFonts w:hint="eastAsia" w:ascii="Times New Roman" w:hAnsi="Times New Roman" w:eastAsia="楷体_GB2312" w:cs="Times New Roman"/>
          <w:bCs/>
          <w:kern w:val="0"/>
          <w:sz w:val="32"/>
          <w:szCs w:val="32"/>
        </w:rPr>
        <w:t>（二）</w:t>
      </w:r>
      <w:r>
        <w:rPr>
          <w:rFonts w:ascii="Times New Roman" w:hAnsi="Times New Roman" w:eastAsia="楷体_GB2312" w:cs="Times New Roman"/>
          <w:bCs/>
          <w:kern w:val="0"/>
          <w:sz w:val="32"/>
          <w:szCs w:val="32"/>
        </w:rPr>
        <w:t>存在问题及原因分析</w:t>
      </w:r>
      <w:bookmarkEnd w:id="37"/>
      <w:bookmarkEnd w:id="38"/>
    </w:p>
    <w:p>
      <w:pPr>
        <w:pStyle w:val="16"/>
        <w:shd w:val="clear" w:color="auto" w:fill="FFFFFF"/>
        <w:spacing w:before="0" w:beforeAutospacing="0" w:after="0" w:afterAutospacing="0" w:line="600" w:lineRule="exact"/>
        <w:ind w:firstLine="643" w:firstLineChars="200"/>
        <w:jc w:val="both"/>
        <w:rPr>
          <w:rFonts w:ascii="仿宋" w:hAnsi="仿宋" w:eastAsia="仿宋" w:cs="Times New Roman"/>
          <w:b/>
          <w:bCs w:val="0"/>
          <w:color w:val="000000" w:themeColor="text1"/>
          <w:sz w:val="32"/>
          <w:szCs w:val="32"/>
          <w14:textFill>
            <w14:solidFill>
              <w14:schemeClr w14:val="tx1"/>
            </w14:solidFill>
          </w14:textFill>
        </w:rPr>
      </w:pPr>
      <w:r>
        <w:rPr>
          <w:rFonts w:hint="eastAsia" w:ascii="仿宋" w:hAnsi="仿宋" w:eastAsia="仿宋" w:cs="Times New Roman"/>
          <w:b/>
          <w:bCs w:val="0"/>
          <w:sz w:val="32"/>
          <w:szCs w:val="32"/>
        </w:rPr>
        <w:t>1.</w:t>
      </w:r>
      <w:r>
        <w:rPr>
          <w:rFonts w:ascii="仿宋" w:hAnsi="仿宋" w:eastAsia="仿宋" w:cs="Times New Roman"/>
          <w:b/>
          <w:bCs w:val="0"/>
          <w:sz w:val="32"/>
          <w:szCs w:val="32"/>
        </w:rPr>
        <w:t>投后管理工作有待于进一步加强</w:t>
      </w:r>
    </w:p>
    <w:p>
      <w:pPr>
        <w:snapToGrid w:val="0"/>
        <w:spacing w:line="60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缺少季度或半年度基金运行报告等日常管理资料</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基金管理人对资金后续使用情况关注不够，缺少对所投项目或公司资金实际使用情况的核实、项目进度监督情况、基础运作数据的深入分析等方面的内容，未能充分发挥基金的投后管理功能。</w:t>
      </w:r>
    </w:p>
    <w:p>
      <w:pPr>
        <w:pStyle w:val="16"/>
        <w:shd w:val="clear" w:color="auto" w:fill="FFFFFF"/>
        <w:spacing w:before="0" w:beforeAutospacing="0" w:after="0" w:afterAutospacing="0" w:line="600" w:lineRule="exact"/>
        <w:ind w:firstLine="643" w:firstLineChars="200"/>
        <w:jc w:val="both"/>
        <w:rPr>
          <w:rFonts w:ascii="仿宋" w:hAnsi="仿宋" w:eastAsia="仿宋" w:cs="Times New Roman"/>
          <w:b/>
          <w:bCs w:val="0"/>
          <w:sz w:val="32"/>
          <w:szCs w:val="32"/>
        </w:rPr>
      </w:pPr>
      <w:r>
        <w:rPr>
          <w:rFonts w:hint="eastAsia" w:ascii="仿宋" w:hAnsi="仿宋" w:eastAsia="仿宋" w:cs="Times New Roman"/>
          <w:b/>
          <w:bCs w:val="0"/>
          <w:sz w:val="32"/>
          <w:szCs w:val="32"/>
        </w:rPr>
        <w:t>2.项目建设进度滞后，未能按计划达产</w:t>
      </w:r>
    </w:p>
    <w:p>
      <w:pPr>
        <w:snapToGrid w:val="0"/>
        <w:spacing w:line="600" w:lineRule="exact"/>
        <w:ind w:firstLine="640" w:firstLineChars="200"/>
        <w:rPr>
          <w:rFonts w:ascii="Times New Roman" w:hAnsi="Times New Roman" w:eastAsia="仿宋_GB2312" w:cs="Times New Roman"/>
          <w:bCs/>
          <w:color w:val="000000"/>
          <w:kern w:val="0"/>
          <w:sz w:val="32"/>
          <w:szCs w:val="32"/>
        </w:rPr>
      </w:pPr>
      <w:bookmarkStart w:id="39" w:name="_Toc115301565"/>
      <w:r>
        <w:rPr>
          <w:rFonts w:hint="eastAsia" w:ascii="Times New Roman" w:hAnsi="Times New Roman" w:eastAsia="仿宋_GB2312" w:cs="Times New Roman"/>
          <w:bCs/>
          <w:color w:val="000000"/>
          <w:kern w:val="0"/>
          <w:sz w:val="32"/>
          <w:szCs w:val="32"/>
        </w:rPr>
        <w:t>受新冠疫情影响造成进口设备等延期交付等原因，实际2023年8月完成试生产，项目建设进度滞后。</w:t>
      </w:r>
    </w:p>
    <w:p>
      <w:pPr>
        <w:snapToGrid w:val="0"/>
        <w:spacing w:line="600" w:lineRule="exact"/>
        <w:ind w:firstLine="643" w:firstLineChars="200"/>
        <w:rPr>
          <w:rFonts w:ascii="仿宋" w:hAnsi="仿宋" w:eastAsia="仿宋" w:cs="Times New Roman"/>
          <w:b/>
          <w:bCs w:val="0"/>
          <w:color w:val="000000"/>
          <w:kern w:val="0"/>
          <w:sz w:val="32"/>
          <w:szCs w:val="32"/>
        </w:rPr>
      </w:pPr>
      <w:r>
        <w:rPr>
          <w:rFonts w:hint="eastAsia" w:ascii="仿宋" w:hAnsi="仿宋" w:eastAsia="仿宋" w:cs="Times New Roman"/>
          <w:b/>
          <w:bCs w:val="0"/>
          <w:color w:val="000000"/>
          <w:kern w:val="0"/>
          <w:sz w:val="32"/>
          <w:szCs w:val="32"/>
        </w:rPr>
        <w:t>3.项目绩效目标未能完成</w:t>
      </w:r>
    </w:p>
    <w:p>
      <w:pPr>
        <w:snapToGrid w:val="0"/>
        <w:spacing w:line="600" w:lineRule="exact"/>
        <w:ind w:firstLine="640" w:firstLineChars="200"/>
        <w:rPr>
          <w:rFonts w:ascii="仿宋" w:hAnsi="仿宋" w:eastAsia="仿宋" w:cs="Times New Roman"/>
          <w:bCs/>
          <w:color w:val="000000"/>
          <w:kern w:val="0"/>
          <w:sz w:val="32"/>
          <w:szCs w:val="32"/>
        </w:rPr>
      </w:pPr>
      <w:r>
        <w:rPr>
          <w:rFonts w:hint="eastAsia" w:ascii="仿宋" w:hAnsi="仿宋" w:eastAsia="仿宋" w:cs="Times New Roman"/>
          <w:bCs/>
          <w:color w:val="000000"/>
          <w:kern w:val="0"/>
          <w:sz w:val="32"/>
          <w:szCs w:val="32"/>
        </w:rPr>
        <w:t>项目仅完成试生产，</w:t>
      </w:r>
      <w:r>
        <w:rPr>
          <w:rFonts w:hint="eastAsia" w:ascii="仿宋" w:hAnsi="仿宋" w:eastAsia="仿宋" w:cs="Times New Roman"/>
          <w:bCs/>
          <w:color w:val="000000"/>
          <w:kern w:val="0"/>
          <w:sz w:val="32"/>
          <w:szCs w:val="32"/>
          <w:lang w:val="en-US" w:eastAsia="zh-CN"/>
        </w:rPr>
        <w:t>年初制定的</w:t>
      </w:r>
      <w:r>
        <w:rPr>
          <w:rFonts w:hint="eastAsia" w:ascii="仿宋" w:hAnsi="仿宋" w:eastAsia="仿宋" w:cs="Times New Roman"/>
          <w:bCs/>
          <w:color w:val="000000"/>
          <w:kern w:val="0"/>
          <w:sz w:val="32"/>
          <w:szCs w:val="32"/>
        </w:rPr>
        <w:t>年产铸件及加工件 10.5 万吨、销售收入11.9亿元</w:t>
      </w:r>
      <w:r>
        <w:rPr>
          <w:rFonts w:hint="eastAsia" w:ascii="仿宋" w:hAnsi="仿宋" w:eastAsia="仿宋" w:cs="Times New Roman"/>
          <w:bCs/>
          <w:color w:val="000000"/>
          <w:kern w:val="0"/>
          <w:sz w:val="32"/>
          <w:szCs w:val="32"/>
          <w:lang w:val="en-US" w:eastAsia="zh-CN"/>
        </w:rPr>
        <w:t>的</w:t>
      </w:r>
      <w:r>
        <w:rPr>
          <w:rFonts w:hint="eastAsia" w:ascii="仿宋" w:hAnsi="仿宋" w:eastAsia="仿宋" w:cs="Times New Roman"/>
          <w:bCs/>
          <w:color w:val="000000"/>
          <w:kern w:val="0"/>
          <w:sz w:val="32"/>
          <w:szCs w:val="32"/>
        </w:rPr>
        <w:t>目标</w:t>
      </w:r>
      <w:r>
        <w:rPr>
          <w:rFonts w:hint="eastAsia" w:ascii="仿宋" w:hAnsi="仿宋" w:eastAsia="仿宋" w:cs="Times New Roman"/>
          <w:bCs/>
          <w:color w:val="000000"/>
          <w:kern w:val="0"/>
          <w:sz w:val="32"/>
          <w:szCs w:val="32"/>
          <w:lang w:val="en-US" w:eastAsia="zh-CN"/>
        </w:rPr>
        <w:t>任务</w:t>
      </w:r>
      <w:r>
        <w:rPr>
          <w:rFonts w:hint="eastAsia" w:ascii="仿宋" w:hAnsi="仿宋" w:eastAsia="仿宋" w:cs="Times New Roman"/>
          <w:bCs/>
          <w:color w:val="000000"/>
          <w:kern w:val="0"/>
          <w:sz w:val="32"/>
          <w:szCs w:val="32"/>
        </w:rPr>
        <w:t>未能完成，项目投资经济效益未实现。</w:t>
      </w:r>
    </w:p>
    <w:p>
      <w:pPr>
        <w:snapToGrid w:val="0"/>
        <w:spacing w:line="600" w:lineRule="exact"/>
        <w:ind w:firstLine="643" w:firstLineChars="200"/>
        <w:rPr>
          <w:rFonts w:ascii="仿宋" w:hAnsi="仿宋" w:eastAsia="仿宋" w:cs="Times New Roman"/>
          <w:b/>
          <w:bCs w:val="0"/>
          <w:color w:val="000000"/>
          <w:kern w:val="0"/>
          <w:sz w:val="32"/>
          <w:szCs w:val="32"/>
        </w:rPr>
      </w:pPr>
      <w:r>
        <w:rPr>
          <w:rFonts w:hint="eastAsia" w:ascii="仿宋" w:hAnsi="仿宋" w:eastAsia="仿宋" w:cs="Times New Roman"/>
          <w:b/>
          <w:bCs w:val="0"/>
          <w:color w:val="000000"/>
          <w:kern w:val="0"/>
          <w:sz w:val="32"/>
          <w:szCs w:val="32"/>
        </w:rPr>
        <w:t>4.基金管理制度有待进一步完善</w:t>
      </w:r>
    </w:p>
    <w:p>
      <w:pPr>
        <w:snapToGrid w:val="0"/>
        <w:spacing w:line="600" w:lineRule="exact"/>
        <w:ind w:firstLine="640" w:firstLineChars="200"/>
        <w:rPr>
          <w:rFonts w:ascii="Times New Roman" w:hAnsi="Times New Roman" w:eastAsia="仿宋_GB2312" w:cs="Times New Roman"/>
          <w:bCs/>
          <w:color w:val="000000"/>
          <w:kern w:val="0"/>
          <w:sz w:val="32"/>
          <w:szCs w:val="32"/>
        </w:rPr>
      </w:pPr>
      <w:r>
        <w:rPr>
          <w:rFonts w:hint="eastAsia" w:ascii="仿宋" w:hAnsi="仿宋" w:eastAsia="仿宋" w:cs="Times New Roman"/>
          <w:bCs/>
          <w:color w:val="000000"/>
          <w:kern w:val="0"/>
          <w:sz w:val="32"/>
          <w:szCs w:val="32"/>
        </w:rPr>
        <w:t>缺少引导基金投资运作、绩效管理等衡量标准，政府投资基金相关的管理制度不够完善，未能有效对项目实施进度、目标完成、目标偏离、收益分配等全过程监控和评价。</w:t>
      </w:r>
    </w:p>
    <w:p>
      <w:pPr>
        <w:snapToGrid w:val="0"/>
        <w:spacing w:line="600" w:lineRule="exact"/>
        <w:ind w:firstLine="640" w:firstLineChars="200"/>
        <w:outlineLvl w:val="0"/>
        <w:rPr>
          <w:rFonts w:ascii="Times New Roman" w:hAnsi="Times New Roman" w:eastAsia="黑体" w:cs="Times New Roman"/>
          <w:bCs/>
          <w:sz w:val="32"/>
          <w:szCs w:val="32"/>
        </w:rPr>
      </w:pPr>
      <w:bookmarkStart w:id="40" w:name="_Toc154238763"/>
      <w:r>
        <w:rPr>
          <w:rFonts w:ascii="Times New Roman" w:hAnsi="Times New Roman" w:eastAsia="黑体" w:cs="Times New Roman"/>
          <w:bCs/>
          <w:sz w:val="32"/>
          <w:szCs w:val="32"/>
        </w:rPr>
        <w:t>五、</w:t>
      </w:r>
      <w:r>
        <w:rPr>
          <w:rFonts w:hint="eastAsia" w:ascii="Times New Roman" w:hAnsi="Times New Roman" w:eastAsia="黑体" w:cs="Times New Roman"/>
          <w:bCs/>
          <w:sz w:val="32"/>
          <w:szCs w:val="32"/>
        </w:rPr>
        <w:t>有关</w:t>
      </w:r>
      <w:r>
        <w:rPr>
          <w:rFonts w:ascii="Times New Roman" w:hAnsi="Times New Roman" w:eastAsia="黑体" w:cs="Times New Roman"/>
          <w:bCs/>
          <w:sz w:val="32"/>
          <w:szCs w:val="32"/>
        </w:rPr>
        <w:t>建议</w:t>
      </w:r>
      <w:bookmarkEnd w:id="39"/>
      <w:bookmarkEnd w:id="40"/>
    </w:p>
    <w:p>
      <w:pPr>
        <w:snapToGrid w:val="0"/>
        <w:spacing w:line="600" w:lineRule="exact"/>
        <w:ind w:firstLine="640" w:firstLineChars="200"/>
        <w:rPr>
          <w:rFonts w:ascii="Times New Roman" w:hAnsi="Times New Roman" w:eastAsia="楷体_GB2312" w:cs="Times New Roman"/>
          <w:bCs/>
          <w:kern w:val="0"/>
          <w:sz w:val="32"/>
          <w:szCs w:val="32"/>
        </w:rPr>
      </w:pPr>
      <w:r>
        <w:rPr>
          <w:rFonts w:hint="eastAsia" w:ascii="Times New Roman" w:hAnsi="Times New Roman" w:eastAsia="楷体_GB2312" w:cs="Times New Roman"/>
          <w:bCs/>
          <w:kern w:val="0"/>
          <w:sz w:val="32"/>
          <w:szCs w:val="32"/>
        </w:rPr>
        <w:t>（一）进一步加强基金投后管理工作</w:t>
      </w:r>
    </w:p>
    <w:p>
      <w:pPr>
        <w:pStyle w:val="16"/>
        <w:shd w:val="clear" w:color="auto" w:fill="FFFFFF"/>
        <w:spacing w:before="0" w:beforeAutospacing="0" w:after="0" w:afterAutospacing="0" w:line="600" w:lineRule="exact"/>
        <w:ind w:firstLine="640" w:firstLineChars="200"/>
        <w:jc w:val="both"/>
        <w:rPr>
          <w:rFonts w:ascii="Times New Roman" w:hAnsi="Times New Roman" w:eastAsia="仿宋_GB2312" w:cs="Times New Roman"/>
          <w:color w:val="000000" w:themeColor="text1"/>
          <w:kern w:val="2"/>
          <w:sz w:val="32"/>
          <w:szCs w:val="32"/>
          <w14:textFill>
            <w14:solidFill>
              <w14:schemeClr w14:val="tx1"/>
            </w14:solidFill>
          </w14:textFill>
        </w:rPr>
      </w:pPr>
      <w:r>
        <w:rPr>
          <w:rFonts w:hint="eastAsia" w:ascii="Times New Roman" w:hAnsi="Times New Roman" w:eastAsia="仿宋_GB2312" w:cs="Times New Roman"/>
          <w:color w:val="000000" w:themeColor="text1"/>
          <w:kern w:val="2"/>
          <w:sz w:val="32"/>
          <w:szCs w:val="32"/>
          <w14:textFill>
            <w14:solidFill>
              <w14:schemeClr w14:val="tx1"/>
            </w14:solidFill>
          </w14:textFill>
        </w:rPr>
        <w:t>建议基金管理人针对该基金及所在行业、产业及基础运作数据进行有效的深入分析，加强资金使用、项目进度、试生产等全过程的监控和资金穿透管理，进一步优化基金投资管理系统，及时发现基金运作过程中存在的问题，实现基金运作的良性循环，助力湖西王集团和高端装备精密铸造产业的发展，确保基金顺利退出。</w:t>
      </w:r>
    </w:p>
    <w:p>
      <w:pPr>
        <w:pStyle w:val="16"/>
        <w:shd w:val="clear" w:color="auto" w:fill="FFFFFF"/>
        <w:spacing w:before="0" w:beforeAutospacing="0" w:after="0" w:afterAutospacing="0" w:line="600" w:lineRule="exact"/>
        <w:ind w:firstLine="640" w:firstLineChars="200"/>
        <w:jc w:val="both"/>
        <w:rPr>
          <w:rFonts w:ascii="Times New Roman" w:hAnsi="Times New Roman" w:eastAsia="楷体_GB2312" w:cs="Times New Roman"/>
          <w:bCs/>
          <w:sz w:val="32"/>
          <w:szCs w:val="32"/>
        </w:rPr>
      </w:pPr>
      <w:r>
        <w:rPr>
          <w:rFonts w:hint="eastAsia" w:ascii="Times New Roman" w:hAnsi="Times New Roman" w:eastAsia="楷体_GB2312" w:cs="Times New Roman"/>
          <w:bCs/>
          <w:sz w:val="32"/>
          <w:szCs w:val="32"/>
        </w:rPr>
        <w:t>（二）尽快解决项目进度“卡脖子”问题，推动项目全面达产</w:t>
      </w:r>
    </w:p>
    <w:p>
      <w:pPr>
        <w:pStyle w:val="16"/>
        <w:shd w:val="clear" w:color="auto" w:fill="FFFFFF"/>
        <w:spacing w:before="0" w:beforeAutospacing="0" w:after="0" w:afterAutospacing="0" w:line="600" w:lineRule="exact"/>
        <w:ind w:firstLine="640" w:firstLineChars="200"/>
        <w:jc w:val="both"/>
        <w:rPr>
          <w:rFonts w:ascii="Times New Roman" w:hAnsi="Times New Roman" w:eastAsia="仿宋_GB2312" w:cs="Times New Roman"/>
          <w:color w:val="000000" w:themeColor="text1"/>
          <w:kern w:val="2"/>
          <w:sz w:val="32"/>
          <w:szCs w:val="32"/>
          <w14:textFill>
            <w14:solidFill>
              <w14:schemeClr w14:val="tx1"/>
            </w14:solidFill>
          </w14:textFill>
        </w:rPr>
      </w:pPr>
      <w:r>
        <w:rPr>
          <w:rFonts w:hint="eastAsia" w:ascii="Times New Roman" w:hAnsi="Times New Roman" w:eastAsia="仿宋_GB2312" w:cs="Times New Roman"/>
          <w:color w:val="000000" w:themeColor="text1"/>
          <w:kern w:val="2"/>
          <w:sz w:val="32"/>
          <w:szCs w:val="32"/>
          <w14:textFill>
            <w14:solidFill>
              <w14:schemeClr w14:val="tx1"/>
            </w14:solidFill>
          </w14:textFill>
        </w:rPr>
        <w:t>建议湖西王集团和基金管理人成立专班，解决资金投入、进口设备交付、技术路线调整等“卡脖子”问题，力争2023年年末实现完全达产。建立有效的监控机制，定期评估项目进度，确保所有任务按照计划进行，以合理保证项目预期效益的实现。</w:t>
      </w:r>
    </w:p>
    <w:p>
      <w:pPr>
        <w:pStyle w:val="16"/>
        <w:shd w:val="clear" w:color="auto" w:fill="FFFFFF"/>
        <w:spacing w:before="0" w:beforeAutospacing="0" w:after="0" w:afterAutospacing="0" w:line="600" w:lineRule="exact"/>
        <w:ind w:left="319" w:leftChars="152" w:firstLine="320" w:firstLineChars="100"/>
        <w:jc w:val="both"/>
        <w:rPr>
          <w:rFonts w:ascii="Times New Roman" w:hAnsi="Times New Roman" w:eastAsia="楷体_GB2312" w:cs="Times New Roman"/>
          <w:bCs/>
          <w:sz w:val="32"/>
          <w:szCs w:val="32"/>
        </w:rPr>
      </w:pPr>
      <w:r>
        <w:rPr>
          <w:rFonts w:hint="eastAsia" w:ascii="Times New Roman" w:hAnsi="Times New Roman" w:eastAsia="楷体_GB2312" w:cs="Times New Roman"/>
          <w:bCs/>
          <w:sz w:val="32"/>
          <w:szCs w:val="32"/>
        </w:rPr>
        <w:t>（三）进一步明确基金退出“路线图”，确保基金顺利退出</w:t>
      </w:r>
    </w:p>
    <w:p>
      <w:pPr>
        <w:pStyle w:val="16"/>
        <w:shd w:val="clear" w:color="auto" w:fill="FFFFFF"/>
        <w:spacing w:before="0" w:beforeAutospacing="0" w:after="0" w:afterAutospacing="0" w:line="600" w:lineRule="exact"/>
        <w:ind w:left="19" w:leftChars="9" w:firstLine="937" w:firstLineChars="293"/>
        <w:jc w:val="both"/>
        <w:rPr>
          <w:rFonts w:ascii="Times New Roman" w:hAnsi="Times New Roman" w:eastAsia="仿宋_GB2312" w:cs="Times New Roman"/>
          <w:color w:val="000000" w:themeColor="text1"/>
          <w:kern w:val="2"/>
          <w:sz w:val="32"/>
          <w:szCs w:val="32"/>
          <w14:textFill>
            <w14:solidFill>
              <w14:schemeClr w14:val="tx1"/>
            </w14:solidFill>
          </w14:textFill>
        </w:rPr>
      </w:pPr>
      <w:r>
        <w:rPr>
          <w:rFonts w:hint="eastAsia" w:ascii="Times New Roman" w:hAnsi="Times New Roman" w:eastAsia="仿宋_GB2312" w:cs="Times New Roman"/>
          <w:color w:val="000000" w:themeColor="text1"/>
          <w:kern w:val="2"/>
          <w:sz w:val="32"/>
          <w:szCs w:val="32"/>
          <w14:textFill>
            <w14:solidFill>
              <w14:schemeClr w14:val="tx1"/>
            </w14:solidFill>
          </w14:textFill>
        </w:rPr>
        <w:t>本基金投资期为5年、回收期2年，投资期满后可以选择收回债权或债转股，建议与被投资方商议具体退出的方式、时间节点，实现基金顺利退出。</w:t>
      </w:r>
    </w:p>
    <w:p>
      <w:pPr>
        <w:pStyle w:val="16"/>
        <w:shd w:val="clear" w:color="auto" w:fill="FFFFFF"/>
        <w:spacing w:before="0" w:beforeAutospacing="0" w:after="0" w:afterAutospacing="0" w:line="600" w:lineRule="exact"/>
        <w:ind w:firstLine="640" w:firstLineChars="200"/>
        <w:jc w:val="both"/>
        <w:rPr>
          <w:rFonts w:ascii="Times New Roman" w:hAnsi="Times New Roman" w:eastAsia="楷体_GB2312" w:cs="Times New Roman"/>
          <w:bCs/>
          <w:sz w:val="32"/>
          <w:szCs w:val="32"/>
        </w:rPr>
      </w:pPr>
      <w:r>
        <w:rPr>
          <w:rFonts w:hint="eastAsia" w:ascii="Times New Roman" w:hAnsi="Times New Roman" w:eastAsia="楷体_GB2312" w:cs="Times New Roman"/>
          <w:bCs/>
          <w:sz w:val="32"/>
          <w:szCs w:val="32"/>
        </w:rPr>
        <w:t>（四）进一步完善政府投资基金相关管理制度</w:t>
      </w:r>
    </w:p>
    <w:p>
      <w:pPr>
        <w:pStyle w:val="16"/>
        <w:shd w:val="clear" w:color="auto" w:fill="FFFFFF"/>
        <w:spacing w:before="0" w:beforeAutospacing="0" w:after="0" w:afterAutospacing="0" w:line="600" w:lineRule="exact"/>
        <w:ind w:left="0" w:leftChars="0" w:firstLine="640" w:firstLineChars="200"/>
        <w:jc w:val="both"/>
        <w:rPr>
          <w:rFonts w:ascii="Times New Roman" w:hAnsi="Times New Roman" w:cs="Times New Roman"/>
        </w:rPr>
      </w:pPr>
      <w:r>
        <w:rPr>
          <w:rFonts w:hint="eastAsia" w:ascii="Times New Roman" w:hAnsi="Times New Roman" w:eastAsia="仿宋_GB2312" w:cs="Times New Roman"/>
          <w:color w:val="000000" w:themeColor="text1"/>
          <w:kern w:val="2"/>
          <w:sz w:val="32"/>
          <w:szCs w:val="32"/>
          <w14:textFill>
            <w14:solidFill>
              <w14:schemeClr w14:val="tx1"/>
            </w14:solidFill>
          </w14:textFill>
        </w:rPr>
        <w:t>建议进一步细化引导基金投资运作、绩效管理等衡量指标，明确项目进度、目标完成、目标偏离、收益分配、基金退出等全过程监控和评价管理制度，建立全过程监督和长效管理机制，进一步优化业绩评价机制，全面提升政府引导基金管理水平。</w:t>
      </w:r>
    </w:p>
    <w:sectPr>
      <w:headerReference r:id="rId3" w:type="default"/>
      <w:footerReference r:id="rId4" w:type="default"/>
      <w:pgSz w:w="11906" w:h="16838"/>
      <w:pgMar w:top="1701" w:right="1474" w:bottom="1701" w:left="1587" w:header="851" w:footer="1474" w:gutter="0"/>
      <w:paperSrc/>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561021566"/>
                          </w:sdtPr>
                          <w:sdtContent>
                            <w:p>
                              <w:pPr>
                                <w:pStyle w:val="12"/>
                                <w:jc w:val="center"/>
                              </w:pPr>
                              <w:r>
                                <w:rPr>
                                  <w:rFonts w:ascii="仿宋" w:hAnsi="仿宋" w:eastAsia="仿宋" w:cs="Times New Roman"/>
                                  <w:sz w:val="24"/>
                                  <w:szCs w:val="24"/>
                                </w:rPr>
                                <w:fldChar w:fldCharType="begin"/>
                              </w:r>
                              <w:r>
                                <w:rPr>
                                  <w:rFonts w:ascii="仿宋" w:hAnsi="仿宋" w:eastAsia="仿宋" w:cs="Times New Roman"/>
                                  <w:sz w:val="24"/>
                                  <w:szCs w:val="24"/>
                                </w:rPr>
                                <w:instrText xml:space="preserve">PAGE   \* MERGEFORMAT</w:instrText>
                              </w:r>
                              <w:r>
                                <w:rPr>
                                  <w:rFonts w:ascii="仿宋" w:hAnsi="仿宋" w:eastAsia="仿宋" w:cs="Times New Roman"/>
                                  <w:sz w:val="24"/>
                                  <w:szCs w:val="24"/>
                                </w:rPr>
                                <w:fldChar w:fldCharType="separate"/>
                              </w:r>
                              <w:r>
                                <w:rPr>
                                  <w:rFonts w:ascii="仿宋" w:hAnsi="仿宋" w:eastAsia="仿宋" w:cs="Times New Roman"/>
                                  <w:sz w:val="24"/>
                                  <w:szCs w:val="24"/>
                                  <w:lang w:val="zh-CN"/>
                                </w:rPr>
                                <w:t>-</w:t>
                              </w:r>
                              <w:r>
                                <w:rPr>
                                  <w:rFonts w:ascii="仿宋" w:hAnsi="仿宋" w:eastAsia="仿宋" w:cs="Times New Roman"/>
                                  <w:sz w:val="24"/>
                                  <w:szCs w:val="24"/>
                                </w:rPr>
                                <w:t xml:space="preserve"> 2 -</w:t>
                              </w:r>
                              <w:r>
                                <w:rPr>
                                  <w:rFonts w:ascii="仿宋" w:hAnsi="仿宋" w:eastAsia="仿宋" w:cs="Times New Roman"/>
                                  <w:sz w:val="24"/>
                                  <w:szCs w:val="24"/>
                                </w:rP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561021566"/>
                    </w:sdtPr>
                    <w:sdtContent>
                      <w:p>
                        <w:pPr>
                          <w:pStyle w:val="12"/>
                          <w:jc w:val="center"/>
                        </w:pPr>
                        <w:r>
                          <w:rPr>
                            <w:rFonts w:ascii="仿宋" w:hAnsi="仿宋" w:eastAsia="仿宋" w:cs="Times New Roman"/>
                            <w:sz w:val="24"/>
                            <w:szCs w:val="24"/>
                          </w:rPr>
                          <w:fldChar w:fldCharType="begin"/>
                        </w:r>
                        <w:r>
                          <w:rPr>
                            <w:rFonts w:ascii="仿宋" w:hAnsi="仿宋" w:eastAsia="仿宋" w:cs="Times New Roman"/>
                            <w:sz w:val="24"/>
                            <w:szCs w:val="24"/>
                          </w:rPr>
                          <w:instrText xml:space="preserve">PAGE   \* MERGEFORMAT</w:instrText>
                        </w:r>
                        <w:r>
                          <w:rPr>
                            <w:rFonts w:ascii="仿宋" w:hAnsi="仿宋" w:eastAsia="仿宋" w:cs="Times New Roman"/>
                            <w:sz w:val="24"/>
                            <w:szCs w:val="24"/>
                          </w:rPr>
                          <w:fldChar w:fldCharType="separate"/>
                        </w:r>
                        <w:r>
                          <w:rPr>
                            <w:rFonts w:ascii="仿宋" w:hAnsi="仿宋" w:eastAsia="仿宋" w:cs="Times New Roman"/>
                            <w:sz w:val="24"/>
                            <w:szCs w:val="24"/>
                            <w:lang w:val="zh-CN"/>
                          </w:rPr>
                          <w:t>-</w:t>
                        </w:r>
                        <w:r>
                          <w:rPr>
                            <w:rFonts w:ascii="仿宋" w:hAnsi="仿宋" w:eastAsia="仿宋" w:cs="Times New Roman"/>
                            <w:sz w:val="24"/>
                            <w:szCs w:val="24"/>
                          </w:rPr>
                          <w:t xml:space="preserve"> 2 -</w:t>
                        </w:r>
                        <w:r>
                          <w:rPr>
                            <w:rFonts w:ascii="仿宋" w:hAnsi="仿宋" w:eastAsia="仿宋" w:cs="Times New Roman"/>
                            <w:sz w:val="24"/>
                            <w:szCs w:val="24"/>
                          </w:rPr>
                          <w:fldChar w:fldCharType="end"/>
                        </w:r>
                      </w:p>
                    </w:sdtContent>
                  </w:sdt>
                  <w:p/>
                </w:txbxContent>
              </v:textbox>
            </v:shape>
          </w:pict>
        </mc:Fallback>
      </mc:AlternateContent>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2NmNjc2ZDBkN2JjNmRlNzllNTUwMzQ2OWJhYjAifQ=="/>
  </w:docVars>
  <w:rsids>
    <w:rsidRoot w:val="00B52381"/>
    <w:rsid w:val="00000412"/>
    <w:rsid w:val="00003DEB"/>
    <w:rsid w:val="00006795"/>
    <w:rsid w:val="0001114E"/>
    <w:rsid w:val="000172D4"/>
    <w:rsid w:val="00023B70"/>
    <w:rsid w:val="00030771"/>
    <w:rsid w:val="00032D4C"/>
    <w:rsid w:val="0004239C"/>
    <w:rsid w:val="00044462"/>
    <w:rsid w:val="00053AC5"/>
    <w:rsid w:val="00055660"/>
    <w:rsid w:val="0005616B"/>
    <w:rsid w:val="00056A02"/>
    <w:rsid w:val="00057C88"/>
    <w:rsid w:val="00070905"/>
    <w:rsid w:val="000733E7"/>
    <w:rsid w:val="00077A20"/>
    <w:rsid w:val="000839F6"/>
    <w:rsid w:val="00083F4B"/>
    <w:rsid w:val="0008510F"/>
    <w:rsid w:val="0009608E"/>
    <w:rsid w:val="000A0151"/>
    <w:rsid w:val="000A2B1E"/>
    <w:rsid w:val="000A4653"/>
    <w:rsid w:val="000A69A3"/>
    <w:rsid w:val="000B42DD"/>
    <w:rsid w:val="000B5FA3"/>
    <w:rsid w:val="000B6B0B"/>
    <w:rsid w:val="000C0155"/>
    <w:rsid w:val="000C54D4"/>
    <w:rsid w:val="000D0C1A"/>
    <w:rsid w:val="000D1A46"/>
    <w:rsid w:val="000D28E4"/>
    <w:rsid w:val="000D30CB"/>
    <w:rsid w:val="000E0AEA"/>
    <w:rsid w:val="000E3AAB"/>
    <w:rsid w:val="000E6B29"/>
    <w:rsid w:val="000F27A6"/>
    <w:rsid w:val="000F2B20"/>
    <w:rsid w:val="000F5762"/>
    <w:rsid w:val="000F68AA"/>
    <w:rsid w:val="00101997"/>
    <w:rsid w:val="00104C6A"/>
    <w:rsid w:val="00107D6A"/>
    <w:rsid w:val="001111FD"/>
    <w:rsid w:val="001269D5"/>
    <w:rsid w:val="001333D5"/>
    <w:rsid w:val="00136AFE"/>
    <w:rsid w:val="00147025"/>
    <w:rsid w:val="001504DE"/>
    <w:rsid w:val="00150D88"/>
    <w:rsid w:val="00151FA4"/>
    <w:rsid w:val="00154010"/>
    <w:rsid w:val="00154251"/>
    <w:rsid w:val="00154381"/>
    <w:rsid w:val="00157C0B"/>
    <w:rsid w:val="001623DD"/>
    <w:rsid w:val="00162F5D"/>
    <w:rsid w:val="001710F5"/>
    <w:rsid w:val="00171DB4"/>
    <w:rsid w:val="00172611"/>
    <w:rsid w:val="00177696"/>
    <w:rsid w:val="00177A69"/>
    <w:rsid w:val="00182DED"/>
    <w:rsid w:val="00182E49"/>
    <w:rsid w:val="00187A32"/>
    <w:rsid w:val="00187E90"/>
    <w:rsid w:val="00192AF9"/>
    <w:rsid w:val="0019771E"/>
    <w:rsid w:val="001A3E00"/>
    <w:rsid w:val="001A4A94"/>
    <w:rsid w:val="001B0D91"/>
    <w:rsid w:val="001B38B0"/>
    <w:rsid w:val="001B415B"/>
    <w:rsid w:val="001B420B"/>
    <w:rsid w:val="001B4C36"/>
    <w:rsid w:val="001B6DA3"/>
    <w:rsid w:val="001C1EE1"/>
    <w:rsid w:val="001C7745"/>
    <w:rsid w:val="001D4880"/>
    <w:rsid w:val="001F1152"/>
    <w:rsid w:val="001F318A"/>
    <w:rsid w:val="001F36E7"/>
    <w:rsid w:val="001F3B43"/>
    <w:rsid w:val="001F4FF2"/>
    <w:rsid w:val="001F5927"/>
    <w:rsid w:val="00200DAB"/>
    <w:rsid w:val="0020144A"/>
    <w:rsid w:val="00201B9C"/>
    <w:rsid w:val="00201C63"/>
    <w:rsid w:val="002037B8"/>
    <w:rsid w:val="00204245"/>
    <w:rsid w:val="00205CB4"/>
    <w:rsid w:val="002129B0"/>
    <w:rsid w:val="00213C15"/>
    <w:rsid w:val="00222550"/>
    <w:rsid w:val="002277F3"/>
    <w:rsid w:val="002303DE"/>
    <w:rsid w:val="00230CF3"/>
    <w:rsid w:val="00236CDB"/>
    <w:rsid w:val="002401C6"/>
    <w:rsid w:val="00242699"/>
    <w:rsid w:val="00245C2F"/>
    <w:rsid w:val="00246DF7"/>
    <w:rsid w:val="00253FE0"/>
    <w:rsid w:val="00257522"/>
    <w:rsid w:val="00261B6B"/>
    <w:rsid w:val="00265E0C"/>
    <w:rsid w:val="00267329"/>
    <w:rsid w:val="0027179C"/>
    <w:rsid w:val="00271E58"/>
    <w:rsid w:val="002759C8"/>
    <w:rsid w:val="00287D86"/>
    <w:rsid w:val="002912D9"/>
    <w:rsid w:val="00293CC8"/>
    <w:rsid w:val="002946B5"/>
    <w:rsid w:val="002A0609"/>
    <w:rsid w:val="002A7259"/>
    <w:rsid w:val="002A7787"/>
    <w:rsid w:val="002B01DE"/>
    <w:rsid w:val="002B24D6"/>
    <w:rsid w:val="002B2CE9"/>
    <w:rsid w:val="002C1786"/>
    <w:rsid w:val="002C39BE"/>
    <w:rsid w:val="002C6921"/>
    <w:rsid w:val="002D09E4"/>
    <w:rsid w:val="002D4B06"/>
    <w:rsid w:val="002E221C"/>
    <w:rsid w:val="002E2555"/>
    <w:rsid w:val="002E25CF"/>
    <w:rsid w:val="002E2BFC"/>
    <w:rsid w:val="002E444E"/>
    <w:rsid w:val="00300C4F"/>
    <w:rsid w:val="00305CF6"/>
    <w:rsid w:val="003136EF"/>
    <w:rsid w:val="00314E3C"/>
    <w:rsid w:val="00314E7C"/>
    <w:rsid w:val="00316B84"/>
    <w:rsid w:val="00323345"/>
    <w:rsid w:val="003234E8"/>
    <w:rsid w:val="003235CE"/>
    <w:rsid w:val="003246FF"/>
    <w:rsid w:val="00326012"/>
    <w:rsid w:val="00331FFB"/>
    <w:rsid w:val="00337F38"/>
    <w:rsid w:val="003408C1"/>
    <w:rsid w:val="00343D41"/>
    <w:rsid w:val="003448DB"/>
    <w:rsid w:val="00344BDB"/>
    <w:rsid w:val="003513DA"/>
    <w:rsid w:val="00353D8E"/>
    <w:rsid w:val="0035475A"/>
    <w:rsid w:val="00361207"/>
    <w:rsid w:val="00361B04"/>
    <w:rsid w:val="00362A3D"/>
    <w:rsid w:val="003713D7"/>
    <w:rsid w:val="00375293"/>
    <w:rsid w:val="003776D8"/>
    <w:rsid w:val="0038684A"/>
    <w:rsid w:val="0039116F"/>
    <w:rsid w:val="0039326C"/>
    <w:rsid w:val="00394775"/>
    <w:rsid w:val="00394E77"/>
    <w:rsid w:val="00396D88"/>
    <w:rsid w:val="003A3681"/>
    <w:rsid w:val="003A4582"/>
    <w:rsid w:val="003A5B40"/>
    <w:rsid w:val="003B413B"/>
    <w:rsid w:val="003E2A27"/>
    <w:rsid w:val="003E5433"/>
    <w:rsid w:val="003F1EDF"/>
    <w:rsid w:val="003F30A7"/>
    <w:rsid w:val="003F3905"/>
    <w:rsid w:val="003F3B85"/>
    <w:rsid w:val="00404478"/>
    <w:rsid w:val="004105E0"/>
    <w:rsid w:val="004116D9"/>
    <w:rsid w:val="0041345B"/>
    <w:rsid w:val="00415CCE"/>
    <w:rsid w:val="00422791"/>
    <w:rsid w:val="0042372F"/>
    <w:rsid w:val="00423F2D"/>
    <w:rsid w:val="00427C55"/>
    <w:rsid w:val="00435135"/>
    <w:rsid w:val="004370A9"/>
    <w:rsid w:val="004404C0"/>
    <w:rsid w:val="00443AD4"/>
    <w:rsid w:val="00453211"/>
    <w:rsid w:val="00453376"/>
    <w:rsid w:val="004710AA"/>
    <w:rsid w:val="00471C11"/>
    <w:rsid w:val="00473B9C"/>
    <w:rsid w:val="00481D49"/>
    <w:rsid w:val="00484284"/>
    <w:rsid w:val="004915D9"/>
    <w:rsid w:val="004932FE"/>
    <w:rsid w:val="004979F5"/>
    <w:rsid w:val="004A326E"/>
    <w:rsid w:val="004A3B37"/>
    <w:rsid w:val="004A6355"/>
    <w:rsid w:val="004B13AA"/>
    <w:rsid w:val="004B30C2"/>
    <w:rsid w:val="004B44CC"/>
    <w:rsid w:val="004B5D9F"/>
    <w:rsid w:val="004C3EFD"/>
    <w:rsid w:val="004C56BE"/>
    <w:rsid w:val="004C5EA3"/>
    <w:rsid w:val="004D079F"/>
    <w:rsid w:val="004D5816"/>
    <w:rsid w:val="004D58FD"/>
    <w:rsid w:val="004D663C"/>
    <w:rsid w:val="004E068E"/>
    <w:rsid w:val="004E3EDC"/>
    <w:rsid w:val="004F298B"/>
    <w:rsid w:val="004F2E76"/>
    <w:rsid w:val="00500903"/>
    <w:rsid w:val="00500938"/>
    <w:rsid w:val="00502AD0"/>
    <w:rsid w:val="005059C1"/>
    <w:rsid w:val="005060C5"/>
    <w:rsid w:val="0051158E"/>
    <w:rsid w:val="0051570F"/>
    <w:rsid w:val="00522926"/>
    <w:rsid w:val="00522E56"/>
    <w:rsid w:val="00525798"/>
    <w:rsid w:val="00525D36"/>
    <w:rsid w:val="00525E83"/>
    <w:rsid w:val="005315EE"/>
    <w:rsid w:val="005371AE"/>
    <w:rsid w:val="005417AB"/>
    <w:rsid w:val="0054352E"/>
    <w:rsid w:val="005501D0"/>
    <w:rsid w:val="00552A4D"/>
    <w:rsid w:val="00553272"/>
    <w:rsid w:val="00555A1A"/>
    <w:rsid w:val="005571B4"/>
    <w:rsid w:val="005600BA"/>
    <w:rsid w:val="005654D2"/>
    <w:rsid w:val="00565976"/>
    <w:rsid w:val="00566D8F"/>
    <w:rsid w:val="0056769F"/>
    <w:rsid w:val="00570AA1"/>
    <w:rsid w:val="0057267B"/>
    <w:rsid w:val="00577559"/>
    <w:rsid w:val="00580E1D"/>
    <w:rsid w:val="00591181"/>
    <w:rsid w:val="005A2832"/>
    <w:rsid w:val="005A619A"/>
    <w:rsid w:val="005B4EB6"/>
    <w:rsid w:val="005B5B16"/>
    <w:rsid w:val="005C028F"/>
    <w:rsid w:val="005C4592"/>
    <w:rsid w:val="005C73CD"/>
    <w:rsid w:val="005D0C53"/>
    <w:rsid w:val="005D2154"/>
    <w:rsid w:val="005D3094"/>
    <w:rsid w:val="005D61DD"/>
    <w:rsid w:val="005E402E"/>
    <w:rsid w:val="005F0A7C"/>
    <w:rsid w:val="00602EA4"/>
    <w:rsid w:val="00602FBE"/>
    <w:rsid w:val="0061176E"/>
    <w:rsid w:val="00613B34"/>
    <w:rsid w:val="00620803"/>
    <w:rsid w:val="006232A5"/>
    <w:rsid w:val="00630ADA"/>
    <w:rsid w:val="006320D2"/>
    <w:rsid w:val="006349BB"/>
    <w:rsid w:val="00634BF0"/>
    <w:rsid w:val="00647C21"/>
    <w:rsid w:val="00663154"/>
    <w:rsid w:val="006649CA"/>
    <w:rsid w:val="0066663D"/>
    <w:rsid w:val="00666716"/>
    <w:rsid w:val="00676402"/>
    <w:rsid w:val="006824A9"/>
    <w:rsid w:val="00683695"/>
    <w:rsid w:val="00685BD5"/>
    <w:rsid w:val="00685E4C"/>
    <w:rsid w:val="006879C5"/>
    <w:rsid w:val="00690660"/>
    <w:rsid w:val="0069226B"/>
    <w:rsid w:val="0069458A"/>
    <w:rsid w:val="00694FA9"/>
    <w:rsid w:val="0069640A"/>
    <w:rsid w:val="006A159E"/>
    <w:rsid w:val="006A42D3"/>
    <w:rsid w:val="006A58BC"/>
    <w:rsid w:val="006A61B5"/>
    <w:rsid w:val="006B0AA4"/>
    <w:rsid w:val="006C24E8"/>
    <w:rsid w:val="006C57E2"/>
    <w:rsid w:val="006D0A5F"/>
    <w:rsid w:val="006D3C2A"/>
    <w:rsid w:val="006D7809"/>
    <w:rsid w:val="006E22BA"/>
    <w:rsid w:val="006E2822"/>
    <w:rsid w:val="006E6647"/>
    <w:rsid w:val="006F0C8C"/>
    <w:rsid w:val="007011F6"/>
    <w:rsid w:val="00701A42"/>
    <w:rsid w:val="00702BFE"/>
    <w:rsid w:val="00702CCC"/>
    <w:rsid w:val="00703156"/>
    <w:rsid w:val="007046D9"/>
    <w:rsid w:val="007078EE"/>
    <w:rsid w:val="00711B5D"/>
    <w:rsid w:val="0071642B"/>
    <w:rsid w:val="00716B77"/>
    <w:rsid w:val="00720BE3"/>
    <w:rsid w:val="00724F3A"/>
    <w:rsid w:val="00725B38"/>
    <w:rsid w:val="007347DF"/>
    <w:rsid w:val="00755974"/>
    <w:rsid w:val="00756A80"/>
    <w:rsid w:val="0076078A"/>
    <w:rsid w:val="00764028"/>
    <w:rsid w:val="0077256A"/>
    <w:rsid w:val="0078277B"/>
    <w:rsid w:val="00784B06"/>
    <w:rsid w:val="00785710"/>
    <w:rsid w:val="007862BA"/>
    <w:rsid w:val="00790C51"/>
    <w:rsid w:val="007930EA"/>
    <w:rsid w:val="00793F40"/>
    <w:rsid w:val="0079496C"/>
    <w:rsid w:val="00794BD3"/>
    <w:rsid w:val="00797610"/>
    <w:rsid w:val="007A7D3A"/>
    <w:rsid w:val="007B3A8D"/>
    <w:rsid w:val="007B5A86"/>
    <w:rsid w:val="007C0C91"/>
    <w:rsid w:val="007C2D06"/>
    <w:rsid w:val="007C3C6B"/>
    <w:rsid w:val="007C4119"/>
    <w:rsid w:val="007C6493"/>
    <w:rsid w:val="007D0E67"/>
    <w:rsid w:val="007D0F19"/>
    <w:rsid w:val="007E5B68"/>
    <w:rsid w:val="007F265B"/>
    <w:rsid w:val="007F2BC9"/>
    <w:rsid w:val="00810832"/>
    <w:rsid w:val="008122C4"/>
    <w:rsid w:val="008129A6"/>
    <w:rsid w:val="008160AA"/>
    <w:rsid w:val="00824FDB"/>
    <w:rsid w:val="00826CFF"/>
    <w:rsid w:val="00827C68"/>
    <w:rsid w:val="0083500F"/>
    <w:rsid w:val="00837C9C"/>
    <w:rsid w:val="008414E8"/>
    <w:rsid w:val="008417F1"/>
    <w:rsid w:val="00846915"/>
    <w:rsid w:val="0085013B"/>
    <w:rsid w:val="00850F4F"/>
    <w:rsid w:val="00857376"/>
    <w:rsid w:val="00860F21"/>
    <w:rsid w:val="008648C3"/>
    <w:rsid w:val="00866B8E"/>
    <w:rsid w:val="00874DFD"/>
    <w:rsid w:val="00876E37"/>
    <w:rsid w:val="00877596"/>
    <w:rsid w:val="0088099C"/>
    <w:rsid w:val="00890093"/>
    <w:rsid w:val="00893623"/>
    <w:rsid w:val="00893B0F"/>
    <w:rsid w:val="00893B38"/>
    <w:rsid w:val="008954B7"/>
    <w:rsid w:val="00896D0C"/>
    <w:rsid w:val="008A05BE"/>
    <w:rsid w:val="008A5756"/>
    <w:rsid w:val="008A6161"/>
    <w:rsid w:val="008A6736"/>
    <w:rsid w:val="008A7807"/>
    <w:rsid w:val="008B3461"/>
    <w:rsid w:val="008B3A92"/>
    <w:rsid w:val="008B50C9"/>
    <w:rsid w:val="008B731D"/>
    <w:rsid w:val="008B7FAE"/>
    <w:rsid w:val="008C10B6"/>
    <w:rsid w:val="008C36D4"/>
    <w:rsid w:val="008D389C"/>
    <w:rsid w:val="008D5E28"/>
    <w:rsid w:val="00912BE2"/>
    <w:rsid w:val="00913B34"/>
    <w:rsid w:val="0092133D"/>
    <w:rsid w:val="00924E65"/>
    <w:rsid w:val="0095083A"/>
    <w:rsid w:val="00951E97"/>
    <w:rsid w:val="00965605"/>
    <w:rsid w:val="0096730C"/>
    <w:rsid w:val="00984A95"/>
    <w:rsid w:val="00986507"/>
    <w:rsid w:val="00990D4F"/>
    <w:rsid w:val="00991249"/>
    <w:rsid w:val="00992D4B"/>
    <w:rsid w:val="00994744"/>
    <w:rsid w:val="009A2619"/>
    <w:rsid w:val="009A4B09"/>
    <w:rsid w:val="009A6FA5"/>
    <w:rsid w:val="009B1B73"/>
    <w:rsid w:val="009B423F"/>
    <w:rsid w:val="009B6A28"/>
    <w:rsid w:val="009C3508"/>
    <w:rsid w:val="009C5B20"/>
    <w:rsid w:val="009C609A"/>
    <w:rsid w:val="009C6BC6"/>
    <w:rsid w:val="009D27AF"/>
    <w:rsid w:val="009D643F"/>
    <w:rsid w:val="009F2D15"/>
    <w:rsid w:val="009F3EE5"/>
    <w:rsid w:val="009F61CA"/>
    <w:rsid w:val="00A01631"/>
    <w:rsid w:val="00A016CF"/>
    <w:rsid w:val="00A02CC4"/>
    <w:rsid w:val="00A11C9B"/>
    <w:rsid w:val="00A134A1"/>
    <w:rsid w:val="00A13E14"/>
    <w:rsid w:val="00A15655"/>
    <w:rsid w:val="00A22B0B"/>
    <w:rsid w:val="00A2705A"/>
    <w:rsid w:val="00A31FAA"/>
    <w:rsid w:val="00A32DE3"/>
    <w:rsid w:val="00A32EF8"/>
    <w:rsid w:val="00A35D12"/>
    <w:rsid w:val="00A40FB1"/>
    <w:rsid w:val="00A47365"/>
    <w:rsid w:val="00A476DC"/>
    <w:rsid w:val="00A528CC"/>
    <w:rsid w:val="00A54017"/>
    <w:rsid w:val="00A5593D"/>
    <w:rsid w:val="00A56715"/>
    <w:rsid w:val="00A62CB3"/>
    <w:rsid w:val="00A81478"/>
    <w:rsid w:val="00A81F80"/>
    <w:rsid w:val="00A851FC"/>
    <w:rsid w:val="00A86358"/>
    <w:rsid w:val="00A90564"/>
    <w:rsid w:val="00A90674"/>
    <w:rsid w:val="00A906D6"/>
    <w:rsid w:val="00A9546A"/>
    <w:rsid w:val="00AA0694"/>
    <w:rsid w:val="00AA458D"/>
    <w:rsid w:val="00AA7E8D"/>
    <w:rsid w:val="00AB0056"/>
    <w:rsid w:val="00AB024E"/>
    <w:rsid w:val="00AB1ED7"/>
    <w:rsid w:val="00AB3E15"/>
    <w:rsid w:val="00AC3080"/>
    <w:rsid w:val="00AC792D"/>
    <w:rsid w:val="00AD661F"/>
    <w:rsid w:val="00AD74AD"/>
    <w:rsid w:val="00AE7E2A"/>
    <w:rsid w:val="00AF08E4"/>
    <w:rsid w:val="00AF48D5"/>
    <w:rsid w:val="00AF4F38"/>
    <w:rsid w:val="00AF70C2"/>
    <w:rsid w:val="00B01CE9"/>
    <w:rsid w:val="00B01E7A"/>
    <w:rsid w:val="00B05104"/>
    <w:rsid w:val="00B05D7C"/>
    <w:rsid w:val="00B1012B"/>
    <w:rsid w:val="00B10168"/>
    <w:rsid w:val="00B1498E"/>
    <w:rsid w:val="00B1704E"/>
    <w:rsid w:val="00B2158F"/>
    <w:rsid w:val="00B24AC5"/>
    <w:rsid w:val="00B25E39"/>
    <w:rsid w:val="00B2753E"/>
    <w:rsid w:val="00B308D6"/>
    <w:rsid w:val="00B37CAF"/>
    <w:rsid w:val="00B44798"/>
    <w:rsid w:val="00B464C1"/>
    <w:rsid w:val="00B52381"/>
    <w:rsid w:val="00B53199"/>
    <w:rsid w:val="00B53606"/>
    <w:rsid w:val="00B55E08"/>
    <w:rsid w:val="00B6499F"/>
    <w:rsid w:val="00B768ED"/>
    <w:rsid w:val="00B76E39"/>
    <w:rsid w:val="00B770A1"/>
    <w:rsid w:val="00B77EE2"/>
    <w:rsid w:val="00B77F54"/>
    <w:rsid w:val="00B80CD9"/>
    <w:rsid w:val="00B92AE1"/>
    <w:rsid w:val="00B94D7B"/>
    <w:rsid w:val="00B963CB"/>
    <w:rsid w:val="00BA0D7D"/>
    <w:rsid w:val="00BA2A1C"/>
    <w:rsid w:val="00BB02CB"/>
    <w:rsid w:val="00BB0DD7"/>
    <w:rsid w:val="00BB5BDC"/>
    <w:rsid w:val="00BB75E2"/>
    <w:rsid w:val="00BC1D1F"/>
    <w:rsid w:val="00BC58E2"/>
    <w:rsid w:val="00BD3998"/>
    <w:rsid w:val="00BD6CE1"/>
    <w:rsid w:val="00BE22F7"/>
    <w:rsid w:val="00BE5B8E"/>
    <w:rsid w:val="00BF367B"/>
    <w:rsid w:val="00BF454E"/>
    <w:rsid w:val="00C03980"/>
    <w:rsid w:val="00C05FF8"/>
    <w:rsid w:val="00C15200"/>
    <w:rsid w:val="00C1686C"/>
    <w:rsid w:val="00C16B29"/>
    <w:rsid w:val="00C213CF"/>
    <w:rsid w:val="00C22ECA"/>
    <w:rsid w:val="00C258B9"/>
    <w:rsid w:val="00C26425"/>
    <w:rsid w:val="00C26725"/>
    <w:rsid w:val="00C267B4"/>
    <w:rsid w:val="00C30A49"/>
    <w:rsid w:val="00C342D1"/>
    <w:rsid w:val="00C34C71"/>
    <w:rsid w:val="00C36F61"/>
    <w:rsid w:val="00C426C6"/>
    <w:rsid w:val="00C44B8E"/>
    <w:rsid w:val="00C452A5"/>
    <w:rsid w:val="00C468B2"/>
    <w:rsid w:val="00C51740"/>
    <w:rsid w:val="00C526A2"/>
    <w:rsid w:val="00C53B1A"/>
    <w:rsid w:val="00C547D6"/>
    <w:rsid w:val="00C64C4C"/>
    <w:rsid w:val="00C65C06"/>
    <w:rsid w:val="00C665DC"/>
    <w:rsid w:val="00C725D2"/>
    <w:rsid w:val="00C74165"/>
    <w:rsid w:val="00C7550F"/>
    <w:rsid w:val="00C76CE3"/>
    <w:rsid w:val="00C812D8"/>
    <w:rsid w:val="00C93925"/>
    <w:rsid w:val="00C9696B"/>
    <w:rsid w:val="00CA41CC"/>
    <w:rsid w:val="00CA6703"/>
    <w:rsid w:val="00CA6FEC"/>
    <w:rsid w:val="00CB3C6E"/>
    <w:rsid w:val="00CB4BB1"/>
    <w:rsid w:val="00CB7F0D"/>
    <w:rsid w:val="00CC2468"/>
    <w:rsid w:val="00CC257E"/>
    <w:rsid w:val="00CC725B"/>
    <w:rsid w:val="00CD13B0"/>
    <w:rsid w:val="00CD28FD"/>
    <w:rsid w:val="00CE06B6"/>
    <w:rsid w:val="00CE799B"/>
    <w:rsid w:val="00CF4491"/>
    <w:rsid w:val="00D076D4"/>
    <w:rsid w:val="00D11291"/>
    <w:rsid w:val="00D146BF"/>
    <w:rsid w:val="00D14EA6"/>
    <w:rsid w:val="00D16F1D"/>
    <w:rsid w:val="00D16FE1"/>
    <w:rsid w:val="00D22F85"/>
    <w:rsid w:val="00D24839"/>
    <w:rsid w:val="00D30083"/>
    <w:rsid w:val="00D326BC"/>
    <w:rsid w:val="00D32B9D"/>
    <w:rsid w:val="00D3395E"/>
    <w:rsid w:val="00D37846"/>
    <w:rsid w:val="00D511E9"/>
    <w:rsid w:val="00D51265"/>
    <w:rsid w:val="00D51D83"/>
    <w:rsid w:val="00D52749"/>
    <w:rsid w:val="00D67935"/>
    <w:rsid w:val="00D70BA0"/>
    <w:rsid w:val="00D71BC3"/>
    <w:rsid w:val="00D72ECE"/>
    <w:rsid w:val="00D730C7"/>
    <w:rsid w:val="00D76EBE"/>
    <w:rsid w:val="00D821E0"/>
    <w:rsid w:val="00D85CE0"/>
    <w:rsid w:val="00D871B2"/>
    <w:rsid w:val="00DA306F"/>
    <w:rsid w:val="00DA3B8A"/>
    <w:rsid w:val="00DA6F4C"/>
    <w:rsid w:val="00DA7861"/>
    <w:rsid w:val="00DB2D29"/>
    <w:rsid w:val="00DB5934"/>
    <w:rsid w:val="00DB6217"/>
    <w:rsid w:val="00DB63AE"/>
    <w:rsid w:val="00DC28F4"/>
    <w:rsid w:val="00DC4893"/>
    <w:rsid w:val="00DD18AC"/>
    <w:rsid w:val="00DD3323"/>
    <w:rsid w:val="00DD345A"/>
    <w:rsid w:val="00DE3ED5"/>
    <w:rsid w:val="00DE6645"/>
    <w:rsid w:val="00DF1370"/>
    <w:rsid w:val="00DF38C6"/>
    <w:rsid w:val="00DF5881"/>
    <w:rsid w:val="00E04596"/>
    <w:rsid w:val="00E0597F"/>
    <w:rsid w:val="00E07746"/>
    <w:rsid w:val="00E1408D"/>
    <w:rsid w:val="00E14544"/>
    <w:rsid w:val="00E219C9"/>
    <w:rsid w:val="00E21E71"/>
    <w:rsid w:val="00E22107"/>
    <w:rsid w:val="00E22979"/>
    <w:rsid w:val="00E26E2B"/>
    <w:rsid w:val="00E318C8"/>
    <w:rsid w:val="00E31F5E"/>
    <w:rsid w:val="00E322F6"/>
    <w:rsid w:val="00E32F43"/>
    <w:rsid w:val="00E35359"/>
    <w:rsid w:val="00E3598C"/>
    <w:rsid w:val="00E403E4"/>
    <w:rsid w:val="00E4242B"/>
    <w:rsid w:val="00E43459"/>
    <w:rsid w:val="00E50D5A"/>
    <w:rsid w:val="00E61F61"/>
    <w:rsid w:val="00E7061F"/>
    <w:rsid w:val="00E71374"/>
    <w:rsid w:val="00E73D3E"/>
    <w:rsid w:val="00E90CD6"/>
    <w:rsid w:val="00E91113"/>
    <w:rsid w:val="00E919CA"/>
    <w:rsid w:val="00E927DF"/>
    <w:rsid w:val="00EA3C7A"/>
    <w:rsid w:val="00EA495F"/>
    <w:rsid w:val="00EB0FCE"/>
    <w:rsid w:val="00EB4416"/>
    <w:rsid w:val="00EB5934"/>
    <w:rsid w:val="00EB7BB9"/>
    <w:rsid w:val="00EB7C5D"/>
    <w:rsid w:val="00EC354E"/>
    <w:rsid w:val="00EC5E30"/>
    <w:rsid w:val="00ED66BC"/>
    <w:rsid w:val="00EE0FD1"/>
    <w:rsid w:val="00EE11DB"/>
    <w:rsid w:val="00EE1554"/>
    <w:rsid w:val="00EE1E6A"/>
    <w:rsid w:val="00EE4046"/>
    <w:rsid w:val="00EE50C4"/>
    <w:rsid w:val="00EF6E6B"/>
    <w:rsid w:val="00EF790C"/>
    <w:rsid w:val="00F033FE"/>
    <w:rsid w:val="00F10ADA"/>
    <w:rsid w:val="00F12BF0"/>
    <w:rsid w:val="00F14494"/>
    <w:rsid w:val="00F20FB9"/>
    <w:rsid w:val="00F34081"/>
    <w:rsid w:val="00F376CA"/>
    <w:rsid w:val="00F401D7"/>
    <w:rsid w:val="00F42FD7"/>
    <w:rsid w:val="00F4345B"/>
    <w:rsid w:val="00F435E6"/>
    <w:rsid w:val="00F45C00"/>
    <w:rsid w:val="00F46033"/>
    <w:rsid w:val="00F47598"/>
    <w:rsid w:val="00F54333"/>
    <w:rsid w:val="00F5501D"/>
    <w:rsid w:val="00F558F8"/>
    <w:rsid w:val="00F56EF9"/>
    <w:rsid w:val="00F60294"/>
    <w:rsid w:val="00F629DA"/>
    <w:rsid w:val="00F7163F"/>
    <w:rsid w:val="00F72EE8"/>
    <w:rsid w:val="00F74567"/>
    <w:rsid w:val="00F75839"/>
    <w:rsid w:val="00F81A3A"/>
    <w:rsid w:val="00F90EAC"/>
    <w:rsid w:val="00FA3BB7"/>
    <w:rsid w:val="00FB6CB5"/>
    <w:rsid w:val="00FD2A49"/>
    <w:rsid w:val="00FD3E4D"/>
    <w:rsid w:val="00FD4605"/>
    <w:rsid w:val="00FE1B42"/>
    <w:rsid w:val="00FE46E0"/>
    <w:rsid w:val="00FF46AF"/>
    <w:rsid w:val="00FF49AB"/>
    <w:rsid w:val="00FF66CA"/>
    <w:rsid w:val="00FF787B"/>
    <w:rsid w:val="02092C94"/>
    <w:rsid w:val="04695C6C"/>
    <w:rsid w:val="07972AF0"/>
    <w:rsid w:val="08F24482"/>
    <w:rsid w:val="0B8F2341"/>
    <w:rsid w:val="0F386A9B"/>
    <w:rsid w:val="10B62239"/>
    <w:rsid w:val="11B76268"/>
    <w:rsid w:val="13C92283"/>
    <w:rsid w:val="17591B70"/>
    <w:rsid w:val="1E29229C"/>
    <w:rsid w:val="1F0E1492"/>
    <w:rsid w:val="1FD04999"/>
    <w:rsid w:val="1FFC12EA"/>
    <w:rsid w:val="220B3A67"/>
    <w:rsid w:val="224376A4"/>
    <w:rsid w:val="26F86CAF"/>
    <w:rsid w:val="28BC1F5F"/>
    <w:rsid w:val="30F64D70"/>
    <w:rsid w:val="348A4CBF"/>
    <w:rsid w:val="350727B3"/>
    <w:rsid w:val="35551771"/>
    <w:rsid w:val="395D6E46"/>
    <w:rsid w:val="41DF2AEE"/>
    <w:rsid w:val="42F94CA5"/>
    <w:rsid w:val="454B049A"/>
    <w:rsid w:val="47C227A3"/>
    <w:rsid w:val="4D93478D"/>
    <w:rsid w:val="4E5C1022"/>
    <w:rsid w:val="4E9133C2"/>
    <w:rsid w:val="4F5D14F6"/>
    <w:rsid w:val="59253085"/>
    <w:rsid w:val="599B6EA3"/>
    <w:rsid w:val="5E84084D"/>
    <w:rsid w:val="5F3E2CC3"/>
    <w:rsid w:val="606A75CF"/>
    <w:rsid w:val="647B624F"/>
    <w:rsid w:val="64D37E39"/>
    <w:rsid w:val="66CF63DE"/>
    <w:rsid w:val="67654F94"/>
    <w:rsid w:val="68921DB9"/>
    <w:rsid w:val="68B27D65"/>
    <w:rsid w:val="69A71894"/>
    <w:rsid w:val="6B0F48A9"/>
    <w:rsid w:val="6C0905E4"/>
    <w:rsid w:val="6E610A3D"/>
    <w:rsid w:val="6FCF38F2"/>
    <w:rsid w:val="70512559"/>
    <w:rsid w:val="75363ACC"/>
    <w:rsid w:val="768F5B89"/>
    <w:rsid w:val="7847671C"/>
    <w:rsid w:val="7B113011"/>
    <w:rsid w:val="7B825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autoRedefine/>
    <w:unhideWhenUsed/>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unhideWhenUsed/>
    <w:qFormat/>
    <w:uiPriority w:val="9"/>
    <w:pPr>
      <w:keepNext/>
      <w:keepLines/>
      <w:spacing w:before="260" w:after="260" w:line="416" w:lineRule="auto"/>
      <w:outlineLvl w:val="2"/>
    </w:pPr>
    <w:rPr>
      <w:b/>
      <w:bCs/>
      <w:sz w:val="32"/>
      <w:szCs w:val="32"/>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5">
    <w:name w:val="Normal Indent"/>
    <w:qFormat/>
    <w:uiPriority w:val="0"/>
    <w:pPr>
      <w:widowControl w:val="0"/>
      <w:spacing w:line="360" w:lineRule="auto"/>
      <w:ind w:firstLine="200" w:firstLineChars="200"/>
      <w:jc w:val="both"/>
    </w:pPr>
    <w:rPr>
      <w:rFonts w:ascii="Calibri" w:hAnsi="Calibri" w:eastAsia="宋体" w:cs="Times New Roman"/>
      <w:kern w:val="2"/>
      <w:sz w:val="24"/>
      <w:szCs w:val="24"/>
      <w:lang w:val="en-US" w:eastAsia="zh-CN" w:bidi="ar-SA"/>
    </w:rPr>
  </w:style>
  <w:style w:type="paragraph" w:styleId="6">
    <w:name w:val="annotation text"/>
    <w:basedOn w:val="1"/>
    <w:link w:val="31"/>
    <w:semiHidden/>
    <w:unhideWhenUsed/>
    <w:qFormat/>
    <w:uiPriority w:val="99"/>
    <w:pPr>
      <w:jc w:val="left"/>
    </w:pPr>
  </w:style>
  <w:style w:type="paragraph" w:styleId="7">
    <w:name w:val="Body Text"/>
    <w:basedOn w:val="1"/>
    <w:link w:val="32"/>
    <w:semiHidden/>
    <w:unhideWhenUsed/>
    <w:uiPriority w:val="99"/>
    <w:pPr>
      <w:spacing w:after="120"/>
    </w:pPr>
    <w:rPr>
      <w:szCs w:val="21"/>
    </w:rPr>
  </w:style>
  <w:style w:type="paragraph" w:styleId="8">
    <w:name w:val="Body Text Indent"/>
    <w:basedOn w:val="1"/>
    <w:link w:val="60"/>
    <w:semiHidden/>
    <w:unhideWhenUsed/>
    <w:uiPriority w:val="99"/>
    <w:pPr>
      <w:spacing w:after="120"/>
      <w:ind w:left="420" w:leftChars="200"/>
    </w:pPr>
  </w:style>
  <w:style w:type="paragraph" w:styleId="9">
    <w:name w:val="toc 3"/>
    <w:basedOn w:val="1"/>
    <w:next w:val="1"/>
    <w:unhideWhenUsed/>
    <w:qFormat/>
    <w:uiPriority w:val="39"/>
    <w:pPr>
      <w:ind w:left="840" w:leftChars="400"/>
    </w:pPr>
  </w:style>
  <w:style w:type="paragraph" w:styleId="10">
    <w:name w:val="Date"/>
    <w:basedOn w:val="1"/>
    <w:next w:val="1"/>
    <w:link w:val="33"/>
    <w:autoRedefine/>
    <w:semiHidden/>
    <w:unhideWhenUsed/>
    <w:qFormat/>
    <w:uiPriority w:val="99"/>
    <w:pPr>
      <w:ind w:left="100" w:leftChars="2500"/>
    </w:pPr>
  </w:style>
  <w:style w:type="paragraph" w:styleId="11">
    <w:name w:val="Balloon Text"/>
    <w:basedOn w:val="1"/>
    <w:link w:val="34"/>
    <w:semiHidden/>
    <w:unhideWhenUsed/>
    <w:qFormat/>
    <w:uiPriority w:val="99"/>
    <w:rPr>
      <w:sz w:val="18"/>
      <w:szCs w:val="18"/>
    </w:rPr>
  </w:style>
  <w:style w:type="paragraph" w:styleId="12">
    <w:name w:val="footer"/>
    <w:basedOn w:val="1"/>
    <w:link w:val="27"/>
    <w:unhideWhenUsed/>
    <w:uiPriority w:val="99"/>
    <w:pPr>
      <w:tabs>
        <w:tab w:val="center" w:pos="4153"/>
        <w:tab w:val="right" w:pos="8306"/>
      </w:tabs>
      <w:snapToGrid w:val="0"/>
      <w:jc w:val="left"/>
    </w:pPr>
    <w:rPr>
      <w:sz w:val="18"/>
      <w:szCs w:val="18"/>
    </w:rPr>
  </w:style>
  <w:style w:type="paragraph" w:styleId="13">
    <w:name w:val="header"/>
    <w:basedOn w:val="1"/>
    <w:link w:val="26"/>
    <w:unhideWhenUsed/>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toc 2"/>
    <w:basedOn w:val="1"/>
    <w:next w:val="1"/>
    <w:unhideWhenUsed/>
    <w:qFormat/>
    <w:uiPriority w:val="39"/>
    <w:pPr>
      <w:tabs>
        <w:tab w:val="right" w:leader="dot" w:pos="8296"/>
      </w:tabs>
      <w:spacing w:line="560" w:lineRule="exact"/>
      <w:ind w:left="420" w:leftChars="200"/>
    </w:pPr>
  </w:style>
  <w:style w:type="paragraph" w:styleId="1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35"/>
    <w:semiHidden/>
    <w:unhideWhenUsed/>
    <w:qFormat/>
    <w:uiPriority w:val="99"/>
    <w:rPr>
      <w:b/>
      <w:bCs/>
    </w:rPr>
  </w:style>
  <w:style w:type="table" w:styleId="19">
    <w:name w:val="Table Grid"/>
    <w:basedOn w:val="18"/>
    <w:qFormat/>
    <w:uiPriority w:val="59"/>
    <w:pPr>
      <w:spacing w:line="300" w:lineRule="exact"/>
      <w:jc w:val="center"/>
    </w:pPr>
    <w:rPr>
      <w:rFonts w:ascii="Times New Roman" w:hAnsi="Times New Roman" w:eastAsia="仿宋_GB2312"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tblHeader/>
    </w:trPr>
    <w:tcPr>
      <w:vAlign w:val="center"/>
    </w:tcPr>
  </w:style>
  <w:style w:type="character" w:styleId="21">
    <w:name w:val="Strong"/>
    <w:basedOn w:val="20"/>
    <w:qFormat/>
    <w:uiPriority w:val="22"/>
    <w:rPr>
      <w:b/>
      <w:bCs/>
    </w:rPr>
  </w:style>
  <w:style w:type="character" w:styleId="22">
    <w:name w:val="page number"/>
    <w:basedOn w:val="20"/>
    <w:unhideWhenUsed/>
    <w:qFormat/>
    <w:uiPriority w:val="99"/>
  </w:style>
  <w:style w:type="character" w:styleId="23">
    <w:name w:val="FollowedHyperlink"/>
    <w:basedOn w:val="20"/>
    <w:semiHidden/>
    <w:unhideWhenUsed/>
    <w:uiPriority w:val="99"/>
    <w:rPr>
      <w:color w:val="800080" w:themeColor="followedHyperlink"/>
      <w:u w:val="single"/>
      <w14:textFill>
        <w14:solidFill>
          <w14:schemeClr w14:val="folHlink"/>
        </w14:solidFill>
      </w14:textFill>
    </w:rPr>
  </w:style>
  <w:style w:type="character" w:styleId="24">
    <w:name w:val="Hyperlink"/>
    <w:basedOn w:val="20"/>
    <w:unhideWhenUsed/>
    <w:uiPriority w:val="99"/>
    <w:rPr>
      <w:color w:val="0000FF"/>
      <w:u w:val="single"/>
    </w:rPr>
  </w:style>
  <w:style w:type="character" w:styleId="25">
    <w:name w:val="annotation reference"/>
    <w:basedOn w:val="20"/>
    <w:semiHidden/>
    <w:unhideWhenUsed/>
    <w:uiPriority w:val="99"/>
    <w:rPr>
      <w:sz w:val="21"/>
      <w:szCs w:val="21"/>
    </w:rPr>
  </w:style>
  <w:style w:type="character" w:customStyle="1" w:styleId="26">
    <w:name w:val="页眉 Char"/>
    <w:basedOn w:val="20"/>
    <w:link w:val="13"/>
    <w:uiPriority w:val="99"/>
    <w:rPr>
      <w:sz w:val="18"/>
      <w:szCs w:val="18"/>
    </w:rPr>
  </w:style>
  <w:style w:type="character" w:customStyle="1" w:styleId="27">
    <w:name w:val="页脚 Char"/>
    <w:basedOn w:val="20"/>
    <w:link w:val="12"/>
    <w:uiPriority w:val="99"/>
    <w:rPr>
      <w:sz w:val="18"/>
      <w:szCs w:val="18"/>
    </w:rPr>
  </w:style>
  <w:style w:type="character" w:customStyle="1" w:styleId="28">
    <w:name w:val="标题 1 Char"/>
    <w:basedOn w:val="20"/>
    <w:link w:val="2"/>
    <w:qFormat/>
    <w:uiPriority w:val="9"/>
    <w:rPr>
      <w:b/>
      <w:bCs/>
      <w:kern w:val="44"/>
      <w:sz w:val="44"/>
      <w:szCs w:val="44"/>
    </w:rPr>
  </w:style>
  <w:style w:type="character" w:customStyle="1" w:styleId="29">
    <w:name w:val="标题 2 Char"/>
    <w:basedOn w:val="20"/>
    <w:link w:val="3"/>
    <w:uiPriority w:val="9"/>
    <w:rPr>
      <w:rFonts w:ascii="Cambria" w:hAnsi="Cambria" w:eastAsia="宋体" w:cs="Times New Roman"/>
      <w:b/>
      <w:bCs/>
      <w:sz w:val="32"/>
      <w:szCs w:val="32"/>
    </w:rPr>
  </w:style>
  <w:style w:type="character" w:customStyle="1" w:styleId="30">
    <w:name w:val="标题 3 Char"/>
    <w:basedOn w:val="20"/>
    <w:link w:val="4"/>
    <w:uiPriority w:val="9"/>
    <w:rPr>
      <w:b/>
      <w:bCs/>
      <w:sz w:val="32"/>
      <w:szCs w:val="32"/>
    </w:rPr>
  </w:style>
  <w:style w:type="character" w:customStyle="1" w:styleId="31">
    <w:name w:val="批注文字 Char"/>
    <w:basedOn w:val="20"/>
    <w:link w:val="6"/>
    <w:semiHidden/>
    <w:qFormat/>
    <w:uiPriority w:val="99"/>
  </w:style>
  <w:style w:type="character" w:customStyle="1" w:styleId="32">
    <w:name w:val="正文文本 Char"/>
    <w:basedOn w:val="20"/>
    <w:link w:val="7"/>
    <w:semiHidden/>
    <w:uiPriority w:val="99"/>
    <w:rPr>
      <w:szCs w:val="21"/>
    </w:rPr>
  </w:style>
  <w:style w:type="character" w:customStyle="1" w:styleId="33">
    <w:name w:val="日期 Char"/>
    <w:basedOn w:val="20"/>
    <w:link w:val="10"/>
    <w:autoRedefine/>
    <w:semiHidden/>
    <w:qFormat/>
    <w:uiPriority w:val="99"/>
  </w:style>
  <w:style w:type="character" w:customStyle="1" w:styleId="34">
    <w:name w:val="批注框文本 Char"/>
    <w:basedOn w:val="20"/>
    <w:link w:val="11"/>
    <w:autoRedefine/>
    <w:semiHidden/>
    <w:qFormat/>
    <w:uiPriority w:val="99"/>
    <w:rPr>
      <w:sz w:val="18"/>
      <w:szCs w:val="18"/>
    </w:rPr>
  </w:style>
  <w:style w:type="character" w:customStyle="1" w:styleId="35">
    <w:name w:val="批注主题 Char"/>
    <w:basedOn w:val="31"/>
    <w:link w:val="17"/>
    <w:autoRedefine/>
    <w:semiHidden/>
    <w:qFormat/>
    <w:uiPriority w:val="99"/>
    <w:rPr>
      <w:b/>
      <w:bCs/>
    </w:rPr>
  </w:style>
  <w:style w:type="paragraph" w:styleId="36">
    <w:name w:val="List Paragraph"/>
    <w:basedOn w:val="1"/>
    <w:autoRedefine/>
    <w:qFormat/>
    <w:uiPriority w:val="34"/>
    <w:pPr>
      <w:ind w:firstLine="420" w:firstLineChars="200"/>
    </w:pPr>
  </w:style>
  <w:style w:type="paragraph" w:customStyle="1" w:styleId="37">
    <w:name w:val="p0"/>
    <w:basedOn w:val="1"/>
    <w:autoRedefine/>
    <w:qFormat/>
    <w:uiPriority w:val="0"/>
    <w:pPr>
      <w:overflowPunct w:val="0"/>
      <w:autoSpaceDE w:val="0"/>
      <w:autoSpaceDN w:val="0"/>
      <w:adjustRightInd w:val="0"/>
      <w:spacing w:line="600" w:lineRule="exact"/>
      <w:ind w:firstLine="640" w:firstLineChars="200"/>
      <w:textAlignment w:val="baseline"/>
    </w:pPr>
    <w:rPr>
      <w:rFonts w:ascii="仿宋_GB2312" w:hAnsi="宋体" w:eastAsia="仿宋_GB2312" w:cs="宋体"/>
      <w:kern w:val="0"/>
      <w:sz w:val="32"/>
      <w:szCs w:val="32"/>
    </w:rPr>
  </w:style>
  <w:style w:type="character" w:customStyle="1" w:styleId="38">
    <w:name w:val="diff"/>
    <w:basedOn w:val="20"/>
    <w:autoRedefine/>
    <w:qFormat/>
    <w:uiPriority w:val="0"/>
  </w:style>
  <w:style w:type="character" w:customStyle="1" w:styleId="39">
    <w:name w:val="报告正文 Char"/>
    <w:basedOn w:val="20"/>
    <w:link w:val="40"/>
    <w:qFormat/>
    <w:locked/>
    <w:uiPriority w:val="0"/>
    <w:rPr>
      <w:rFonts w:ascii="仿宋_GB2312" w:eastAsia="仿宋_GB2312"/>
      <w:color w:val="000000"/>
      <w:sz w:val="32"/>
      <w:szCs w:val="32"/>
    </w:rPr>
  </w:style>
  <w:style w:type="paragraph" w:customStyle="1" w:styleId="40">
    <w:name w:val="报告正文"/>
    <w:basedOn w:val="1"/>
    <w:link w:val="39"/>
    <w:autoRedefine/>
    <w:qFormat/>
    <w:uiPriority w:val="0"/>
    <w:pPr>
      <w:widowControl/>
      <w:overflowPunct w:val="0"/>
      <w:autoSpaceDE w:val="0"/>
      <w:autoSpaceDN w:val="0"/>
      <w:adjustRightInd w:val="0"/>
      <w:spacing w:line="580" w:lineRule="exact"/>
      <w:ind w:firstLine="640" w:firstLineChars="200"/>
    </w:pPr>
    <w:rPr>
      <w:rFonts w:ascii="仿宋_GB2312" w:eastAsia="仿宋_GB2312"/>
      <w:color w:val="000000"/>
      <w:sz w:val="32"/>
      <w:szCs w:val="32"/>
    </w:rPr>
  </w:style>
  <w:style w:type="paragraph" w:customStyle="1" w:styleId="41">
    <w:name w:val="闻政正文"/>
    <w:basedOn w:val="1"/>
    <w:link w:val="42"/>
    <w:qFormat/>
    <w:uiPriority w:val="3"/>
    <w:pPr>
      <w:spacing w:line="500" w:lineRule="exact"/>
      <w:ind w:firstLine="200" w:firstLineChars="200"/>
    </w:pPr>
    <w:rPr>
      <w:rFonts w:ascii="Times New Roman" w:hAnsi="Times New Roman" w:eastAsia="仿宋_GB2312" w:cs="Times New Roman"/>
      <w:kern w:val="0"/>
      <w:sz w:val="28"/>
      <w:szCs w:val="28"/>
      <w:lang w:val="zh-CN"/>
    </w:rPr>
  </w:style>
  <w:style w:type="character" w:customStyle="1" w:styleId="42">
    <w:name w:val="闻政正文 Char"/>
    <w:link w:val="41"/>
    <w:qFormat/>
    <w:uiPriority w:val="3"/>
    <w:rPr>
      <w:rFonts w:ascii="Times New Roman" w:hAnsi="Times New Roman" w:eastAsia="仿宋_GB2312" w:cs="Times New Roman"/>
      <w:kern w:val="0"/>
      <w:sz w:val="28"/>
      <w:szCs w:val="28"/>
      <w:lang w:val="zh-CN"/>
    </w:rPr>
  </w:style>
  <w:style w:type="paragraph" w:customStyle="1" w:styleId="43">
    <w:name w:val="闻政封面项目信息"/>
    <w:basedOn w:val="1"/>
    <w:next w:val="44"/>
    <w:autoRedefine/>
    <w:qFormat/>
    <w:uiPriority w:val="0"/>
    <w:pPr>
      <w:spacing w:before="120"/>
      <w:ind w:left="800" w:leftChars="800"/>
      <w:jc w:val="left"/>
    </w:pPr>
    <w:rPr>
      <w:rFonts w:ascii="Times New Roman" w:hAnsi="Times New Roman" w:eastAsia="黑体" w:cs="Times New Roman"/>
      <w:kern w:val="0"/>
      <w:sz w:val="28"/>
      <w:szCs w:val="28"/>
      <w:lang w:val="zh-CN"/>
    </w:rPr>
  </w:style>
  <w:style w:type="paragraph" w:customStyle="1" w:styleId="44">
    <w:name w:val="闻政封面完成时间"/>
    <w:basedOn w:val="43"/>
    <w:qFormat/>
    <w:uiPriority w:val="0"/>
    <w:pPr>
      <w:ind w:left="0" w:leftChars="0"/>
      <w:jc w:val="center"/>
    </w:pPr>
    <w:rPr>
      <w:b/>
    </w:rPr>
  </w:style>
  <w:style w:type="paragraph" w:customStyle="1" w:styleId="45">
    <w:name w:val="闻政页码"/>
    <w:qFormat/>
    <w:uiPriority w:val="6"/>
    <w:pPr>
      <w:jc w:val="center"/>
    </w:pPr>
    <w:rPr>
      <w:rFonts w:ascii="Times New Roman" w:hAnsi="Times New Roman" w:eastAsia="Times New Roman" w:cs="Times New Roman"/>
      <w:sz w:val="21"/>
      <w:szCs w:val="28"/>
      <w:lang w:val="en-US" w:eastAsia="zh-CN" w:bidi="ar-SA"/>
    </w:rPr>
  </w:style>
  <w:style w:type="paragraph" w:customStyle="1" w:styleId="46">
    <w:name w:val="闻政目录标题"/>
    <w:basedOn w:val="1"/>
    <w:qFormat/>
    <w:uiPriority w:val="1"/>
    <w:pPr>
      <w:spacing w:before="480" w:after="360"/>
      <w:jc w:val="center"/>
    </w:pPr>
    <w:rPr>
      <w:rFonts w:ascii="Times New Roman" w:hAnsi="Times New Roman" w:eastAsia="黑体" w:cs="Times New Roman"/>
      <w:b/>
      <w:snapToGrid w:val="0"/>
      <w:sz w:val="32"/>
      <w:szCs w:val="24"/>
    </w:rPr>
  </w:style>
  <w:style w:type="paragraph" w:customStyle="1" w:styleId="4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48">
    <w:name w:val="闻政图表名"/>
    <w:basedOn w:val="1"/>
    <w:link w:val="49"/>
    <w:qFormat/>
    <w:uiPriority w:val="4"/>
    <w:pPr>
      <w:spacing w:before="60" w:after="60"/>
      <w:jc w:val="center"/>
    </w:pPr>
    <w:rPr>
      <w:rFonts w:ascii="Times New Roman" w:hAnsi="Times New Roman" w:eastAsia="仿宋_GB2312" w:cs="Times New Roman"/>
      <w:b/>
      <w:kern w:val="0"/>
      <w:sz w:val="24"/>
      <w:szCs w:val="28"/>
    </w:rPr>
  </w:style>
  <w:style w:type="character" w:customStyle="1" w:styleId="49">
    <w:name w:val="闻政图表名 字符"/>
    <w:link w:val="48"/>
    <w:qFormat/>
    <w:uiPriority w:val="4"/>
    <w:rPr>
      <w:rFonts w:ascii="Times New Roman" w:hAnsi="Times New Roman" w:eastAsia="仿宋_GB2312" w:cs="Times New Roman"/>
      <w:b/>
      <w:kern w:val="0"/>
      <w:sz w:val="24"/>
      <w:szCs w:val="28"/>
    </w:rPr>
  </w:style>
  <w:style w:type="paragraph" w:customStyle="1" w:styleId="50">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51">
    <w:name w:val="qowt-font7"/>
    <w:basedOn w:val="20"/>
    <w:qFormat/>
    <w:uiPriority w:val="0"/>
  </w:style>
  <w:style w:type="character" w:customStyle="1" w:styleId="52">
    <w:name w:val="qowt-font9-gb2312"/>
    <w:basedOn w:val="20"/>
    <w:uiPriority w:val="0"/>
  </w:style>
  <w:style w:type="paragraph" w:customStyle="1" w:styleId="53">
    <w:name w:val="Char Char Char Char Char Char"/>
    <w:basedOn w:val="1"/>
    <w:uiPriority w:val="0"/>
    <w:pPr>
      <w:tabs>
        <w:tab w:val="left" w:pos="4665"/>
        <w:tab w:val="left" w:pos="8970"/>
      </w:tabs>
      <w:ind w:firstLine="400"/>
    </w:pPr>
    <w:rPr>
      <w:rFonts w:ascii="Tahoma" w:hAnsi="Tahoma" w:eastAsia="宋体" w:cs="Times New Roman"/>
      <w:sz w:val="24"/>
      <w:szCs w:val="20"/>
    </w:rPr>
  </w:style>
  <w:style w:type="paragraph" w:customStyle="1" w:styleId="54">
    <w:name w:val="闻政表文字"/>
    <w:basedOn w:val="41"/>
    <w:link w:val="55"/>
    <w:autoRedefine/>
    <w:qFormat/>
    <w:uiPriority w:val="5"/>
    <w:pPr>
      <w:widowControl/>
      <w:spacing w:line="320" w:lineRule="exact"/>
      <w:ind w:firstLine="0" w:firstLineChars="0"/>
      <w:jc w:val="center"/>
    </w:pPr>
    <w:rPr>
      <w:rFonts w:cs="宋体"/>
      <w:bCs/>
      <w:color w:val="000000"/>
      <w:sz w:val="22"/>
    </w:rPr>
  </w:style>
  <w:style w:type="character" w:customStyle="1" w:styleId="55">
    <w:name w:val="闻政表文字 字符"/>
    <w:basedOn w:val="42"/>
    <w:link w:val="54"/>
    <w:qFormat/>
    <w:uiPriority w:val="5"/>
    <w:rPr>
      <w:rFonts w:ascii="Times New Roman" w:hAnsi="Times New Roman" w:eastAsia="仿宋_GB2312" w:cs="宋体"/>
      <w:bCs/>
      <w:color w:val="000000"/>
      <w:kern w:val="0"/>
      <w:sz w:val="22"/>
      <w:szCs w:val="28"/>
      <w:lang w:val="zh-CN"/>
    </w:rPr>
  </w:style>
  <w:style w:type="character" w:customStyle="1" w:styleId="56">
    <w:name w:val="font41"/>
    <w:basedOn w:val="20"/>
    <w:qFormat/>
    <w:uiPriority w:val="0"/>
    <w:rPr>
      <w:rFonts w:ascii="仿宋_GB2312" w:eastAsia="仿宋_GB2312" w:cs="仿宋_GB2312"/>
      <w:b/>
      <w:bCs/>
      <w:color w:val="000000"/>
      <w:sz w:val="22"/>
      <w:szCs w:val="22"/>
      <w:u w:val="none"/>
    </w:rPr>
  </w:style>
  <w:style w:type="character" w:customStyle="1" w:styleId="57">
    <w:name w:val="font11"/>
    <w:basedOn w:val="20"/>
    <w:autoRedefine/>
    <w:qFormat/>
    <w:uiPriority w:val="0"/>
    <w:rPr>
      <w:rFonts w:hint="default" w:ascii="Times New Roman" w:hAnsi="Times New Roman" w:cs="Times New Roman"/>
      <w:color w:val="000000"/>
      <w:sz w:val="22"/>
      <w:szCs w:val="22"/>
      <w:u w:val="none"/>
    </w:rPr>
  </w:style>
  <w:style w:type="paragraph" w:customStyle="1" w:styleId="58">
    <w:name w:val="闻政图（表）注"/>
    <w:basedOn w:val="1"/>
    <w:link w:val="59"/>
    <w:autoRedefine/>
    <w:qFormat/>
    <w:uiPriority w:val="5"/>
    <w:pPr>
      <w:spacing w:before="120"/>
    </w:pPr>
    <w:rPr>
      <w:rFonts w:ascii="Times New Roman" w:hAnsi="Times New Roman" w:eastAsia="仿宋_GB2312" w:cs="Arial"/>
      <w:kern w:val="0"/>
      <w:szCs w:val="21"/>
    </w:rPr>
  </w:style>
  <w:style w:type="character" w:customStyle="1" w:styleId="59">
    <w:name w:val="闻政图（表）注 Char"/>
    <w:link w:val="58"/>
    <w:autoRedefine/>
    <w:qFormat/>
    <w:uiPriority w:val="5"/>
    <w:rPr>
      <w:rFonts w:ascii="Times New Roman" w:hAnsi="Times New Roman" w:eastAsia="仿宋_GB2312" w:cs="Arial"/>
      <w:kern w:val="0"/>
      <w:szCs w:val="21"/>
    </w:rPr>
  </w:style>
  <w:style w:type="character" w:customStyle="1" w:styleId="60">
    <w:name w:val="正文文本缩进 Char"/>
    <w:basedOn w:val="20"/>
    <w:link w:val="8"/>
    <w:autoRedefine/>
    <w:semiHidden/>
    <w:qFormat/>
    <w:uiPriority w:val="99"/>
  </w:style>
  <w:style w:type="character" w:customStyle="1" w:styleId="61">
    <w:name w:val="Unresolved Mention"/>
    <w:basedOn w:val="20"/>
    <w:autoRedefine/>
    <w:semiHidden/>
    <w:unhideWhenUsed/>
    <w:qFormat/>
    <w:uiPriority w:val="99"/>
    <w:rPr>
      <w:color w:val="605E5C"/>
      <w:shd w:val="clear" w:color="auto" w:fill="E1DFDD"/>
    </w:rPr>
  </w:style>
  <w:style w:type="paragraph" w:customStyle="1" w:styleId="62">
    <w:name w:val="Body text|1"/>
    <w:basedOn w:val="1"/>
    <w:autoRedefine/>
    <w:qFormat/>
    <w:uiPriority w:val="0"/>
    <w:pPr>
      <w:spacing w:line="480" w:lineRule="auto"/>
      <w:ind w:firstLine="400"/>
    </w:pPr>
    <w:rPr>
      <w:rFonts w:ascii="宋体" w:hAnsi="宋体" w:eastAsia="宋体" w:cs="宋体"/>
      <w:sz w:val="26"/>
      <w:szCs w:val="26"/>
      <w:lang w:val="zh-TW" w:eastAsia="zh-TW" w:bidi="zh-TW"/>
    </w:rPr>
  </w:style>
  <w:style w:type="paragraph" w:customStyle="1" w:styleId="63">
    <w:name w:val="TOC 标题2"/>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281C0E-5B02-4B6D-B483-EA98FA7C44B8}">
  <ds:schemaRefs/>
</ds:datastoreItem>
</file>

<file path=docProps/app.xml><?xml version="1.0" encoding="utf-8"?>
<Properties xmlns="http://schemas.openxmlformats.org/officeDocument/2006/extended-properties" xmlns:vt="http://schemas.openxmlformats.org/officeDocument/2006/docPropsVTypes">
  <Template>Normal</Template>
  <Pages>11</Pages>
  <Words>638</Words>
  <Characters>3640</Characters>
  <Lines>30</Lines>
  <Paragraphs>8</Paragraphs>
  <TotalTime>21</TotalTime>
  <ScaleCrop>false</ScaleCrop>
  <LinksUpToDate>false</LinksUpToDate>
  <CharactersWithSpaces>4270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2022-12-13T02:56:00Z</dcterms:created>
  <dc:creator>admin</dc:creator>
  <cp:lastModifiedBy>瑾王</cp:lastModifiedBy>
  <cp:lastPrinted>2023-11-17T07:46:00Z</cp:lastPrinted>
  <dcterms:modified xsi:type="dcterms:W3CDTF">2023-12-27T13:40:49Z</dcterms:modified>
  <cp:revision>721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5D316D4E054F43C39684424F0BF761C5_13</vt:lpwstr>
  </property>
</Properties>
</file>