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default"/>
          <w:sz w:val="32"/>
          <w:szCs w:val="32"/>
          <w:lang w:val="en-US" w:eastAsia="zh-CN"/>
        </w:rPr>
      </w:pPr>
      <w:r>
        <w:rPr>
          <w:rFonts w:hint="eastAsia" w:ascii="方正小标宋简体" w:hAnsi="方正小标宋简体" w:eastAsia="方正小标宋简体" w:cs="方正小标宋简体"/>
          <w:b w:val="0"/>
          <w:bCs/>
          <w:sz w:val="44"/>
          <w:szCs w:val="44"/>
          <w:lang w:val="en-US" w:eastAsia="zh-CN"/>
        </w:rPr>
        <w:t>2022年度菏泽市国企委派财务总监及外部董事薪酬项目支出</w:t>
      </w:r>
      <w:r>
        <w:rPr>
          <w:rFonts w:hint="eastAsia" w:ascii="方正小标宋简体" w:hAnsi="方正小标宋简体" w:eastAsia="方正小标宋简体" w:cs="方正小标宋简体"/>
          <w:b w:val="0"/>
          <w:bCs/>
          <w:sz w:val="44"/>
          <w:szCs w:val="44"/>
          <w:lang w:val="zh-CN"/>
        </w:rPr>
        <w:t>绩效评价报告</w:t>
      </w:r>
      <w:r>
        <w:rPr>
          <w:rFonts w:hint="eastAsia" w:ascii="黑体" w:hAnsi="黑体" w:eastAsia="黑体" w:cs="黑体"/>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黑体" w:hAnsi="黑体" w:eastAsia="黑体" w:cs="黑体"/>
          <w:bCs/>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sz w:val="32"/>
          <w:szCs w:val="32"/>
          <w:lang w:val="en-US" w:eastAsia="zh-CN"/>
        </w:rPr>
        <w:t>项目</w:t>
      </w:r>
      <w:r>
        <w:rPr>
          <w:rFonts w:hint="eastAsia" w:ascii="黑体" w:hAnsi="黑体" w:eastAsia="黑体" w:cs="黑体"/>
          <w:bCs/>
          <w:sz w:val="32"/>
          <w:szCs w:val="32"/>
          <w:lang w:val="en-US" w:eastAsia="zh-CN"/>
        </w:rPr>
        <w:t>基本情况</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楷体" w:hAnsi="楷体" w:eastAsia="楷体" w:cs="楷体"/>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1.立项背景</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国企委派财务总监及外部董事薪酬项目，是在《中共中央国务院关于深化国有企业改革的指导意见》《国务院办公厅关于进一步完善国有企业法人治理结构的指导意见》的要求下，依据《菏泽市国企改革三年行动实施方案（2020—2022）》，以及菏泽市人民政府国有资产监督管理委员会（以下简称：菏泽市国资委）、菏泽市财政局联合印发的《关于进一步加强市管企业财务监督管理工作的意见》发起立项，经中共菏泽市委办公室2021年6月4日专题会议研究，中共菏泽市委全面深化改革委员会第25次会议确定通过，自2021年开始筹备运行。</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2.实施内容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计划面向菏泽市直14家国有企业，委派28名财务总监和外部董事。其中，7名财务总监、14名专职外部董事、7名兼职外部董事。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月，第一批委派专职外部董事10名、兼职外部董事2名、财务总监7名；2022年7月，第二批委派专职外部董事4名、兼职外部董事3名。截止2022年12月底，项目实际委派到位26人，其中专职外部董事14人、兼职外部董事5人、财务总监7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2023年7月，第三批委派2名兼职外部董事，人员全部到位，共计28名。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主管部门菏泽市国资委，负责选拔、聘任、委派财务总监及外部董事；制定基础薪酬、年薪、履职待遇的执行标准；制订相关管理制度；组织实施财务总监及外部董事日常管理、履职考核工作；编制项目预算，并申请拨付项目预算资金，负责资金监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4.资金投入和使用情况</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lang w:val="en-US" w:eastAsia="zh-CN"/>
        </w:rPr>
      </w:pPr>
      <w:r>
        <w:rPr>
          <w:rFonts w:hint="eastAsia"/>
          <w:lang w:val="en-US" w:eastAsia="zh-CN"/>
        </w:rPr>
        <w:t>项目资金来源为国有资本经营预算。菏泽市财政局2022年预算安排委派财务总监及外部董事薪酬资金6,500,000万元，当年实际支出4,070,825.84元，主要支出内容为：委派财务总监及外部董事薪酬（基本年薪）、社会保险金、住房公积金、企业年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向市属企业委派财务总监和外部董事参与企业内部治理，形成科学的决策机制和权力制衡机制，提高决策的科学性，实现防范国有企业重大经营风险，积极维护出资人和任职企业合法权益，防止国有资产流失，确保国有资产保值增值目标，提高效率增强活力，推进国企改革，发展壮大市属国有经济。</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科学合理安排、使用资金，做好各市属企业外部董事和财务总监人员服务管理工作，确保专款专用。形成完善的外部董事和财务总监管理体制，完善国资国企监管体制。</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二、评价基本情况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绩效评价目的：本次绩效评价通过深入了解菏泽市国企委派财务总监及外部董事薪酬项目决策、过程、产出管理及效益情况，评价项目资金绩效，客观分析存在的问题和瓶颈，并提出相关建议。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绩效评价对象及范围：本次绩效评价面向菏泽市直14家国有企业，委派28名财务总监和外部董事。截止2022年12月31日，实际委派到位26名财务总监和外部董事，服务菏泽市直14家国有企业。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（二）绩效评价指标体系</w:t>
      </w:r>
    </w:p>
    <w:p>
      <w:pPr>
        <w:spacing w:line="56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Times New Roman" w:eastAsia="仿宋_GB2312" w:cs="仿宋_GB2312"/>
          <w:b w:val="0"/>
          <w:bCs w:val="0"/>
          <w:kern w:val="0"/>
          <w:sz w:val="32"/>
          <w:szCs w:val="32"/>
          <w:lang w:val="en-US" w:eastAsia="zh-CN" w:bidi="ar"/>
        </w:rPr>
        <w:t>评价依据绩效评价指标体系评分完成。指标体系的确定经过评价组设计、内部讨论修改、外部征求相关管理部门及被评价单位意见等步骤完成。在评价过程中，通过座谈、访谈、问卷调查、非现场评价分析、现场勘察求证等形式采集、分析资料数据。</w:t>
      </w:r>
      <w:r>
        <w:rPr>
          <w:rFonts w:hint="default" w:ascii="仿宋_GB2312" w:hAnsi="Times New Roman" w:eastAsia="仿宋_GB2312" w:cs="仿宋_GB2312"/>
          <w:b w:val="0"/>
          <w:bCs w:val="0"/>
          <w:kern w:val="0"/>
          <w:sz w:val="32"/>
          <w:szCs w:val="32"/>
          <w:lang w:val="en-US" w:eastAsia="zh-CN" w:bidi="ar"/>
        </w:rPr>
        <w:t>主要根据项目</w:t>
      </w:r>
      <w:r>
        <w:rPr>
          <w:rFonts w:hint="eastAsia" w:ascii="仿宋_GB2312" w:hAnsi="Times New Roman" w:eastAsia="仿宋_GB2312" w:cs="仿宋_GB2312"/>
          <w:b w:val="0"/>
          <w:bCs w:val="0"/>
          <w:kern w:val="0"/>
          <w:sz w:val="32"/>
          <w:szCs w:val="32"/>
          <w:lang w:val="en-US" w:eastAsia="zh-CN" w:bidi="ar"/>
        </w:rPr>
        <w:t>立项申请资料、</w:t>
      </w:r>
      <w:r>
        <w:rPr>
          <w:rFonts w:hint="default" w:ascii="仿宋_GB2312" w:hAnsi="Times New Roman" w:eastAsia="仿宋_GB2312" w:cs="仿宋_GB2312"/>
          <w:b w:val="0"/>
          <w:bCs w:val="0"/>
          <w:kern w:val="0"/>
          <w:sz w:val="32"/>
          <w:szCs w:val="32"/>
          <w:lang w:val="en-US" w:eastAsia="zh-CN" w:bidi="ar"/>
        </w:rPr>
        <w:t>绩效目标表、</w:t>
      </w:r>
      <w:r>
        <w:rPr>
          <w:rFonts w:hint="eastAsia" w:ascii="仿宋_GB2312" w:hAnsi="Times New Roman" w:eastAsia="仿宋_GB2312" w:cs="仿宋_GB2312"/>
          <w:b w:val="0"/>
          <w:bCs w:val="0"/>
          <w:kern w:val="0"/>
          <w:sz w:val="32"/>
          <w:szCs w:val="32"/>
          <w:lang w:val="en-US" w:eastAsia="zh-CN" w:bidi="ar"/>
        </w:rPr>
        <w:t>自评表、相关账务、项目管理</w:t>
      </w:r>
      <w:r>
        <w:rPr>
          <w:rFonts w:hint="default" w:ascii="仿宋_GB2312" w:hAnsi="Times New Roman" w:eastAsia="仿宋_GB2312" w:cs="仿宋_GB2312"/>
          <w:b w:val="0"/>
          <w:bCs w:val="0"/>
          <w:kern w:val="0"/>
          <w:sz w:val="32"/>
          <w:szCs w:val="32"/>
          <w:lang w:val="en-US" w:eastAsia="zh-CN" w:bidi="ar"/>
        </w:rPr>
        <w:t>等资料，明确项目</w:t>
      </w:r>
      <w:r>
        <w:rPr>
          <w:rFonts w:hint="eastAsia" w:ascii="仿宋_GB2312" w:hAnsi="Times New Roman" w:eastAsia="仿宋_GB2312" w:cs="仿宋_GB2312"/>
          <w:b w:val="0"/>
          <w:bCs w:val="0"/>
          <w:kern w:val="0"/>
          <w:sz w:val="32"/>
          <w:szCs w:val="32"/>
          <w:lang w:val="en-US" w:eastAsia="zh-CN" w:bidi="ar"/>
        </w:rPr>
        <w:t>评价指标</w:t>
      </w:r>
      <w:r>
        <w:rPr>
          <w:rFonts w:hint="default" w:ascii="仿宋_GB2312" w:hAnsi="Times New Roman" w:eastAsia="仿宋_GB2312" w:cs="仿宋_GB2312"/>
          <w:b w:val="0"/>
          <w:bCs w:val="0"/>
          <w:kern w:val="0"/>
          <w:sz w:val="32"/>
          <w:szCs w:val="32"/>
          <w:lang w:val="en-US" w:eastAsia="zh-CN" w:bidi="ar"/>
        </w:rPr>
        <w:t>。</w:t>
      </w:r>
      <w:r>
        <w:rPr>
          <w:rFonts w:hint="eastAsia" w:ascii="仿宋_GB2312" w:hAnsi="Times New Roman" w:eastAsia="仿宋_GB2312" w:cs="仿宋_GB2312"/>
          <w:b w:val="0"/>
          <w:bCs w:val="0"/>
          <w:kern w:val="0"/>
          <w:sz w:val="32"/>
          <w:szCs w:val="32"/>
          <w:lang w:val="en-US" w:eastAsia="zh-CN" w:bidi="ar"/>
        </w:rPr>
        <w:t>先后开展3次座谈、4次访谈、2次问卷调查，取得有效调查问卷451份，获取了具有代表性与广泛性的数据，有力支撑了指标评分，实现客观科学评价。</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黑体" w:hAnsi="黑体" w:eastAsia="黑体" w:cs="黑体"/>
          <w:lang w:val="en-US" w:eastAsia="zh-CN"/>
        </w:rPr>
      </w:pPr>
      <w:r>
        <w:rPr>
          <w:rFonts w:hint="eastAsia" w:ascii="黑体" w:hAnsi="黑体" w:eastAsia="黑体" w:cs="黑体"/>
          <w:lang w:val="en-US" w:eastAsia="zh-CN"/>
        </w:rPr>
        <w:t>三、绩效评价结论</w:t>
      </w:r>
    </w:p>
    <w:p>
      <w:pPr>
        <w:adjustRightInd w:val="0"/>
        <w:snapToGrid w:val="0"/>
        <w:spacing w:line="600" w:lineRule="exact"/>
        <w:ind w:firstLine="640"/>
        <w:rPr>
          <w:rFonts w:hint="eastAsia" w:ascii="楷体" w:hAnsi="楷体" w:eastAsia="楷体" w:cs="楷体"/>
          <w:b w:val="0"/>
          <w:bCs w:val="0"/>
          <w:sz w:val="32"/>
          <w:szCs w:val="32"/>
          <w:lang w:eastAsia="zh-Hans"/>
        </w:rPr>
      </w:pPr>
      <w:r>
        <w:rPr>
          <w:rFonts w:hint="eastAsia" w:ascii="楷体" w:hAnsi="楷体" w:eastAsia="楷体" w:cs="楷体"/>
          <w:b w:val="0"/>
          <w:bCs w:val="0"/>
          <w:sz w:val="32"/>
          <w:szCs w:val="32"/>
          <w:lang w:eastAsia="zh-Hans"/>
        </w:rPr>
        <w:t>（一）总体结论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Times New Roman" w:hAnsi="Times New Roman" w:eastAsia="仿宋"/>
          <w:sz w:val="24"/>
          <w:szCs w:val="32"/>
          <w:lang w:val="en-US" w:eastAsia="zh-CN"/>
        </w:rPr>
      </w:pPr>
      <w:r>
        <w:rPr>
          <w:rFonts w:hint="eastAsia" w:ascii="仿宋" w:hAnsi="仿宋" w:eastAsia="仿宋" w:cs="仿宋"/>
          <w:b w:val="0"/>
          <w:bCs w:val="0"/>
          <w:sz w:val="32"/>
          <w:szCs w:val="32"/>
          <w:lang w:eastAsia="zh-Hans"/>
        </w:rPr>
        <w:t>2022年菏泽</w:t>
      </w:r>
      <w:r>
        <w:rPr>
          <w:rFonts w:hint="eastAsia" w:ascii="仿宋" w:hAnsi="仿宋" w:eastAsia="仿宋" w:cs="仿宋"/>
          <w:b w:val="0"/>
          <w:bCs w:val="0"/>
          <w:color w:val="000000"/>
          <w:sz w:val="32"/>
          <w:szCs w:val="32"/>
          <w:lang w:val="en-US" w:eastAsia="zh-CN"/>
        </w:rPr>
        <w:t>市</w:t>
      </w:r>
      <w:r>
        <w:rPr>
          <w:rFonts w:hint="eastAsia" w:ascii="仿宋_GB2312" w:eastAsia="仿宋_GB2312" w:cs="仿宋_GB2312"/>
          <w:kern w:val="0"/>
          <w:sz w:val="32"/>
          <w:szCs w:val="32"/>
          <w:lang w:val="en-US" w:eastAsia="zh-CN"/>
        </w:rPr>
        <w:t>国企委派财务总监及外部董事薪酬项目</w:t>
      </w:r>
      <w:r>
        <w:rPr>
          <w:rFonts w:hint="eastAsia" w:ascii="仿宋" w:hAnsi="仿宋" w:eastAsia="仿宋" w:cs="仿宋"/>
          <w:b w:val="0"/>
          <w:bCs w:val="0"/>
          <w:sz w:val="32"/>
          <w:szCs w:val="32"/>
          <w:lang w:eastAsia="zh-Hans"/>
        </w:rPr>
        <w:t>支出绩效评价最终得分</w:t>
      </w:r>
      <w:r>
        <w:rPr>
          <w:rFonts w:hint="eastAsia" w:ascii="仿宋" w:hAnsi="仿宋" w:eastAsia="仿宋" w:cs="仿宋"/>
          <w:b w:val="0"/>
          <w:bCs w:val="0"/>
          <w:sz w:val="32"/>
          <w:szCs w:val="32"/>
          <w:lang w:val="en-US" w:eastAsia="zh-CN"/>
        </w:rPr>
        <w:t>82.5</w:t>
      </w:r>
      <w:r>
        <w:rPr>
          <w:rFonts w:hint="eastAsia" w:ascii="仿宋" w:hAnsi="仿宋" w:eastAsia="仿宋" w:cs="仿宋"/>
          <w:b w:val="0"/>
          <w:bCs w:val="0"/>
          <w:sz w:val="32"/>
          <w:szCs w:val="32"/>
          <w:lang w:eastAsia="zh-Hans"/>
        </w:rPr>
        <w:t>分，等级为“良”。综合得分情况</w:t>
      </w:r>
      <w:r>
        <w:rPr>
          <w:rFonts w:hint="eastAsia" w:ascii="仿宋" w:hAnsi="仿宋" w:eastAsia="仿宋" w:cs="仿宋"/>
          <w:b w:val="0"/>
          <w:bCs w:val="0"/>
          <w:sz w:val="32"/>
          <w:szCs w:val="32"/>
          <w:lang w:eastAsia="zh-CN"/>
        </w:rPr>
        <w:t>如下：</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黑体"/>
          <w:sz w:val="24"/>
          <w:szCs w:val="32"/>
          <w:lang w:val="en-US" w:eastAsia="zh-CN"/>
        </w:rPr>
      </w:pPr>
      <w:r>
        <w:rPr>
          <w:rFonts w:hint="eastAsia" w:ascii="Times New Roman" w:hAnsi="Times New Roman" w:eastAsia="黑体"/>
          <w:sz w:val="24"/>
          <w:szCs w:val="32"/>
          <w:lang w:val="en-US" w:eastAsia="zh-CN"/>
        </w:rPr>
        <w:t>表1 项目综合绩效评价得分情况表</w:t>
      </w:r>
    </w:p>
    <w:tbl>
      <w:tblPr>
        <w:tblStyle w:val="11"/>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2127"/>
        <w:gridCol w:w="2069"/>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权重（%）</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评价得分</w:t>
            </w:r>
          </w:p>
        </w:tc>
        <w:tc>
          <w:tcPr>
            <w:tcW w:w="22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1.</w:t>
            </w:r>
            <w:r>
              <w:rPr>
                <w:rFonts w:hint="eastAsia" w:ascii="仿宋" w:hAnsi="仿宋" w:eastAsia="仿宋" w:cs="仿宋"/>
                <w:b w:val="0"/>
                <w:bCs w:val="0"/>
                <w:kern w:val="0"/>
                <w:sz w:val="30"/>
                <w:szCs w:val="30"/>
              </w:rPr>
              <w:t>决策</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15</w:t>
            </w:r>
          </w:p>
        </w:tc>
        <w:tc>
          <w:tcPr>
            <w:tcW w:w="20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CN" w:bidi="ar-SA"/>
              </w:rPr>
            </w:pPr>
            <w:r>
              <w:rPr>
                <w:rFonts w:hint="eastAsia" w:ascii="仿宋" w:hAnsi="仿宋" w:eastAsia="仿宋" w:cs="仿宋"/>
                <w:b w:val="0"/>
                <w:bCs w:val="0"/>
                <w:sz w:val="32"/>
                <w:szCs w:val="30"/>
                <w:lang w:val="en-US" w:eastAsia="zh-CN"/>
              </w:rPr>
              <w:t>12.5</w:t>
            </w:r>
          </w:p>
        </w:tc>
        <w:tc>
          <w:tcPr>
            <w:tcW w:w="22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Hans" w:bidi="ar-SA"/>
              </w:rPr>
            </w:pPr>
            <w:r>
              <w:rPr>
                <w:rFonts w:hint="eastAsia" w:ascii="仿宋" w:hAnsi="仿宋" w:eastAsia="仿宋" w:cs="仿宋"/>
                <w:b w:val="0"/>
                <w:bCs w:val="0"/>
                <w:sz w:val="32"/>
                <w:szCs w:val="30"/>
                <w:lang w:val="en-US" w:eastAsia="zh-CN"/>
              </w:rPr>
              <w:t>83.33</w:t>
            </w:r>
            <w:r>
              <w:rPr>
                <w:rFonts w:hint="eastAsia" w:ascii="仿宋" w:hAnsi="仿宋" w:eastAsia="仿宋" w:cs="仿宋"/>
                <w:b w:val="0"/>
                <w:bCs w:val="0"/>
                <w:sz w:val="32"/>
                <w:szCs w:val="30"/>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2.</w:t>
            </w:r>
            <w:r>
              <w:rPr>
                <w:rFonts w:hint="eastAsia" w:ascii="仿宋" w:hAnsi="仿宋" w:eastAsia="仿宋" w:cs="仿宋"/>
                <w:b w:val="0"/>
                <w:bCs w:val="0"/>
                <w:kern w:val="0"/>
                <w:sz w:val="30"/>
                <w:szCs w:val="30"/>
              </w:rPr>
              <w:t>过程</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20</w:t>
            </w:r>
          </w:p>
        </w:tc>
        <w:tc>
          <w:tcPr>
            <w:tcW w:w="20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CN" w:bidi="ar-SA"/>
              </w:rPr>
            </w:pPr>
            <w:r>
              <w:rPr>
                <w:rFonts w:hint="eastAsia" w:ascii="仿宋" w:hAnsi="仿宋" w:eastAsia="仿宋" w:cs="仿宋"/>
                <w:b w:val="0"/>
                <w:bCs w:val="0"/>
                <w:sz w:val="32"/>
                <w:szCs w:val="30"/>
                <w:lang w:val="en-US" w:eastAsia="zh-CN"/>
              </w:rPr>
              <w:t>15.5</w:t>
            </w:r>
          </w:p>
        </w:tc>
        <w:tc>
          <w:tcPr>
            <w:tcW w:w="22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Hans" w:bidi="ar-SA"/>
              </w:rPr>
            </w:pPr>
            <w:r>
              <w:rPr>
                <w:rFonts w:hint="eastAsia" w:ascii="仿宋" w:hAnsi="仿宋" w:eastAsia="仿宋" w:cs="仿宋"/>
                <w:b w:val="0"/>
                <w:bCs w:val="0"/>
                <w:sz w:val="32"/>
                <w:szCs w:val="30"/>
                <w:lang w:val="en-US" w:eastAsia="zh-CN"/>
              </w:rPr>
              <w:t>77.5</w:t>
            </w:r>
            <w:r>
              <w:rPr>
                <w:rFonts w:hint="eastAsia" w:ascii="仿宋" w:hAnsi="仿宋" w:eastAsia="仿宋" w:cs="仿宋"/>
                <w:b w:val="0"/>
                <w:bCs w:val="0"/>
                <w:sz w:val="32"/>
                <w:szCs w:val="30"/>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3.</w:t>
            </w:r>
            <w:r>
              <w:rPr>
                <w:rFonts w:hint="eastAsia" w:ascii="仿宋" w:hAnsi="仿宋" w:eastAsia="仿宋" w:cs="仿宋"/>
                <w:b w:val="0"/>
                <w:bCs w:val="0"/>
                <w:kern w:val="0"/>
                <w:sz w:val="30"/>
                <w:szCs w:val="30"/>
              </w:rPr>
              <w:t>产出</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35</w:t>
            </w:r>
          </w:p>
        </w:tc>
        <w:tc>
          <w:tcPr>
            <w:tcW w:w="20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CN" w:bidi="ar-SA"/>
              </w:rPr>
            </w:pPr>
            <w:r>
              <w:rPr>
                <w:rFonts w:hint="eastAsia" w:ascii="仿宋" w:hAnsi="仿宋" w:eastAsia="仿宋" w:cs="仿宋"/>
                <w:b w:val="0"/>
                <w:bCs w:val="0"/>
                <w:sz w:val="32"/>
                <w:szCs w:val="30"/>
                <w:lang w:val="en-US" w:eastAsia="zh-CN"/>
              </w:rPr>
              <w:t>33</w:t>
            </w:r>
          </w:p>
        </w:tc>
        <w:tc>
          <w:tcPr>
            <w:tcW w:w="22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Hans" w:bidi="ar-SA"/>
              </w:rPr>
            </w:pPr>
            <w:r>
              <w:rPr>
                <w:rFonts w:hint="eastAsia" w:ascii="仿宋" w:hAnsi="仿宋" w:eastAsia="仿宋" w:cs="仿宋"/>
                <w:b w:val="0"/>
                <w:bCs w:val="0"/>
                <w:sz w:val="32"/>
                <w:szCs w:val="30"/>
                <w:lang w:eastAsia="zh-Hans"/>
              </w:rPr>
              <w:t>9</w:t>
            </w:r>
            <w:r>
              <w:rPr>
                <w:rFonts w:hint="eastAsia" w:ascii="仿宋" w:hAnsi="仿宋" w:eastAsia="仿宋" w:cs="仿宋"/>
                <w:b w:val="0"/>
                <w:bCs w:val="0"/>
                <w:sz w:val="32"/>
                <w:szCs w:val="30"/>
                <w:lang w:val="en-US" w:eastAsia="zh-CN"/>
              </w:rPr>
              <w:t>4</w:t>
            </w:r>
            <w:r>
              <w:rPr>
                <w:rFonts w:hint="eastAsia" w:ascii="仿宋" w:hAnsi="仿宋" w:eastAsia="仿宋" w:cs="仿宋"/>
                <w:b w:val="0"/>
                <w:bCs w:val="0"/>
                <w:sz w:val="32"/>
                <w:szCs w:val="30"/>
                <w:lang w:eastAsia="zh-Hans"/>
              </w:rPr>
              <w:t>.</w:t>
            </w:r>
            <w:r>
              <w:rPr>
                <w:rFonts w:hint="eastAsia" w:ascii="仿宋" w:hAnsi="仿宋" w:eastAsia="仿宋" w:cs="仿宋"/>
                <w:b w:val="0"/>
                <w:bCs w:val="0"/>
                <w:sz w:val="32"/>
                <w:szCs w:val="30"/>
                <w:lang w:val="en-US" w:eastAsia="zh-CN"/>
              </w:rPr>
              <w:t>29</w:t>
            </w:r>
            <w:r>
              <w:rPr>
                <w:rFonts w:hint="eastAsia" w:ascii="仿宋" w:hAnsi="仿宋" w:eastAsia="仿宋" w:cs="仿宋"/>
                <w:b w:val="0"/>
                <w:bCs w:val="0"/>
                <w:sz w:val="32"/>
                <w:szCs w:val="30"/>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4.</w:t>
            </w:r>
            <w:r>
              <w:rPr>
                <w:rFonts w:hint="eastAsia" w:ascii="仿宋" w:hAnsi="仿宋" w:eastAsia="仿宋" w:cs="仿宋"/>
                <w:b w:val="0"/>
                <w:bCs w:val="0"/>
                <w:kern w:val="0"/>
                <w:sz w:val="30"/>
                <w:szCs w:val="30"/>
              </w:rPr>
              <w:t>效益</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30</w:t>
            </w:r>
          </w:p>
        </w:tc>
        <w:tc>
          <w:tcPr>
            <w:tcW w:w="20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CN" w:bidi="ar-SA"/>
              </w:rPr>
            </w:pPr>
            <w:r>
              <w:rPr>
                <w:rFonts w:hint="eastAsia" w:ascii="仿宋" w:hAnsi="仿宋" w:eastAsia="仿宋" w:cs="仿宋"/>
                <w:b w:val="0"/>
                <w:bCs w:val="0"/>
                <w:sz w:val="32"/>
                <w:szCs w:val="30"/>
                <w:lang w:val="en-US" w:eastAsia="zh-CN"/>
              </w:rPr>
              <w:t>21.5</w:t>
            </w:r>
          </w:p>
        </w:tc>
        <w:tc>
          <w:tcPr>
            <w:tcW w:w="22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Hans" w:bidi="ar-SA"/>
              </w:rPr>
            </w:pPr>
            <w:r>
              <w:rPr>
                <w:rFonts w:hint="eastAsia" w:ascii="仿宋" w:hAnsi="仿宋" w:eastAsia="仿宋" w:cs="仿宋"/>
                <w:b w:val="0"/>
                <w:bCs w:val="0"/>
                <w:sz w:val="32"/>
                <w:szCs w:val="30"/>
                <w:lang w:val="en-US" w:eastAsia="zh-CN"/>
              </w:rPr>
              <w:t>71.67</w:t>
            </w:r>
            <w:r>
              <w:rPr>
                <w:rFonts w:hint="eastAsia" w:ascii="仿宋" w:hAnsi="仿宋" w:eastAsia="仿宋" w:cs="仿宋"/>
                <w:b w:val="0"/>
                <w:bCs w:val="0"/>
                <w:sz w:val="32"/>
                <w:szCs w:val="30"/>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综合绩效</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100</w:t>
            </w:r>
          </w:p>
        </w:tc>
        <w:tc>
          <w:tcPr>
            <w:tcW w:w="20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CN" w:bidi="ar-SA"/>
              </w:rPr>
            </w:pPr>
            <w:r>
              <w:rPr>
                <w:rFonts w:hint="eastAsia" w:ascii="仿宋" w:hAnsi="仿宋" w:eastAsia="仿宋" w:cs="仿宋"/>
                <w:b w:val="0"/>
                <w:bCs w:val="0"/>
                <w:sz w:val="32"/>
                <w:szCs w:val="30"/>
                <w:lang w:eastAsia="zh-Hans"/>
              </w:rPr>
              <w:t>8</w:t>
            </w:r>
            <w:r>
              <w:rPr>
                <w:rFonts w:hint="eastAsia" w:ascii="仿宋" w:hAnsi="仿宋" w:eastAsia="仿宋" w:cs="仿宋"/>
                <w:b w:val="0"/>
                <w:bCs w:val="0"/>
                <w:sz w:val="32"/>
                <w:szCs w:val="30"/>
                <w:lang w:val="en-US" w:eastAsia="zh-CN"/>
              </w:rPr>
              <w:t>2.5</w:t>
            </w:r>
          </w:p>
        </w:tc>
        <w:tc>
          <w:tcPr>
            <w:tcW w:w="223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600" w:lineRule="exact"/>
              <w:ind w:firstLine="640" w:firstLineChars="0"/>
              <w:rPr>
                <w:rFonts w:hint="eastAsia" w:ascii="仿宋" w:hAnsi="仿宋" w:eastAsia="仿宋" w:cs="仿宋"/>
                <w:b w:val="0"/>
                <w:bCs w:val="0"/>
                <w:kern w:val="2"/>
                <w:sz w:val="32"/>
                <w:szCs w:val="30"/>
                <w:lang w:val="en-US" w:eastAsia="zh-Hans" w:bidi="ar-SA"/>
              </w:rPr>
            </w:pPr>
            <w:r>
              <w:rPr>
                <w:rFonts w:hint="eastAsia" w:ascii="仿宋" w:hAnsi="仿宋" w:eastAsia="仿宋" w:cs="仿宋"/>
                <w:b w:val="0"/>
                <w:bCs w:val="0"/>
                <w:sz w:val="32"/>
                <w:szCs w:val="30"/>
                <w:lang w:val="en-US" w:eastAsia="zh-CN"/>
              </w:rPr>
              <w:t>82.5</w:t>
            </w:r>
            <w:r>
              <w:rPr>
                <w:rFonts w:hint="eastAsia" w:ascii="仿宋" w:hAnsi="仿宋" w:eastAsia="仿宋" w:cs="仿宋"/>
                <w:b w:val="0"/>
                <w:bCs w:val="0"/>
                <w:sz w:val="32"/>
                <w:szCs w:val="30"/>
                <w:lang w:eastAsia="zh-Hans"/>
              </w:rPr>
              <w:t>%</w:t>
            </w:r>
          </w:p>
        </w:tc>
      </w:tr>
    </w:tbl>
    <w:p>
      <w:pPr>
        <w:adjustRightInd w:val="0"/>
        <w:snapToGrid w:val="0"/>
        <w:spacing w:line="600" w:lineRule="exact"/>
        <w:ind w:firstLine="640"/>
        <w:rPr>
          <w:rFonts w:hint="eastAsia" w:ascii="楷体" w:hAnsi="楷体" w:eastAsia="楷体" w:cs="楷体"/>
          <w:b w:val="0"/>
          <w:bCs w:val="0"/>
          <w:sz w:val="32"/>
          <w:szCs w:val="30"/>
          <w:lang w:eastAsia="zh-Hans"/>
        </w:rPr>
      </w:pPr>
      <w:r>
        <w:rPr>
          <w:rFonts w:hint="eastAsia" w:ascii="楷体" w:hAnsi="楷体" w:eastAsia="楷体" w:cs="楷体"/>
          <w:b w:val="0"/>
          <w:bCs w:val="0"/>
          <w:sz w:val="32"/>
          <w:szCs w:val="30"/>
          <w:lang w:eastAsia="zh-Hans"/>
        </w:rPr>
        <w:t>（二）成本效益分析</w:t>
      </w:r>
    </w:p>
    <w:p>
      <w:pPr>
        <w:adjustRightInd w:val="0"/>
        <w:snapToGrid w:val="0"/>
        <w:spacing w:line="600" w:lineRule="exact"/>
        <w:ind w:firstLine="640"/>
        <w:rPr>
          <w:rFonts w:hint="eastAsia" w:ascii="仿宋" w:hAnsi="仿宋" w:eastAsia="仿宋" w:cs="仿宋"/>
          <w:b/>
          <w:bCs/>
          <w:sz w:val="32"/>
          <w:szCs w:val="30"/>
          <w:lang w:eastAsia="zh-Hans"/>
        </w:rPr>
      </w:pPr>
      <w:r>
        <w:rPr>
          <w:rFonts w:hint="eastAsia" w:ascii="仿宋" w:hAnsi="仿宋" w:eastAsia="仿宋" w:cs="仿宋"/>
          <w:b/>
          <w:bCs/>
          <w:sz w:val="32"/>
          <w:szCs w:val="30"/>
          <w:lang w:eastAsia="zh-Hans"/>
        </w:rPr>
        <w:t>1.产出分析</w:t>
      </w:r>
    </w:p>
    <w:p>
      <w:pPr>
        <w:adjustRightInd w:val="0"/>
        <w:snapToGrid w:val="0"/>
        <w:spacing w:line="600" w:lineRule="exact"/>
        <w:ind w:firstLine="640"/>
        <w:rPr>
          <w:rFonts w:hint="eastAsia" w:ascii="仿宋" w:hAnsi="仿宋" w:eastAsia="仿宋" w:cs="仿宋"/>
          <w:b w:val="0"/>
          <w:bCs w:val="0"/>
          <w:sz w:val="32"/>
          <w:szCs w:val="30"/>
          <w:lang w:eastAsia="zh-Hans"/>
        </w:rPr>
      </w:pPr>
      <w:r>
        <w:rPr>
          <w:rFonts w:hint="eastAsia" w:ascii="仿宋" w:hAnsi="仿宋" w:eastAsia="仿宋" w:cs="仿宋"/>
          <w:b w:val="0"/>
          <w:bCs w:val="0"/>
          <w:sz w:val="32"/>
          <w:szCs w:val="30"/>
          <w:lang w:eastAsia="zh-Hans"/>
        </w:rPr>
        <w:t>截至2022年12月31日，</w:t>
      </w:r>
      <w:r>
        <w:rPr>
          <w:rFonts w:hint="eastAsia" w:ascii="仿宋" w:hAnsi="仿宋" w:eastAsia="仿宋" w:cs="仿宋"/>
          <w:b w:val="0"/>
          <w:bCs w:val="0"/>
          <w:sz w:val="32"/>
          <w:szCs w:val="30"/>
          <w:lang w:eastAsia="zh-CN"/>
        </w:rPr>
        <w:t>实际</w:t>
      </w:r>
      <w:r>
        <w:rPr>
          <w:rFonts w:hint="eastAsia" w:ascii="仿宋" w:hAnsi="仿宋" w:eastAsia="仿宋" w:cs="仿宋"/>
          <w:b w:val="0"/>
          <w:bCs w:val="0"/>
          <w:sz w:val="32"/>
          <w:szCs w:val="30"/>
          <w:lang w:val="en-US" w:eastAsia="zh-CN"/>
        </w:rPr>
        <w:t>到位财务总监及外部董事26人，服务菏泽市14家国企</w:t>
      </w:r>
      <w:r>
        <w:rPr>
          <w:rFonts w:hint="eastAsia" w:ascii="仿宋" w:hAnsi="仿宋" w:eastAsia="仿宋" w:cs="仿宋"/>
          <w:b w:val="0"/>
          <w:bCs w:val="0"/>
          <w:sz w:val="32"/>
          <w:szCs w:val="30"/>
          <w:lang w:eastAsia="zh-Hans"/>
        </w:rPr>
        <w:t>。</w:t>
      </w:r>
    </w:p>
    <w:p>
      <w:pPr>
        <w:adjustRightInd w:val="0"/>
        <w:snapToGrid w:val="0"/>
        <w:spacing w:line="600" w:lineRule="exact"/>
        <w:ind w:firstLine="640"/>
        <w:rPr>
          <w:rFonts w:hint="eastAsia" w:ascii="仿宋" w:hAnsi="仿宋" w:eastAsia="仿宋" w:cs="仿宋"/>
          <w:b/>
          <w:bCs/>
          <w:sz w:val="32"/>
          <w:szCs w:val="30"/>
          <w:lang w:val="en-US" w:eastAsia="zh-CN"/>
        </w:rPr>
      </w:pPr>
      <w:r>
        <w:rPr>
          <w:rFonts w:hint="eastAsia" w:ascii="仿宋" w:hAnsi="仿宋" w:eastAsia="仿宋" w:cs="仿宋"/>
          <w:b/>
          <w:bCs/>
          <w:sz w:val="32"/>
          <w:szCs w:val="30"/>
          <w:lang w:val="en-US" w:eastAsia="zh-CN"/>
        </w:rPr>
        <w:t>2.</w:t>
      </w:r>
      <w:r>
        <w:rPr>
          <w:rFonts w:hint="eastAsia" w:ascii="仿宋" w:hAnsi="仿宋" w:eastAsia="仿宋" w:cs="仿宋"/>
          <w:b/>
          <w:bCs/>
          <w:sz w:val="32"/>
          <w:szCs w:val="30"/>
          <w:lang w:eastAsia="zh-Hans"/>
        </w:rPr>
        <w:t>成本效益分析</w:t>
      </w:r>
    </w:p>
    <w:p>
      <w:pPr>
        <w:adjustRightInd w:val="0"/>
        <w:snapToGrid w:val="0"/>
        <w:spacing w:line="600" w:lineRule="exact"/>
        <w:ind w:firstLine="640"/>
        <w:rPr>
          <w:rFonts w:hint="eastAsia" w:ascii="仿宋" w:hAnsi="仿宋" w:eastAsia="仿宋" w:cs="仿宋"/>
          <w:sz w:val="32"/>
          <w:szCs w:val="32"/>
          <w:lang w:eastAsia="zh-CN"/>
        </w:rPr>
      </w:pPr>
      <w:r>
        <w:rPr>
          <w:rFonts w:hint="eastAsia" w:ascii="仿宋" w:hAnsi="仿宋" w:eastAsia="仿宋" w:cs="仿宋"/>
          <w:b w:val="0"/>
          <w:bCs w:val="0"/>
          <w:sz w:val="32"/>
          <w:szCs w:val="30"/>
          <w:lang w:eastAsia="zh-CN"/>
        </w:rPr>
        <w:t>项目支出严格按照支出标准控制，薪酬发放执行菏泽市规定的发放标准，未超出工资成本控制，成本控制率为</w:t>
      </w:r>
      <w:r>
        <w:rPr>
          <w:rFonts w:hint="eastAsia" w:ascii="仿宋" w:hAnsi="仿宋" w:eastAsia="仿宋" w:cs="仿宋"/>
          <w:b w:val="0"/>
          <w:bCs w:val="0"/>
          <w:sz w:val="32"/>
          <w:szCs w:val="30"/>
          <w:lang w:val="en-US" w:eastAsia="zh-CN"/>
        </w:rPr>
        <w:t>100%。且</w:t>
      </w:r>
      <w:r>
        <w:rPr>
          <w:rFonts w:hint="eastAsia" w:ascii="仿宋" w:hAnsi="仿宋" w:eastAsia="仿宋" w:cs="仿宋"/>
          <w:sz w:val="32"/>
          <w:szCs w:val="32"/>
          <w:lang w:eastAsia="zh-CN"/>
        </w:rPr>
        <w:t>委派人员数达到最大限度控制，每名财务总监在</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个国企集团任职，同时兼任任职国企的外部董事；每名专职外部董事同时在</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个国企集团任职；每名兼职外部董事同时在</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个国企集团任职。从委派人员数量上看，遵循了最大化节约成本的原则。</w:t>
      </w:r>
    </w:p>
    <w:p>
      <w:pPr>
        <w:adjustRightInd w:val="0"/>
        <w:snapToGrid w:val="0"/>
        <w:spacing w:line="600" w:lineRule="exact"/>
        <w:ind w:firstLine="640"/>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项目形成了较完善的财务总监和外部董事管理体制、国资国企监管体制，委派财务总监和外部董事尽力发挥工作效能，但是由于委派到位人数不足，工作责任和工作强度相对较大，社会效益指标得分率为80%，可持续影响指标得分率为70%，政府相关管理部门及服务对象满意度分别为87.07%、84.97%。</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四、项目主要绩效、存在问题及原因分析</w:t>
      </w:r>
    </w:p>
    <w:p>
      <w:pPr>
        <w:pStyle w:val="10"/>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（一）项目主要绩效</w:t>
      </w:r>
    </w:p>
    <w:p>
      <w:pPr>
        <w:pStyle w:val="9"/>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项目单位通过加强管理制度建设、管理体制建设，形成了较完善的监督、考核、管理体系。</w:t>
      </w:r>
      <w:r>
        <w:rPr>
          <w:rFonts w:hint="eastAsia" w:ascii="仿宋" w:hAnsi="仿宋" w:eastAsia="仿宋" w:cs="仿宋"/>
          <w:sz w:val="32"/>
          <w:szCs w:val="32"/>
          <w:lang w:val="en-US" w:eastAsia="zh-CN"/>
        </w:rPr>
        <w:t>2022年，菏泽市国资委制订</w:t>
      </w:r>
      <w:r>
        <w:rPr>
          <w:rFonts w:hint="eastAsia" w:ascii="仿宋" w:hAnsi="仿宋" w:eastAsia="仿宋" w:cs="仿宋"/>
          <w:sz w:val="32"/>
          <w:szCs w:val="32"/>
          <w:lang w:eastAsia="zh-CN"/>
        </w:rPr>
        <w:t>了菏泽市市属企业财务总监管理办法、外部董事管理办法、财务总监薪酬管理办法、外部董事薪酬管理办法、日常管理细则、财务总监工作报告管理办法、财务总监履职考核办法、董事考核办法，以及关于规范外部董事、财务总监劳动关系管理的通知、关于设立委派财务总监、外部董事党支部的通知等管理制度和工作举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出台了关于建立市属国有企业外部董事人才库和财务总监人才库的通知，以提升后备人才保障。但是，由于我市相关人才储备有限，实际选拔出的委派人员数量尚不能满足工作需要。市属国企配合项目实施情况也有待提高，虽然国资委在委派财务总监和外部董事前，严格落实组织实施流程，印发了委派的通知，并进行了组织发动，但是由于财务总监、外部董事与国企，属于监管和被监管的关系，短时间内无法做到完全相互理解和包容、支持，工作配合的流程也需要进一步理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（二）存在问题及原因分析</w:t>
      </w:r>
    </w:p>
    <w:p>
      <w:pPr>
        <w:adjustRightInd w:val="0"/>
        <w:snapToGrid w:val="0"/>
        <w:spacing w:line="600" w:lineRule="exact"/>
        <w:ind w:firstLine="640"/>
        <w:rPr>
          <w:rFonts w:hint="eastAsia" w:ascii="仿宋" w:hAnsi="仿宋" w:eastAsia="仿宋" w:cs="仿宋"/>
          <w:b/>
          <w:bCs/>
          <w:sz w:val="32"/>
          <w:szCs w:val="30"/>
          <w:lang w:eastAsia="zh-CN"/>
        </w:rPr>
      </w:pPr>
      <w:r>
        <w:rPr>
          <w:rFonts w:hint="eastAsia" w:ascii="仿宋" w:hAnsi="仿宋" w:eastAsia="仿宋" w:cs="仿宋"/>
          <w:b/>
          <w:bCs/>
          <w:sz w:val="32"/>
          <w:szCs w:val="30"/>
          <w:lang w:val="en-US" w:eastAsia="zh-CN"/>
        </w:rPr>
        <w:t>1.</w:t>
      </w:r>
      <w:r>
        <w:rPr>
          <w:rFonts w:hint="eastAsia" w:ascii="仿宋" w:hAnsi="仿宋" w:eastAsia="仿宋" w:cs="仿宋"/>
          <w:b/>
          <w:bCs/>
          <w:sz w:val="32"/>
          <w:szCs w:val="30"/>
          <w:lang w:eastAsia="zh-Hans"/>
        </w:rPr>
        <w:t>项目</w:t>
      </w:r>
      <w:r>
        <w:rPr>
          <w:rFonts w:hint="eastAsia" w:ascii="仿宋" w:hAnsi="仿宋" w:eastAsia="仿宋" w:cs="仿宋"/>
          <w:b/>
          <w:bCs/>
          <w:sz w:val="32"/>
          <w:szCs w:val="30"/>
          <w:lang w:eastAsia="zh-CN"/>
        </w:rPr>
        <w:t>目标规划不够明确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0"/>
          <w:lang w:eastAsia="zh-CN"/>
        </w:rPr>
      </w:pPr>
      <w:r>
        <w:rPr>
          <w:rFonts w:hint="eastAsia" w:ascii="仿宋" w:hAnsi="仿宋" w:eastAsia="仿宋" w:cs="仿宋"/>
          <w:b w:val="0"/>
          <w:bCs w:val="0"/>
          <w:sz w:val="32"/>
          <w:szCs w:val="30"/>
          <w:lang w:eastAsia="zh-CN"/>
        </w:rPr>
        <w:t>项目目标年度计划不清晰，导致绩效目标产出数量（21人）与申请项目资金量（按委派28人申请资金）不匹配。可持续发展影响指标不够明确，较难衡量。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0"/>
          <w:lang w:eastAsia="zh-CN"/>
        </w:rPr>
      </w:pPr>
      <w:r>
        <w:rPr>
          <w:rFonts w:hint="eastAsia" w:ascii="仿宋" w:hAnsi="仿宋" w:eastAsia="仿宋" w:cs="仿宋"/>
          <w:b/>
          <w:bCs/>
          <w:sz w:val="32"/>
          <w:szCs w:val="30"/>
          <w:lang w:val="en-US" w:eastAsia="zh-CN"/>
        </w:rPr>
        <w:t>2.</w:t>
      </w:r>
      <w:r>
        <w:rPr>
          <w:rFonts w:hint="eastAsia" w:ascii="仿宋" w:hAnsi="仿宋" w:eastAsia="仿宋" w:cs="仿宋"/>
          <w:b/>
          <w:bCs/>
          <w:sz w:val="32"/>
          <w:szCs w:val="30"/>
          <w:lang w:eastAsia="zh-Hans"/>
        </w:rPr>
        <w:t>项目</w:t>
      </w:r>
      <w:r>
        <w:rPr>
          <w:rFonts w:hint="eastAsia" w:ascii="仿宋" w:hAnsi="仿宋" w:eastAsia="仿宋" w:cs="仿宋"/>
          <w:b/>
          <w:bCs/>
          <w:sz w:val="32"/>
          <w:szCs w:val="30"/>
          <w:lang w:eastAsia="zh-CN"/>
        </w:rPr>
        <w:t>过程管理有待加强</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val="zh-CN" w:eastAsia="zh-Hans"/>
        </w:rPr>
      </w:pPr>
      <w:r>
        <w:rPr>
          <w:rFonts w:hint="eastAsia" w:ascii="仿宋" w:hAnsi="仿宋" w:eastAsia="仿宋" w:cs="仿宋"/>
          <w:b w:val="0"/>
          <w:bCs w:val="0"/>
          <w:sz w:val="32"/>
          <w:szCs w:val="30"/>
          <w:lang w:val="zh-CN" w:eastAsia="zh-Hans"/>
        </w:rPr>
        <w:t>首先，资金管理需加强。因未充分考虑到2022年实际委派到位人数与项目预期总目标的差异，导致预算执行率偏低；因资金管理严谨性不足，往来款频繁，存在部分管理风险。</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zh-CN" w:eastAsia="zh-Hans"/>
        </w:rPr>
        <w:t>其次，组织实施过程中管理有效性不足。管理制度有待进一步细化、修订和完善，制度制订的有效性需要提升，财务总监工作报告管理办法未及时建立配套制度，财务总监管理办法与考核办法在考核内容和考核措施上存在一些出入。</w:t>
      </w:r>
      <w:r>
        <w:rPr>
          <w:rFonts w:hint="eastAsia" w:ascii="仿宋" w:hAnsi="仿宋" w:eastAsia="仿宋" w:cs="仿宋"/>
          <w:b w:val="0"/>
          <w:bCs w:val="0"/>
          <w:sz w:val="32"/>
          <w:szCs w:val="3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bCs/>
          <w:sz w:val="32"/>
          <w:szCs w:val="30"/>
          <w:lang w:eastAsia="zh-CN"/>
        </w:rPr>
      </w:pPr>
      <w:r>
        <w:rPr>
          <w:rFonts w:hint="eastAsia" w:ascii="仿宋" w:hAnsi="仿宋" w:eastAsia="仿宋" w:cs="仿宋"/>
          <w:b/>
          <w:bCs/>
          <w:sz w:val="32"/>
          <w:szCs w:val="30"/>
          <w:lang w:val="en-US" w:eastAsia="zh-CN"/>
        </w:rPr>
        <w:t>3.</w:t>
      </w:r>
      <w:r>
        <w:rPr>
          <w:rFonts w:hint="eastAsia" w:ascii="仿宋" w:hAnsi="仿宋" w:eastAsia="仿宋" w:cs="仿宋"/>
          <w:b/>
          <w:bCs/>
          <w:sz w:val="32"/>
          <w:szCs w:val="30"/>
          <w:lang w:eastAsia="zh-CN"/>
        </w:rPr>
        <w:t>实际委派人数未达到预期</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eastAsia="zh-CN"/>
        </w:rPr>
      </w:pPr>
      <w:r>
        <w:rPr>
          <w:rFonts w:hint="eastAsia" w:ascii="仿宋" w:hAnsi="仿宋" w:eastAsia="仿宋" w:cs="仿宋"/>
          <w:b w:val="0"/>
          <w:bCs w:val="0"/>
          <w:sz w:val="32"/>
          <w:szCs w:val="30"/>
          <w:lang w:eastAsia="zh-CN"/>
        </w:rPr>
        <w:t>因未充分预计菏泽市相关管理人才储备现状，截止2022年12月，符合条件的财务总监和外部董事委派人数，未达到预期计划，人员到位率为92.86%。</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bCs/>
          <w:sz w:val="32"/>
          <w:szCs w:val="30"/>
          <w:lang w:eastAsia="zh-CN"/>
        </w:rPr>
      </w:pPr>
      <w:r>
        <w:rPr>
          <w:rFonts w:hint="eastAsia" w:ascii="仿宋" w:hAnsi="仿宋" w:eastAsia="仿宋" w:cs="仿宋"/>
          <w:b/>
          <w:bCs/>
          <w:sz w:val="32"/>
          <w:szCs w:val="30"/>
          <w:lang w:val="en-US" w:eastAsia="zh-CN"/>
        </w:rPr>
        <w:t>4.</w:t>
      </w:r>
      <w:r>
        <w:rPr>
          <w:rFonts w:hint="eastAsia" w:ascii="仿宋" w:hAnsi="仿宋" w:eastAsia="仿宋" w:cs="仿宋"/>
          <w:b/>
          <w:bCs/>
          <w:sz w:val="32"/>
          <w:szCs w:val="30"/>
          <w:lang w:eastAsia="zh-Hans"/>
        </w:rPr>
        <w:t>项目效益</w:t>
      </w:r>
      <w:r>
        <w:rPr>
          <w:rFonts w:hint="eastAsia" w:ascii="仿宋" w:hAnsi="仿宋" w:eastAsia="仿宋" w:cs="仿宋"/>
          <w:b/>
          <w:bCs/>
          <w:sz w:val="32"/>
          <w:szCs w:val="30"/>
          <w:lang w:eastAsia="zh-CN"/>
        </w:rPr>
        <w:t>有待提升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一是项目在形成完善的财务总监和外部董事管理体制、国资国企监管体制方面，均需进一步加强，以提升社会效益。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二是可持续影响因素需要提升。后备人才保障不足，存在地方人才储备有限的瓶颈制约。企业对委派财务总监和外部董事的工作配合度需要进一步提高。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三是政府管理部门及服务对象满意度分别为87.07%、84.97%，均有待进一步提高。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五、有关建议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楷体"/>
          <w:b w:val="0"/>
          <w:bCs w:val="0"/>
          <w:sz w:val="32"/>
          <w:szCs w:val="30"/>
          <w:lang w:eastAsia="zh-CN"/>
        </w:rPr>
      </w:pPr>
      <w:r>
        <w:rPr>
          <w:rFonts w:hint="eastAsia" w:ascii="楷体" w:hAnsi="楷体" w:eastAsia="楷体" w:cs="楷体"/>
          <w:b w:val="0"/>
          <w:bCs w:val="0"/>
          <w:sz w:val="32"/>
          <w:szCs w:val="30"/>
          <w:lang w:eastAsia="zh-Hans"/>
        </w:rPr>
        <w:t>（一）</w:t>
      </w:r>
      <w:r>
        <w:rPr>
          <w:rFonts w:hint="eastAsia" w:ascii="楷体" w:hAnsi="楷体" w:eastAsia="楷体" w:cs="楷体"/>
          <w:b w:val="0"/>
          <w:bCs w:val="0"/>
          <w:sz w:val="32"/>
          <w:szCs w:val="30"/>
          <w:lang w:eastAsia="zh-CN"/>
        </w:rPr>
        <w:t>制定清晰的年度计划，强化绩效目标管理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eastAsia="zh-CN"/>
        </w:rPr>
      </w:pPr>
      <w:r>
        <w:rPr>
          <w:rFonts w:hint="eastAsia" w:ascii="仿宋" w:hAnsi="仿宋" w:eastAsia="仿宋" w:cs="仿宋"/>
          <w:b w:val="0"/>
          <w:bCs w:val="0"/>
          <w:sz w:val="32"/>
          <w:szCs w:val="30"/>
          <w:lang w:eastAsia="zh-Hans"/>
        </w:rPr>
        <w:t>建议项目单位进一步改进和细化、完善项目绩效目标，使目标与实际情况相匹配，各项指标更加明确、清晰、可衡量。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640" w:leftChars="0"/>
        <w:textAlignment w:val="auto"/>
        <w:rPr>
          <w:rFonts w:hint="eastAsia" w:ascii="楷体" w:hAnsi="楷体" w:eastAsia="楷体" w:cs="楷体"/>
          <w:b w:val="0"/>
          <w:bCs w:val="0"/>
          <w:sz w:val="32"/>
          <w:szCs w:val="30"/>
          <w:lang w:eastAsia="zh-CN"/>
        </w:rPr>
      </w:pPr>
      <w:r>
        <w:rPr>
          <w:rFonts w:hint="eastAsia" w:ascii="楷体" w:hAnsi="楷体" w:eastAsia="楷体" w:cs="楷体"/>
          <w:b w:val="0"/>
          <w:bCs w:val="0"/>
          <w:sz w:val="32"/>
          <w:szCs w:val="30"/>
          <w:lang w:eastAsia="zh-CN"/>
        </w:rPr>
        <w:t>（二）进一步加强</w:t>
      </w:r>
      <w:r>
        <w:rPr>
          <w:rFonts w:hint="eastAsia" w:ascii="楷体" w:hAnsi="楷体" w:eastAsia="楷体" w:cs="楷体"/>
          <w:b w:val="0"/>
          <w:bCs w:val="0"/>
          <w:sz w:val="32"/>
          <w:szCs w:val="30"/>
          <w:lang w:eastAsia="zh-Hans"/>
        </w:rPr>
        <w:t>项目过程</w:t>
      </w:r>
      <w:r>
        <w:rPr>
          <w:rFonts w:hint="eastAsia" w:ascii="楷体" w:hAnsi="楷体" w:eastAsia="楷体" w:cs="楷体"/>
          <w:b w:val="0"/>
          <w:bCs w:val="0"/>
          <w:sz w:val="32"/>
          <w:szCs w:val="30"/>
          <w:lang w:eastAsia="zh-CN"/>
        </w:rPr>
        <w:t>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eastAsia="zh-CN"/>
        </w:rPr>
      </w:pPr>
      <w:r>
        <w:rPr>
          <w:rFonts w:hint="eastAsia" w:ascii="仿宋" w:hAnsi="仿宋" w:eastAsia="仿宋" w:cs="仿宋"/>
          <w:b w:val="0"/>
          <w:bCs w:val="0"/>
          <w:sz w:val="32"/>
          <w:szCs w:val="30"/>
          <w:lang w:eastAsia="zh-CN"/>
        </w:rPr>
        <w:t>首先，建议进一步加强项目资金管理，强化预算管理的科学性，并严格按照预算批复用途支出，避免因往来款较多引发资金管理风险。</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eastAsia="zh-CN"/>
        </w:rPr>
      </w:pPr>
      <w:r>
        <w:rPr>
          <w:rFonts w:hint="eastAsia" w:ascii="仿宋" w:hAnsi="仿宋" w:eastAsia="仿宋" w:cs="仿宋"/>
          <w:b w:val="0"/>
          <w:bCs w:val="0"/>
          <w:sz w:val="32"/>
          <w:szCs w:val="30"/>
          <w:lang w:eastAsia="zh-CN"/>
        </w:rPr>
        <w:t>其次，建议进一步细化、修订和完善相关管理制度，及时制订出财务总监工作报告管理办法的配套制度。同时，确保管理办法与考核办法的科学性，及前后一致性，提升制度的张力和制订的有效性。</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楷体" w:hAnsi="楷体" w:eastAsia="楷体" w:cs="楷体"/>
          <w:b w:val="0"/>
          <w:bCs w:val="0"/>
          <w:sz w:val="32"/>
          <w:szCs w:val="30"/>
          <w:lang w:eastAsia="zh-CN"/>
        </w:rPr>
      </w:pPr>
      <w:r>
        <w:rPr>
          <w:rFonts w:hint="eastAsia" w:ascii="楷体" w:hAnsi="楷体" w:eastAsia="楷体" w:cs="楷体"/>
          <w:b w:val="0"/>
          <w:bCs w:val="0"/>
          <w:sz w:val="32"/>
          <w:szCs w:val="30"/>
          <w:lang w:eastAsia="zh-Hans"/>
        </w:rPr>
        <w:t>（三）</w:t>
      </w:r>
      <w:r>
        <w:rPr>
          <w:rFonts w:hint="eastAsia" w:ascii="楷体" w:hAnsi="楷体" w:eastAsia="楷体" w:cs="楷体"/>
          <w:b w:val="0"/>
          <w:bCs w:val="0"/>
          <w:sz w:val="32"/>
          <w:szCs w:val="30"/>
          <w:lang w:eastAsia="zh-CN"/>
        </w:rPr>
        <w:t>确保</w:t>
      </w:r>
      <w:r>
        <w:rPr>
          <w:rFonts w:hint="eastAsia" w:ascii="楷体" w:hAnsi="楷体" w:eastAsia="楷体" w:cs="楷体"/>
          <w:b w:val="0"/>
          <w:bCs w:val="0"/>
          <w:sz w:val="32"/>
          <w:szCs w:val="30"/>
          <w:lang w:eastAsia="zh-Hans"/>
        </w:rPr>
        <w:t>项目产出</w:t>
      </w:r>
      <w:r>
        <w:rPr>
          <w:rFonts w:hint="eastAsia" w:ascii="楷体" w:hAnsi="楷体" w:eastAsia="楷体" w:cs="楷体"/>
          <w:b w:val="0"/>
          <w:bCs w:val="0"/>
          <w:sz w:val="32"/>
          <w:szCs w:val="30"/>
          <w:lang w:eastAsia="zh-CN"/>
        </w:rPr>
        <w:t>满足实际需求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eastAsia="zh-Hans"/>
        </w:rPr>
      </w:pPr>
      <w:r>
        <w:rPr>
          <w:rFonts w:hint="eastAsia" w:ascii="仿宋" w:hAnsi="仿宋" w:eastAsia="仿宋" w:cs="仿宋"/>
          <w:b w:val="0"/>
          <w:bCs w:val="0"/>
          <w:sz w:val="32"/>
          <w:szCs w:val="30"/>
          <w:lang w:eastAsia="zh-Hans"/>
        </w:rPr>
        <w:t>建议进一步加强委派财务总监和外部董事队伍建设，确保人才队伍稳定、素质不断提升，委派人数计划执行到位，满足工作需求。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640" w:leftChars="0"/>
        <w:textAlignment w:val="auto"/>
        <w:rPr>
          <w:rFonts w:hint="eastAsia" w:ascii="楷体" w:hAnsi="楷体" w:eastAsia="楷体" w:cs="楷体"/>
          <w:b w:val="0"/>
          <w:bCs w:val="0"/>
          <w:sz w:val="32"/>
          <w:szCs w:val="30"/>
          <w:lang w:eastAsia="zh-Hans"/>
        </w:rPr>
      </w:pPr>
      <w:r>
        <w:rPr>
          <w:rFonts w:hint="eastAsia" w:ascii="楷体" w:hAnsi="楷体" w:eastAsia="楷体" w:cs="楷体"/>
          <w:b w:val="0"/>
          <w:bCs w:val="0"/>
          <w:sz w:val="32"/>
          <w:szCs w:val="30"/>
          <w:lang w:eastAsia="zh-CN"/>
        </w:rPr>
        <w:t>（四）进一步提升</w:t>
      </w:r>
      <w:r>
        <w:rPr>
          <w:rFonts w:hint="eastAsia" w:ascii="楷体" w:hAnsi="楷体" w:eastAsia="楷体" w:cs="楷体"/>
          <w:b w:val="0"/>
          <w:bCs w:val="0"/>
          <w:sz w:val="32"/>
          <w:szCs w:val="30"/>
          <w:lang w:eastAsia="zh-Hans"/>
        </w:rPr>
        <w:t>项目效益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一</w:t>
      </w:r>
      <w:r>
        <w:rPr>
          <w:rFonts w:hint="eastAsia" w:ascii="仿宋" w:hAnsi="仿宋" w:eastAsia="仿宋" w:cs="仿宋"/>
          <w:b/>
          <w:bCs/>
          <w:sz w:val="32"/>
          <w:szCs w:val="30"/>
          <w:lang w:val="en-US" w:eastAsia="zh-CN"/>
        </w:rPr>
        <w:t>是</w:t>
      </w:r>
      <w:r>
        <w:rPr>
          <w:rFonts w:hint="eastAsia" w:ascii="仿宋" w:hAnsi="仿宋" w:eastAsia="仿宋" w:cs="仿宋"/>
          <w:b w:val="0"/>
          <w:bCs w:val="0"/>
          <w:sz w:val="32"/>
          <w:szCs w:val="30"/>
          <w:lang w:val="en-US" w:eastAsia="zh-CN"/>
        </w:rPr>
        <w:t>建议修订并完善考核指标体系，进一步提升财务总监和外部董事履职效能。同时，规范企业与委派财务总监、外部董事的沟通机制，确保沟通协调畅通，最大化发挥委派财务总监、外部董事作用。最终形</w:t>
      </w:r>
      <w:bookmarkStart w:id="0" w:name="_GoBack"/>
      <w:bookmarkEnd w:id="0"/>
      <w:r>
        <w:rPr>
          <w:rFonts w:hint="eastAsia" w:ascii="仿宋" w:hAnsi="仿宋" w:eastAsia="仿宋" w:cs="仿宋"/>
          <w:b w:val="0"/>
          <w:bCs w:val="0"/>
          <w:sz w:val="32"/>
          <w:szCs w:val="30"/>
          <w:lang w:val="en-US" w:eastAsia="zh-CN"/>
        </w:rPr>
        <w:t>成完善的财务总监和外部董监管体制、国资国企监管体制。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val="en-US" w:eastAsia="zh-CN"/>
        </w:rPr>
      </w:pPr>
      <w:r>
        <w:rPr>
          <w:rFonts w:hint="eastAsia" w:ascii="仿宋" w:hAnsi="仿宋" w:eastAsia="仿宋" w:cs="仿宋"/>
          <w:b w:val="0"/>
          <w:bCs w:val="0"/>
          <w:sz w:val="32"/>
          <w:szCs w:val="30"/>
          <w:lang w:val="en-US" w:eastAsia="zh-CN"/>
        </w:rPr>
        <w:t>二</w:t>
      </w:r>
      <w:r>
        <w:rPr>
          <w:rFonts w:hint="eastAsia" w:ascii="仿宋" w:hAnsi="仿宋" w:eastAsia="仿宋" w:cs="仿宋"/>
          <w:b/>
          <w:bCs/>
          <w:sz w:val="32"/>
          <w:szCs w:val="30"/>
          <w:lang w:val="en-US" w:eastAsia="zh-CN"/>
        </w:rPr>
        <w:t>是</w:t>
      </w:r>
      <w:r>
        <w:rPr>
          <w:rFonts w:hint="eastAsia" w:ascii="仿宋" w:hAnsi="仿宋" w:eastAsia="仿宋" w:cs="仿宋"/>
          <w:b w:val="0"/>
          <w:bCs w:val="0"/>
          <w:sz w:val="32"/>
          <w:szCs w:val="30"/>
          <w:lang w:val="en-US" w:eastAsia="zh-CN"/>
        </w:rPr>
        <w:t>建议拓宽委派财务总监和外部董事的来源渠道，突破地方人才储备有限的瓶颈制约，并妥善考虑委派财务总监和外部董事任职期满后的工作问题，避免后顾之忧，优化人才配置。同时，引导财务总监和外部董事强化自身能力建设，积极主动提升政治、业务素质，进一步增强项目的可持续性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 w:hAnsi="仿宋" w:eastAsia="仿宋" w:cs="仿宋"/>
          <w:b w:val="0"/>
          <w:bCs w:val="0"/>
          <w:sz w:val="32"/>
          <w:szCs w:val="30"/>
          <w:lang w:val="en-US" w:eastAsia="zh-Hans"/>
        </w:rPr>
      </w:pPr>
      <w:r>
        <w:rPr>
          <w:rFonts w:hint="eastAsia" w:ascii="仿宋" w:hAnsi="仿宋" w:eastAsia="仿宋" w:cs="仿宋"/>
          <w:b w:val="0"/>
          <w:bCs w:val="0"/>
          <w:sz w:val="32"/>
          <w:szCs w:val="30"/>
          <w:lang w:val="en-US" w:eastAsia="zh-CN"/>
        </w:rPr>
        <w:t>三</w:t>
      </w:r>
      <w:r>
        <w:rPr>
          <w:rFonts w:hint="eastAsia" w:ascii="仿宋" w:hAnsi="仿宋" w:eastAsia="仿宋" w:cs="仿宋"/>
          <w:b/>
          <w:bCs/>
          <w:sz w:val="32"/>
          <w:szCs w:val="30"/>
          <w:lang w:val="en-US" w:eastAsia="zh-CN"/>
        </w:rPr>
        <w:t>是</w:t>
      </w:r>
      <w:r>
        <w:rPr>
          <w:rFonts w:hint="eastAsia" w:ascii="仿宋" w:hAnsi="仿宋" w:eastAsia="仿宋" w:cs="仿宋"/>
          <w:b w:val="0"/>
          <w:bCs w:val="0"/>
          <w:sz w:val="32"/>
          <w:szCs w:val="30"/>
          <w:lang w:val="en-US" w:eastAsia="zh-CN"/>
        </w:rPr>
        <w:t>建议进一步加强政府相关管理部门间的沟通、协调，避免出现因沟通不畅形成管理误区。同时，增强对项目服务对象的引导，提升国企配合度，使之在愿意接纳的基础上有效融合委派财务总监、外部董事管理，增进理解与配合，从而不断提升项目效能，提升政府管理部门及服务对象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Arial"/>
          <w:bCs/>
          <w:sz w:val="32"/>
          <w:szCs w:val="32"/>
          <w:lang w:eastAsia="zh-CN"/>
        </w:rPr>
      </w:pPr>
    </w:p>
    <w:sectPr>
      <w:footerReference r:id="rId3"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1DA23AF"/>
    <w:rsid w:val="02C7179D"/>
    <w:rsid w:val="037151E1"/>
    <w:rsid w:val="061B1299"/>
    <w:rsid w:val="06351910"/>
    <w:rsid w:val="067610D2"/>
    <w:rsid w:val="0A4136DC"/>
    <w:rsid w:val="0A891503"/>
    <w:rsid w:val="0CF77A73"/>
    <w:rsid w:val="0D2C799D"/>
    <w:rsid w:val="0D5F7C0C"/>
    <w:rsid w:val="109E6C9D"/>
    <w:rsid w:val="12891287"/>
    <w:rsid w:val="142E449C"/>
    <w:rsid w:val="15A2564A"/>
    <w:rsid w:val="16A86180"/>
    <w:rsid w:val="16A9130C"/>
    <w:rsid w:val="16AA2D18"/>
    <w:rsid w:val="177865E5"/>
    <w:rsid w:val="17CA481C"/>
    <w:rsid w:val="1ABF618E"/>
    <w:rsid w:val="1AD64829"/>
    <w:rsid w:val="1B697783"/>
    <w:rsid w:val="1C1442B7"/>
    <w:rsid w:val="1F037166"/>
    <w:rsid w:val="23802D1B"/>
    <w:rsid w:val="27CE7742"/>
    <w:rsid w:val="2C005C55"/>
    <w:rsid w:val="2C5B3D74"/>
    <w:rsid w:val="2F7A696B"/>
    <w:rsid w:val="31F938DC"/>
    <w:rsid w:val="32364805"/>
    <w:rsid w:val="326D488B"/>
    <w:rsid w:val="327864CE"/>
    <w:rsid w:val="34AF11BB"/>
    <w:rsid w:val="34F12F90"/>
    <w:rsid w:val="352930DB"/>
    <w:rsid w:val="358B0CEF"/>
    <w:rsid w:val="360A4309"/>
    <w:rsid w:val="37DF17C6"/>
    <w:rsid w:val="3ADB364D"/>
    <w:rsid w:val="3C74072E"/>
    <w:rsid w:val="3CAE71FE"/>
    <w:rsid w:val="3CF3617C"/>
    <w:rsid w:val="3DBA51E3"/>
    <w:rsid w:val="3E38232F"/>
    <w:rsid w:val="42204EB5"/>
    <w:rsid w:val="43092A49"/>
    <w:rsid w:val="45397CB8"/>
    <w:rsid w:val="454607EE"/>
    <w:rsid w:val="45EE7D8D"/>
    <w:rsid w:val="46997E9F"/>
    <w:rsid w:val="46F74436"/>
    <w:rsid w:val="473A2575"/>
    <w:rsid w:val="47F6649C"/>
    <w:rsid w:val="49A07007"/>
    <w:rsid w:val="4A6322C3"/>
    <w:rsid w:val="4AC92197"/>
    <w:rsid w:val="4C6E0437"/>
    <w:rsid w:val="4CBE1552"/>
    <w:rsid w:val="4D62704B"/>
    <w:rsid w:val="4E5054FE"/>
    <w:rsid w:val="4E73291C"/>
    <w:rsid w:val="51C95B83"/>
    <w:rsid w:val="522462FB"/>
    <w:rsid w:val="52601456"/>
    <w:rsid w:val="54921C42"/>
    <w:rsid w:val="56006068"/>
    <w:rsid w:val="575B67D4"/>
    <w:rsid w:val="592D1F39"/>
    <w:rsid w:val="5C924D42"/>
    <w:rsid w:val="5CB5471F"/>
    <w:rsid w:val="5D5F46F0"/>
    <w:rsid w:val="5F4A11A3"/>
    <w:rsid w:val="5FE01A64"/>
    <w:rsid w:val="606E1DA0"/>
    <w:rsid w:val="61D153CB"/>
    <w:rsid w:val="62EB2352"/>
    <w:rsid w:val="63AA57A7"/>
    <w:rsid w:val="64E37928"/>
    <w:rsid w:val="677A37D4"/>
    <w:rsid w:val="68302CED"/>
    <w:rsid w:val="687C724F"/>
    <w:rsid w:val="68A64545"/>
    <w:rsid w:val="6B614ECF"/>
    <w:rsid w:val="6D392803"/>
    <w:rsid w:val="6DA31C56"/>
    <w:rsid w:val="6DCC7B1B"/>
    <w:rsid w:val="6F073FD6"/>
    <w:rsid w:val="6F1B1874"/>
    <w:rsid w:val="73131D48"/>
    <w:rsid w:val="73292630"/>
    <w:rsid w:val="741A19D0"/>
    <w:rsid w:val="74245119"/>
    <w:rsid w:val="745A1D70"/>
    <w:rsid w:val="76822B5C"/>
    <w:rsid w:val="776E4808"/>
    <w:rsid w:val="794908F9"/>
    <w:rsid w:val="7AA00365"/>
    <w:rsid w:val="7B4231CA"/>
    <w:rsid w:val="7BC83BA6"/>
    <w:rsid w:val="7DBE54A9"/>
    <w:rsid w:val="7E1F5A45"/>
    <w:rsid w:val="7EB47670"/>
    <w:rsid w:val="7F196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3">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7">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8">
    <w:name w:val="toc 2"/>
    <w:basedOn w:val="1"/>
    <w:next w:val="1"/>
    <w:unhideWhenUsed/>
    <w:qFormat/>
    <w:uiPriority w:val="39"/>
    <w:pPr>
      <w:ind w:left="420" w:leftChars="200"/>
    </w:pPr>
  </w:style>
  <w:style w:type="paragraph" w:styleId="9">
    <w:name w:val="Body Text 2"/>
    <w:basedOn w:val="1"/>
    <w:qFormat/>
    <w:uiPriority w:val="0"/>
    <w:rPr>
      <w:rFonts w:ascii="Calibri" w:hAnsi="Calibri"/>
      <w:kern w:val="0"/>
      <w:sz w:val="21"/>
    </w:rPr>
  </w:style>
  <w:style w:type="paragraph" w:styleId="10">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footnote reference"/>
    <w:basedOn w:val="13"/>
    <w:qFormat/>
    <w:uiPriority w:val="0"/>
    <w:rPr>
      <w:vertAlign w:val="superscript"/>
    </w:rPr>
  </w:style>
  <w:style w:type="paragraph" w:customStyle="1" w:styleId="16">
    <w:name w:val="_Style 3"/>
    <w:basedOn w:val="1"/>
    <w:next w:val="17"/>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7</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4B53F630914346DCBF397E1B55BA4560_13</vt:lpwstr>
  </property>
</Properties>
</file>