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0" w:lineRule="atLeast"/>
        <w:jc w:val="center"/>
        <w:rPr>
          <w:rFonts w:hint="eastAsia" w:ascii="方正小标宋简体" w:hAnsi="方正小标宋简体" w:eastAsia="方正小标宋简体" w:cs="方正小标宋简体"/>
          <w:b w:val="0"/>
          <w:bCs/>
          <w:sz w:val="44"/>
          <w:szCs w:val="44"/>
          <w:lang w:val="zh-CN" w:eastAsia="zh-CN"/>
        </w:rPr>
      </w:pPr>
      <w:bookmarkStart w:id="0" w:name="_Toc8916"/>
      <w:bookmarkStart w:id="1" w:name="_Toc22748"/>
      <w:bookmarkStart w:id="2" w:name="_Toc21672"/>
      <w:r>
        <w:rPr>
          <w:rFonts w:hint="eastAsia" w:ascii="方正小标宋简体" w:hAnsi="方正小标宋简体" w:eastAsia="方正小标宋简体" w:cs="方正小标宋简体"/>
          <w:b w:val="0"/>
          <w:bCs/>
          <w:sz w:val="44"/>
          <w:szCs w:val="44"/>
          <w:lang w:val="zh-CN" w:eastAsia="zh-CN"/>
        </w:rPr>
        <w:t>菏泽市城市垃圾渗滤液处理政府购买服务</w:t>
      </w:r>
      <w:bookmarkEnd w:id="0"/>
      <w:bookmarkEnd w:id="1"/>
      <w:bookmarkEnd w:id="2"/>
    </w:p>
    <w:p>
      <w:pPr>
        <w:adjustRightInd w:val="0"/>
        <w:snapToGrid w:val="0"/>
        <w:spacing w:line="0" w:lineRule="atLeast"/>
        <w:jc w:val="center"/>
        <w:rPr>
          <w:rFonts w:hint="eastAsia" w:ascii="方正小标宋简体" w:hAnsi="方正小标宋简体" w:eastAsia="方正小标宋简体" w:cs="方正小标宋简体"/>
          <w:b w:val="0"/>
          <w:bCs/>
          <w:sz w:val="44"/>
          <w:szCs w:val="44"/>
          <w:lang w:val="zh-CN" w:eastAsia="zh-CN"/>
        </w:rPr>
      </w:pPr>
      <w:bookmarkStart w:id="3" w:name="_Toc4671"/>
      <w:bookmarkStart w:id="4" w:name="_Toc8654"/>
      <w:bookmarkStart w:id="5" w:name="_Toc27276"/>
      <w:r>
        <w:rPr>
          <w:rFonts w:hint="eastAsia" w:ascii="方正小标宋简体" w:hAnsi="方正小标宋简体" w:eastAsia="方正小标宋简体" w:cs="方正小标宋简体"/>
          <w:b w:val="0"/>
          <w:bCs/>
          <w:sz w:val="44"/>
          <w:szCs w:val="44"/>
          <w:lang w:val="zh-CN" w:eastAsia="zh-CN"/>
        </w:rPr>
        <w:t>项目</w:t>
      </w:r>
      <w:r>
        <w:rPr>
          <w:rFonts w:hint="eastAsia" w:ascii="方正小标宋简体" w:hAnsi="方正小标宋简体" w:eastAsia="方正小标宋简体" w:cs="方正小标宋简体"/>
          <w:b w:val="0"/>
          <w:bCs/>
          <w:sz w:val="44"/>
          <w:szCs w:val="44"/>
          <w:lang w:val="en-US" w:eastAsia="zh-CN"/>
        </w:rPr>
        <w:t>支出</w:t>
      </w:r>
      <w:r>
        <w:rPr>
          <w:rFonts w:hint="eastAsia" w:ascii="方正小标宋简体" w:hAnsi="方正小标宋简体" w:eastAsia="方正小标宋简体" w:cs="方正小标宋简体"/>
          <w:b w:val="0"/>
          <w:bCs/>
          <w:sz w:val="44"/>
          <w:szCs w:val="44"/>
          <w:lang w:val="zh-CN" w:eastAsia="zh-CN"/>
        </w:rPr>
        <w:t>绩效评价报告</w:t>
      </w:r>
      <w:bookmarkEnd w:id="3"/>
      <w:bookmarkEnd w:id="4"/>
      <w:bookmarkEnd w:id="5"/>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黑体" w:hAnsi="黑体" w:eastAsia="黑体" w:cs="黑体"/>
          <w:bCs/>
          <w:sz w:val="32"/>
          <w:szCs w:val="32"/>
          <w:lang w:val="en-US" w:eastAsia="zh-CN"/>
        </w:rPr>
      </w:pP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bCs/>
          <w:snapToGrid/>
          <w:color w:val="000000"/>
          <w:szCs w:val="44"/>
          <w:lang w:val="en-US" w:eastAsia="zh-CN"/>
        </w:rPr>
      </w:pPr>
      <w:r>
        <w:rPr>
          <w:rFonts w:hint="eastAsia"/>
          <w:bCs/>
          <w:snapToGrid/>
          <w:color w:val="000000"/>
          <w:szCs w:val="44"/>
          <w:lang w:val="en-US" w:eastAsia="zh-CN"/>
        </w:rPr>
        <w:t>一、项目基本情况</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 w:hAnsi="仿宋" w:eastAsia="仿宋" w:cs="仿宋"/>
          <w:b/>
          <w:bCs/>
          <w:sz w:val="32"/>
          <w:szCs w:val="32"/>
          <w:lang w:val="en-US" w:eastAsia="zh-CN"/>
        </w:rPr>
        <w:t>1.立项背景</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深入贯彻落实习近平生态文明思想，统筹做好中央生态环境保护督察整改，聚焦深入打好污染防治攻坚战，推动减污降碳协同增效，菏泽市城市管理局（以下“简称”市城管局）开展了“城市垃圾渗滤液处理政府购买服务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2.实施内容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项目为政府购买服务项目，政府购买主体为市城管局，承接主体为于洼垃圾处理有限公司，购买服务内容为垃圾渗滤液处理，处理量约为46000吨/年，由于洼垃圾处理有限公司按照需实现的目标及处理标准等国家、行业规范为市城管局提供政府购买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该项目主管部门为市城管局，资金拨付单位为市财政局，运营单位为于洼垃圾处理有限公司，政府采购委托代理机构为中昕国际项目管理有限公司。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4.资金投入和使用情况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（1）项目预算安排</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市城管局垃圾渗滤液处理项目资金来源为市级财政资金。项目根据环保督察问题整改清单立项，由市城管局向市财政局申报预算评审152.64元/吨，后经市财政局估算费用评审，审减费用20.61元/吨，评审后预算132.02元/吨。评审后市城管局通过公开招标，确定投标总价为130.70元/吨，结合测算的垃圾渗滤液处理量46000吨/年，最终确定垃圾渗滤液处理项目预算资金600.00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（2）预算执行</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2022年市城管局垃圾渗滤液处理项目预算600.00万元，到位资金600.00万元，实际支出600.00万元。</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1.总体绩效目标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通过投入成本费用600.00万元，以政府购买服务形式，配备渗滤液处理人数16人，维护渗滤液处理机器数量2台，计划处理量约为46000吨/年，达到规范处理，达标排放，减少环境污染的效益目标。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年度绩效目标为渗沥液浓缩液处理量2吨，渗滤液处理人数16人，维护渗滤液处理机器数量2台，预计成本费用600.00万元。于洼垃圾处理有限公司对存量渗沥液浓缩液进行处理。规范处理，达标排放，减少环境污染。</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default"/>
          <w:bCs/>
          <w:snapToGrid/>
          <w:color w:val="000000"/>
          <w:szCs w:val="44"/>
          <w:lang w:val="en-US" w:eastAsia="zh-CN"/>
        </w:rPr>
      </w:pPr>
      <w:r>
        <w:rPr>
          <w:rFonts w:hint="eastAsia"/>
          <w:bCs/>
          <w:snapToGrid/>
          <w:color w:val="000000"/>
          <w:szCs w:val="44"/>
          <w:lang w:val="en-US" w:eastAsia="zh-CN"/>
        </w:rPr>
        <w:t>二、评价基本情况</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1.绩效评价目的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绩效评价，进一步了解渗滤液处理系统的运行管理、设备设施维护保养、安全生产、环境监测等情况，深入分析存在的矛盾和问题，从决策、过程、产出和效益四个方面，力求全面考察项目决策、资金投入、过程管理、产出效果和影响力，体现从投入到产出、效果和影响力因素的绩效逻辑路径。重点关注政府采购组织实施过程、产出、效果，综合考察项目的完成情况、取得的成绩及效益，提出改进意见和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2.绩效评价对象和范围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en-US" w:eastAsia="zh-CN"/>
        </w:rPr>
        <w:t>本项目评价对象为菏泽市2022年市城管局城市垃圾渗滤液处理政府购买服务项目。评价范围为2022年市城管局城市垃圾渗滤液处理政府购买服务项目</w:t>
      </w:r>
      <w:r>
        <w:rPr>
          <w:rFonts w:hint="eastAsia" w:ascii="仿宋" w:hAnsi="仿宋" w:eastAsia="仿宋" w:cs="仿宋"/>
          <w:sz w:val="32"/>
          <w:szCs w:val="32"/>
          <w:lang w:val="zh-CN" w:eastAsia="zh-CN"/>
        </w:rPr>
        <w:t>涉及的资金600</w:t>
      </w:r>
      <w:r>
        <w:rPr>
          <w:rFonts w:hint="eastAsia" w:ascii="仿宋" w:hAnsi="仿宋" w:eastAsia="仿宋" w:cs="仿宋"/>
          <w:sz w:val="32"/>
          <w:szCs w:val="32"/>
          <w:lang w:val="en-US" w:eastAsia="zh-CN"/>
        </w:rPr>
        <w:t>.00</w:t>
      </w:r>
      <w:r>
        <w:rPr>
          <w:rFonts w:hint="eastAsia" w:ascii="仿宋" w:hAnsi="仿宋" w:eastAsia="仿宋" w:cs="仿宋"/>
          <w:sz w:val="32"/>
          <w:szCs w:val="32"/>
          <w:lang w:val="zh-CN" w:eastAsia="zh-CN"/>
        </w:rPr>
        <w:t>万元。</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（二）绩效评价指标体系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bookmarkStart w:id="6" w:name="_Toc27139"/>
      <w:bookmarkStart w:id="7" w:name="_Toc79070529"/>
      <w:r>
        <w:rPr>
          <w:rFonts w:hint="eastAsia" w:ascii="仿宋" w:hAnsi="仿宋" w:eastAsia="仿宋" w:cs="仿宋"/>
          <w:b/>
          <w:bCs/>
          <w:sz w:val="32"/>
          <w:szCs w:val="32"/>
          <w:lang w:val="en-US" w:eastAsia="zh-CN"/>
        </w:rPr>
        <w:t>1.指标体系设计总体思路</w:t>
      </w:r>
      <w:bookmarkEnd w:id="6"/>
      <w:bookmarkEnd w:id="7"/>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次绩效评价指标的确定坚持相关性、重要性、可比性、系统性、经济性原则，指标体系共分为四级指标，一级指标4个，二级指标9个，三级指标20个，四级指标36个。该指标设计参考菏泽市财政局《关于开展2021-2022年度市直部门单位政府采购项目支出绩效自评工作的通知》（菏财采〔2022〕12号），针对项目特点，同时经过专家方案阶段评审意见确定指标体系指标及分值。即一级指标分值分别为决策类12.00分；过程类40.00分；项目产出类28.00分；项目效益类20.00分。</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bCs/>
          <w:snapToGrid/>
          <w:color w:val="000000"/>
          <w:szCs w:val="44"/>
          <w:lang w:val="en-US" w:eastAsia="zh-CN"/>
        </w:rPr>
      </w:pPr>
      <w:r>
        <w:rPr>
          <w:rFonts w:hint="eastAsia"/>
          <w:bCs/>
          <w:snapToGrid/>
          <w:color w:val="000000"/>
          <w:szCs w:val="44"/>
          <w:lang w:val="en-US" w:eastAsia="zh-CN"/>
        </w:rPr>
        <w:t>三、绩效评价结论</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（一）综合评价结论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通过评价，菏泽市城市垃圾渗滤液处理政府购买服务项</w:t>
      </w:r>
      <w:r>
        <w:rPr>
          <w:rFonts w:hint="eastAsia" w:ascii="仿宋" w:hAnsi="仿宋" w:eastAsia="仿宋" w:cs="仿宋"/>
          <w:sz w:val="32"/>
          <w:szCs w:val="32"/>
          <w:lang w:val="zh-CN" w:eastAsia="zh-CN"/>
        </w:rPr>
        <w:t>目最终得分</w:t>
      </w:r>
      <w:r>
        <w:rPr>
          <w:rFonts w:hint="eastAsia" w:ascii="仿宋" w:hAnsi="仿宋" w:eastAsia="仿宋" w:cs="仿宋"/>
          <w:sz w:val="32"/>
          <w:szCs w:val="32"/>
          <w:lang w:val="zh-CN" w:eastAsia="zh-CN"/>
        </w:rPr>
        <w:fldChar w:fldCharType="begin"/>
      </w:r>
      <w:r>
        <w:rPr>
          <w:rFonts w:hint="eastAsia" w:ascii="仿宋" w:hAnsi="仿宋" w:eastAsia="仿宋" w:cs="仿宋"/>
          <w:sz w:val="32"/>
          <w:szCs w:val="32"/>
          <w:lang w:val="zh-CN" w:eastAsia="zh-CN"/>
        </w:rPr>
        <w:instrText xml:space="preserve"> = sum(C2:C5) \* MERGEFORMAT </w:instrText>
      </w:r>
      <w:r>
        <w:rPr>
          <w:rFonts w:hint="eastAsia" w:ascii="仿宋" w:hAnsi="仿宋" w:eastAsia="仿宋" w:cs="仿宋"/>
          <w:sz w:val="32"/>
          <w:szCs w:val="32"/>
          <w:lang w:val="zh-CN" w:eastAsia="zh-CN"/>
        </w:rPr>
        <w:fldChar w:fldCharType="separate"/>
      </w:r>
      <w:r>
        <w:rPr>
          <w:rFonts w:hint="eastAsia" w:ascii="仿宋" w:hAnsi="仿宋" w:eastAsia="仿宋" w:cs="仿宋"/>
          <w:sz w:val="32"/>
          <w:szCs w:val="32"/>
          <w:lang w:val="zh-CN" w:eastAsia="zh-CN"/>
        </w:rPr>
        <w:t>81.75</w:t>
      </w:r>
      <w:r>
        <w:rPr>
          <w:rFonts w:hint="eastAsia" w:ascii="仿宋" w:hAnsi="仿宋" w:eastAsia="仿宋" w:cs="仿宋"/>
          <w:sz w:val="32"/>
          <w:szCs w:val="32"/>
          <w:lang w:val="zh-CN" w:eastAsia="zh-CN"/>
        </w:rPr>
        <w:fldChar w:fldCharType="end"/>
      </w:r>
      <w:r>
        <w:rPr>
          <w:rFonts w:hint="eastAsia" w:ascii="仿宋" w:hAnsi="仿宋" w:eastAsia="仿宋" w:cs="仿宋"/>
          <w:sz w:val="32"/>
          <w:szCs w:val="32"/>
          <w:lang w:val="zh-CN" w:eastAsia="zh-CN"/>
        </w:rPr>
        <w:t>分，等级为“</w:t>
      </w:r>
      <w:r>
        <w:rPr>
          <w:rFonts w:hint="eastAsia" w:ascii="仿宋" w:hAnsi="仿宋" w:eastAsia="仿宋" w:cs="仿宋"/>
          <w:sz w:val="32"/>
          <w:szCs w:val="32"/>
          <w:lang w:val="en-US" w:eastAsia="zh-CN"/>
        </w:rPr>
        <w:t>良</w:t>
      </w:r>
      <w:r>
        <w:rPr>
          <w:rFonts w:hint="eastAsia" w:ascii="仿宋" w:hAnsi="仿宋" w:eastAsia="仿宋" w:cs="仿宋"/>
          <w:sz w:val="32"/>
          <w:szCs w:val="32"/>
          <w:lang w:val="zh-CN" w:eastAsia="zh-CN"/>
        </w:rPr>
        <w:t>”。</w:t>
      </w:r>
      <w:r>
        <w:rPr>
          <w:rFonts w:hint="eastAsia" w:ascii="仿宋" w:hAnsi="仿宋" w:eastAsia="仿宋" w:cs="仿宋"/>
          <w:sz w:val="32"/>
          <w:szCs w:val="32"/>
          <w:lang w:val="en-US" w:eastAsia="zh-CN"/>
        </w:rPr>
        <w:t>综合得分情况见表3-1。</w:t>
      </w:r>
    </w:p>
    <w:p>
      <w:pPr>
        <w:pStyle w:val="21"/>
        <w:rPr>
          <w:lang w:val="zh-CN"/>
        </w:rPr>
      </w:pPr>
      <w:r>
        <w:rPr>
          <w:rFonts w:hint="eastAsia"/>
          <w:lang w:val="en-US" w:eastAsia="zh-CN"/>
        </w:rPr>
        <w:t>表3-1  菏泽市城市垃圾渗滤液处理政府购买服务项目</w:t>
      </w:r>
      <w:r>
        <w:rPr>
          <w:lang w:val="zh-CN"/>
        </w:rPr>
        <w:t>绩效评价综合得分表</w:t>
      </w:r>
    </w:p>
    <w:tbl>
      <w:tblPr>
        <w:tblStyle w:val="13"/>
        <w:tblW w:w="4980" w:type="pct"/>
        <w:jc w:val="center"/>
        <w:tblLayout w:type="autofit"/>
        <w:tblCellMar>
          <w:top w:w="0" w:type="dxa"/>
          <w:left w:w="108" w:type="dxa"/>
          <w:bottom w:w="0" w:type="dxa"/>
          <w:right w:w="108" w:type="dxa"/>
        </w:tblCellMar>
      </w:tblPr>
      <w:tblGrid>
        <w:gridCol w:w="1958"/>
        <w:gridCol w:w="1853"/>
        <w:gridCol w:w="2579"/>
        <w:gridCol w:w="2635"/>
      </w:tblGrid>
      <w:tr>
        <w:tblPrEx>
          <w:tblCellMar>
            <w:top w:w="0" w:type="dxa"/>
            <w:left w:w="108" w:type="dxa"/>
            <w:bottom w:w="0" w:type="dxa"/>
            <w:right w:w="108" w:type="dxa"/>
          </w:tblCellMar>
        </w:tblPrEx>
        <w:trPr>
          <w:trHeight w:val="536" w:hRule="exact"/>
          <w:tblHeader/>
          <w:jc w:val="center"/>
        </w:trPr>
        <w:tc>
          <w:tcPr>
            <w:tcW w:w="1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一级指标</w:t>
            </w:r>
          </w:p>
        </w:tc>
        <w:tc>
          <w:tcPr>
            <w:tcW w:w="10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权重</w:t>
            </w:r>
          </w:p>
        </w:tc>
        <w:tc>
          <w:tcPr>
            <w:tcW w:w="1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得分</w:t>
            </w:r>
          </w:p>
        </w:tc>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得分率</w:t>
            </w:r>
          </w:p>
        </w:tc>
      </w:tr>
      <w:tr>
        <w:tblPrEx>
          <w:tblCellMar>
            <w:top w:w="0" w:type="dxa"/>
            <w:left w:w="108" w:type="dxa"/>
            <w:bottom w:w="0" w:type="dxa"/>
            <w:right w:w="108" w:type="dxa"/>
          </w:tblCellMar>
        </w:tblPrEx>
        <w:trPr>
          <w:trHeight w:val="567" w:hRule="exact"/>
          <w:jc w:val="center"/>
        </w:trPr>
        <w:tc>
          <w:tcPr>
            <w:tcW w:w="1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项目决策</w:t>
            </w:r>
          </w:p>
        </w:tc>
        <w:tc>
          <w:tcPr>
            <w:tcW w:w="10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12.00</w:t>
            </w:r>
          </w:p>
        </w:tc>
        <w:tc>
          <w:tcPr>
            <w:tcW w:w="24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11.40</w:t>
            </w:r>
          </w:p>
        </w:tc>
        <w:tc>
          <w:tcPr>
            <w:tcW w:w="2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95.00%</w:t>
            </w:r>
          </w:p>
        </w:tc>
      </w:tr>
      <w:tr>
        <w:tblPrEx>
          <w:tblCellMar>
            <w:top w:w="0" w:type="dxa"/>
            <w:left w:w="108" w:type="dxa"/>
            <w:bottom w:w="0" w:type="dxa"/>
            <w:right w:w="108" w:type="dxa"/>
          </w:tblCellMar>
        </w:tblPrEx>
        <w:trPr>
          <w:trHeight w:val="567" w:hRule="exact"/>
          <w:jc w:val="center"/>
        </w:trPr>
        <w:tc>
          <w:tcPr>
            <w:tcW w:w="1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项目过程</w:t>
            </w:r>
          </w:p>
        </w:tc>
        <w:tc>
          <w:tcPr>
            <w:tcW w:w="10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40.00</w:t>
            </w:r>
          </w:p>
        </w:tc>
        <w:tc>
          <w:tcPr>
            <w:tcW w:w="24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fldChar w:fldCharType="begin"/>
            </w:r>
            <w:r>
              <w:rPr>
                <w:rFonts w:hint="eastAsia" w:ascii="Times New Roman" w:hAnsi="Times New Roman" w:eastAsia="仿宋_GB2312" w:cs="Times New Roman"/>
                <w:color w:val="000000"/>
                <w:sz w:val="22"/>
                <w:szCs w:val="22"/>
                <w:lang w:val="en-US" w:eastAsia="zh-CN"/>
              </w:rPr>
              <w:instrText xml:space="preserve"> = sum(G2:G24) \* MERGEFORMAT </w:instrText>
            </w:r>
            <w:r>
              <w:rPr>
                <w:rFonts w:hint="eastAsia" w:ascii="Times New Roman" w:hAnsi="Times New Roman" w:eastAsia="仿宋_GB2312" w:cs="Times New Roman"/>
                <w:color w:val="000000"/>
                <w:sz w:val="22"/>
                <w:szCs w:val="22"/>
                <w:lang w:val="en-US" w:eastAsia="zh-CN"/>
              </w:rPr>
              <w:fldChar w:fldCharType="separate"/>
            </w:r>
            <w:r>
              <w:rPr>
                <w:rFonts w:hint="eastAsia" w:ascii="Times New Roman" w:hAnsi="Times New Roman" w:eastAsia="仿宋_GB2312" w:cs="Times New Roman"/>
                <w:color w:val="000000"/>
                <w:sz w:val="22"/>
                <w:szCs w:val="22"/>
                <w:lang w:val="en-US" w:eastAsia="zh-CN"/>
              </w:rPr>
              <w:t>31.3</w:t>
            </w:r>
            <w:r>
              <w:rPr>
                <w:rFonts w:hint="eastAsia" w:ascii="Times New Roman" w:hAnsi="Times New Roman" w:eastAsia="仿宋_GB2312" w:cs="Times New Roman"/>
                <w:color w:val="000000"/>
                <w:sz w:val="22"/>
                <w:szCs w:val="22"/>
                <w:lang w:val="en-US" w:eastAsia="zh-CN"/>
              </w:rPr>
              <w:fldChar w:fldCharType="end"/>
            </w:r>
            <w:r>
              <w:rPr>
                <w:rFonts w:hint="eastAsia" w:ascii="Times New Roman" w:hAnsi="Times New Roman" w:eastAsia="仿宋_GB2312" w:cs="Times New Roman"/>
                <w:color w:val="000000"/>
                <w:sz w:val="22"/>
                <w:szCs w:val="22"/>
                <w:lang w:val="en-US" w:eastAsia="zh-CN"/>
              </w:rPr>
              <w:t>0</w:t>
            </w:r>
          </w:p>
        </w:tc>
        <w:tc>
          <w:tcPr>
            <w:tcW w:w="2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78.25%</w:t>
            </w:r>
          </w:p>
        </w:tc>
      </w:tr>
      <w:tr>
        <w:tblPrEx>
          <w:tblCellMar>
            <w:top w:w="0" w:type="dxa"/>
            <w:left w:w="108" w:type="dxa"/>
            <w:bottom w:w="0" w:type="dxa"/>
            <w:right w:w="108" w:type="dxa"/>
          </w:tblCellMar>
        </w:tblPrEx>
        <w:trPr>
          <w:trHeight w:val="567" w:hRule="exact"/>
          <w:jc w:val="center"/>
        </w:trPr>
        <w:tc>
          <w:tcPr>
            <w:tcW w:w="1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项目产出</w:t>
            </w:r>
          </w:p>
        </w:tc>
        <w:tc>
          <w:tcPr>
            <w:tcW w:w="10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28.00</w:t>
            </w:r>
          </w:p>
        </w:tc>
        <w:tc>
          <w:tcPr>
            <w:tcW w:w="24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fldChar w:fldCharType="begin"/>
            </w:r>
            <w:r>
              <w:rPr>
                <w:rFonts w:hint="eastAsia" w:ascii="Times New Roman" w:hAnsi="Times New Roman" w:eastAsia="仿宋_GB2312" w:cs="Times New Roman"/>
                <w:color w:val="000000"/>
                <w:sz w:val="22"/>
                <w:szCs w:val="22"/>
                <w:lang w:val="en-US" w:eastAsia="zh-CN"/>
              </w:rPr>
              <w:instrText xml:space="preserve"> = sum(G2:G8) \* MERGEFORMAT </w:instrText>
            </w:r>
            <w:r>
              <w:rPr>
                <w:rFonts w:hint="eastAsia" w:ascii="Times New Roman" w:hAnsi="Times New Roman" w:eastAsia="仿宋_GB2312" w:cs="Times New Roman"/>
                <w:color w:val="000000"/>
                <w:sz w:val="22"/>
                <w:szCs w:val="22"/>
                <w:lang w:val="en-US" w:eastAsia="zh-CN"/>
              </w:rPr>
              <w:fldChar w:fldCharType="separate"/>
            </w:r>
            <w:r>
              <w:rPr>
                <w:rFonts w:hint="eastAsia" w:ascii="Times New Roman" w:hAnsi="Times New Roman" w:eastAsia="仿宋_GB2312" w:cs="Times New Roman"/>
                <w:color w:val="000000"/>
                <w:sz w:val="22"/>
                <w:szCs w:val="22"/>
                <w:lang w:val="en-US" w:eastAsia="zh-CN"/>
              </w:rPr>
              <w:t>23.55</w:t>
            </w:r>
            <w:r>
              <w:rPr>
                <w:rFonts w:hint="eastAsia" w:ascii="Times New Roman" w:hAnsi="Times New Roman" w:eastAsia="仿宋_GB2312" w:cs="Times New Roman"/>
                <w:color w:val="000000"/>
                <w:sz w:val="22"/>
                <w:szCs w:val="22"/>
                <w:lang w:val="en-US" w:eastAsia="zh-CN"/>
              </w:rPr>
              <w:fldChar w:fldCharType="end"/>
            </w:r>
          </w:p>
        </w:tc>
        <w:tc>
          <w:tcPr>
            <w:tcW w:w="2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84.10%</w:t>
            </w:r>
          </w:p>
        </w:tc>
      </w:tr>
      <w:tr>
        <w:tblPrEx>
          <w:tblCellMar>
            <w:top w:w="0" w:type="dxa"/>
            <w:left w:w="108" w:type="dxa"/>
            <w:bottom w:w="0" w:type="dxa"/>
            <w:right w:w="108" w:type="dxa"/>
          </w:tblCellMar>
        </w:tblPrEx>
        <w:trPr>
          <w:trHeight w:val="567" w:hRule="exact"/>
          <w:jc w:val="center"/>
        </w:trPr>
        <w:tc>
          <w:tcPr>
            <w:tcW w:w="1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项目效益</w:t>
            </w:r>
          </w:p>
        </w:tc>
        <w:tc>
          <w:tcPr>
            <w:tcW w:w="10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20.00</w:t>
            </w:r>
          </w:p>
        </w:tc>
        <w:tc>
          <w:tcPr>
            <w:tcW w:w="24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fldChar w:fldCharType="begin"/>
            </w:r>
            <w:r>
              <w:rPr>
                <w:rFonts w:hint="eastAsia" w:ascii="Times New Roman" w:hAnsi="Times New Roman" w:eastAsia="仿宋_GB2312" w:cs="Times New Roman"/>
                <w:color w:val="000000"/>
                <w:sz w:val="22"/>
                <w:szCs w:val="22"/>
                <w:lang w:val="en-US" w:eastAsia="zh-CN"/>
              </w:rPr>
              <w:instrText xml:space="preserve"> = sum(G2:G6) \* MERGEFORMAT </w:instrText>
            </w:r>
            <w:r>
              <w:rPr>
                <w:rFonts w:hint="eastAsia" w:ascii="Times New Roman" w:hAnsi="Times New Roman" w:eastAsia="仿宋_GB2312" w:cs="Times New Roman"/>
                <w:color w:val="000000"/>
                <w:sz w:val="22"/>
                <w:szCs w:val="22"/>
                <w:lang w:val="en-US" w:eastAsia="zh-CN"/>
              </w:rPr>
              <w:fldChar w:fldCharType="separate"/>
            </w:r>
            <w:r>
              <w:rPr>
                <w:rFonts w:hint="eastAsia" w:ascii="Times New Roman" w:hAnsi="Times New Roman" w:eastAsia="仿宋_GB2312" w:cs="Times New Roman"/>
                <w:color w:val="000000"/>
                <w:sz w:val="22"/>
                <w:szCs w:val="22"/>
                <w:lang w:val="en-US" w:eastAsia="zh-CN"/>
              </w:rPr>
              <w:t>15.5</w:t>
            </w:r>
            <w:r>
              <w:rPr>
                <w:rFonts w:hint="eastAsia" w:ascii="Times New Roman" w:hAnsi="Times New Roman" w:eastAsia="仿宋_GB2312" w:cs="Times New Roman"/>
                <w:color w:val="000000"/>
                <w:sz w:val="22"/>
                <w:szCs w:val="22"/>
                <w:lang w:val="en-US" w:eastAsia="zh-CN"/>
              </w:rPr>
              <w:fldChar w:fldCharType="end"/>
            </w:r>
            <w:r>
              <w:rPr>
                <w:rFonts w:hint="eastAsia" w:ascii="Times New Roman" w:hAnsi="Times New Roman" w:eastAsia="仿宋_GB2312" w:cs="Times New Roman"/>
                <w:color w:val="000000"/>
                <w:sz w:val="22"/>
                <w:szCs w:val="22"/>
                <w:lang w:val="en-US" w:eastAsia="zh-CN"/>
              </w:rPr>
              <w:t>0</w:t>
            </w:r>
          </w:p>
        </w:tc>
        <w:tc>
          <w:tcPr>
            <w:tcW w:w="2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77.50%</w:t>
            </w:r>
          </w:p>
        </w:tc>
      </w:tr>
      <w:tr>
        <w:tblPrEx>
          <w:tblCellMar>
            <w:top w:w="0" w:type="dxa"/>
            <w:left w:w="108" w:type="dxa"/>
            <w:bottom w:w="0" w:type="dxa"/>
            <w:right w:w="108" w:type="dxa"/>
          </w:tblCellMar>
        </w:tblPrEx>
        <w:trPr>
          <w:trHeight w:val="567" w:hRule="exact"/>
          <w:jc w:val="center"/>
        </w:trPr>
        <w:tc>
          <w:tcPr>
            <w:tcW w:w="1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sz w:val="22"/>
                <w:szCs w:val="22"/>
                <w:lang w:val="en-US" w:eastAsia="zh-CN"/>
              </w:rPr>
            </w:pPr>
            <w:r>
              <w:rPr>
                <w:rFonts w:hint="eastAsia" w:ascii="Times New Roman" w:hAnsi="Times New Roman" w:eastAsia="仿宋_GB2312" w:cs="Times New Roman"/>
                <w:color w:val="000000"/>
                <w:sz w:val="22"/>
                <w:szCs w:val="22"/>
                <w:lang w:val="en-US" w:eastAsia="zh-CN"/>
              </w:rPr>
              <w:t>合计</w:t>
            </w:r>
          </w:p>
        </w:tc>
        <w:tc>
          <w:tcPr>
            <w:tcW w:w="10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fldChar w:fldCharType="begin"/>
            </w:r>
            <w:r>
              <w:rPr>
                <w:rFonts w:hint="default" w:ascii="Times New Roman" w:hAnsi="Times New Roman" w:eastAsia="仿宋_GB2312" w:cs="Times New Roman"/>
                <w:color w:val="000000"/>
                <w:sz w:val="22"/>
                <w:szCs w:val="22"/>
                <w:lang w:val="en-US" w:eastAsia="zh-CN"/>
              </w:rPr>
              <w:instrText xml:space="preserve"> = sum(B2:B5) \* MERGEFORMAT </w:instrText>
            </w:r>
            <w:r>
              <w:rPr>
                <w:rFonts w:hint="default" w:ascii="Times New Roman" w:hAnsi="Times New Roman" w:eastAsia="仿宋_GB2312" w:cs="Times New Roman"/>
                <w:color w:val="000000"/>
                <w:sz w:val="22"/>
                <w:szCs w:val="22"/>
                <w:lang w:val="en-US" w:eastAsia="zh-CN"/>
              </w:rPr>
              <w:fldChar w:fldCharType="separate"/>
            </w:r>
            <w:r>
              <w:rPr>
                <w:rFonts w:hint="default" w:ascii="Times New Roman" w:hAnsi="Times New Roman" w:eastAsia="仿宋_GB2312" w:cs="Times New Roman"/>
                <w:color w:val="000000"/>
                <w:sz w:val="22"/>
                <w:szCs w:val="22"/>
                <w:lang w:val="en-US" w:eastAsia="zh-CN"/>
              </w:rPr>
              <w:t>100</w:t>
            </w:r>
            <w:r>
              <w:rPr>
                <w:rFonts w:hint="default" w:ascii="Times New Roman" w:hAnsi="Times New Roman" w:eastAsia="仿宋_GB2312" w:cs="Times New Roman"/>
                <w:color w:val="000000"/>
                <w:sz w:val="22"/>
                <w:szCs w:val="22"/>
                <w:lang w:val="en-US" w:eastAsia="zh-CN"/>
              </w:rPr>
              <w:fldChar w:fldCharType="end"/>
            </w:r>
          </w:p>
        </w:tc>
        <w:tc>
          <w:tcPr>
            <w:tcW w:w="1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fldChar w:fldCharType="begin"/>
            </w:r>
            <w:r>
              <w:rPr>
                <w:rFonts w:hint="default" w:ascii="Times New Roman" w:hAnsi="Times New Roman" w:eastAsia="仿宋_GB2312" w:cs="Times New Roman"/>
                <w:color w:val="000000"/>
                <w:sz w:val="22"/>
                <w:szCs w:val="22"/>
                <w:lang w:val="en-US" w:eastAsia="zh-CN"/>
              </w:rPr>
              <w:instrText xml:space="preserve"> = sum(C2:C5) \* MERGEFORMAT </w:instrText>
            </w:r>
            <w:r>
              <w:rPr>
                <w:rFonts w:hint="default" w:ascii="Times New Roman" w:hAnsi="Times New Roman" w:eastAsia="仿宋_GB2312" w:cs="Times New Roman"/>
                <w:color w:val="000000"/>
                <w:sz w:val="22"/>
                <w:szCs w:val="22"/>
                <w:lang w:val="en-US" w:eastAsia="zh-CN"/>
              </w:rPr>
              <w:fldChar w:fldCharType="separate"/>
            </w:r>
            <w:r>
              <w:rPr>
                <w:rFonts w:hint="default" w:ascii="Times New Roman" w:hAnsi="Times New Roman" w:eastAsia="仿宋_GB2312" w:cs="Times New Roman"/>
                <w:color w:val="000000"/>
                <w:sz w:val="22"/>
                <w:szCs w:val="22"/>
                <w:lang w:val="en-US" w:eastAsia="zh-CN"/>
              </w:rPr>
              <w:t>81.75</w:t>
            </w:r>
            <w:r>
              <w:rPr>
                <w:rFonts w:hint="default" w:ascii="Times New Roman" w:hAnsi="Times New Roman" w:eastAsia="仿宋_GB2312" w:cs="Times New Roman"/>
                <w:color w:val="000000"/>
                <w:sz w:val="22"/>
                <w:szCs w:val="22"/>
                <w:lang w:val="en-US" w:eastAsia="zh-CN"/>
              </w:rPr>
              <w:fldChar w:fldCharType="end"/>
            </w:r>
          </w:p>
        </w:tc>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fldChar w:fldCharType="begin"/>
            </w:r>
            <w:r>
              <w:rPr>
                <w:rFonts w:hint="default" w:ascii="Times New Roman" w:hAnsi="Times New Roman" w:eastAsia="仿宋_GB2312" w:cs="Times New Roman"/>
                <w:color w:val="000000"/>
                <w:sz w:val="22"/>
                <w:szCs w:val="22"/>
                <w:lang w:val="en-US" w:eastAsia="zh-CN"/>
              </w:rPr>
              <w:instrText xml:space="preserve"> = sum(C2:C5) \* MERGEFORMAT </w:instrText>
            </w:r>
            <w:r>
              <w:rPr>
                <w:rFonts w:hint="default" w:ascii="Times New Roman" w:hAnsi="Times New Roman" w:eastAsia="仿宋_GB2312" w:cs="Times New Roman"/>
                <w:color w:val="000000"/>
                <w:sz w:val="22"/>
                <w:szCs w:val="22"/>
                <w:lang w:val="en-US" w:eastAsia="zh-CN"/>
              </w:rPr>
              <w:fldChar w:fldCharType="separate"/>
            </w:r>
            <w:r>
              <w:rPr>
                <w:rFonts w:hint="default" w:ascii="Times New Roman" w:hAnsi="Times New Roman" w:eastAsia="仿宋_GB2312" w:cs="Times New Roman"/>
                <w:color w:val="000000"/>
                <w:sz w:val="22"/>
                <w:szCs w:val="22"/>
                <w:lang w:val="en-US" w:eastAsia="zh-CN"/>
              </w:rPr>
              <w:t>81.75</w:t>
            </w:r>
            <w:r>
              <w:rPr>
                <w:rFonts w:hint="default" w:ascii="Times New Roman" w:hAnsi="Times New Roman" w:eastAsia="仿宋_GB2312" w:cs="Times New Roman"/>
                <w:color w:val="000000"/>
                <w:sz w:val="22"/>
                <w:szCs w:val="22"/>
                <w:lang w:val="en-US" w:eastAsia="zh-CN"/>
              </w:rPr>
              <w:fldChar w:fldCharType="end"/>
            </w:r>
            <w:r>
              <w:rPr>
                <w:rFonts w:hint="eastAsia" w:ascii="Times New Roman" w:hAnsi="Times New Roman" w:eastAsia="仿宋_GB2312" w:cs="Times New Roman"/>
                <w:color w:val="000000"/>
                <w:sz w:val="22"/>
                <w:szCs w:val="22"/>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菏泽市城市垃圾渗滤液处理政府购买服务项目立项依据充分，符合相关发展规划及部门职责，项目立项程序规范，但存在绩效目标与客观实际存在差异、个别指标设定不规范等问题。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该项目采购需求制定科学，政府采购计划制定完整准确、代理机构选择合规、资金支付及时、合同管理规范，但存在委托代理协议签订不规范、岗位分工职责未明确、履约验收、信息公开不规范等问题。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配备了专业管理人员和技术人员按照要求完成了渗滤液处理任务、定期对运行人员进行岗位培训、建立生活垃圾填埋场多项操作规程、污染物监测频率符合相关要求，但存在未制定大、中检修计划、培训记录留存不全等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项目实施后实现了垃圾的减量化、无害化、资源化处理，大大改善了城乡卫生环境，提升了居民生活质量，但存在水质达标排放未达合同要求、监督考核机制不健全等问题。</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default"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（二）项目效益分析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1.项目总体目标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通过投入成本费用600.00万元，以政府购买服务形式，配备渗滤液处理人数16人，维护渗滤液处理机器数量2台，计划处理量约为46000吨/年，达到规范处理，达标排放，减少环境污染的效益目标。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2.项目效益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生活垃圾填埋场生活垃圾来源为牡丹区、开发区、高新区及各乡镇的生活垃圾，日均入场量约1200余吨，累计处理生活垃圾170余万吨，实现了垃圾的减量化、无害化、资源化处理，大大改善了城乡卫生环境，提高了居民生活质量，促进了城市可持续发展。通过对垃圾渗滤液处置，促进了周边水质改善，避免水体富氧化，减少了地表水和地下水的污染，实现了水资源的可持续利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楷体" w:hAnsi="楷体" w:eastAsia="楷体" w:cs="楷体"/>
          <w:sz w:val="32"/>
          <w:szCs w:val="32"/>
          <w:lang w:val="en-US" w:eastAsia="zh-CN"/>
        </w:rPr>
      </w:pPr>
      <w:bookmarkStart w:id="8" w:name="_Toc13632"/>
      <w:r>
        <w:rPr>
          <w:rFonts w:hint="eastAsia" w:ascii="楷体" w:hAnsi="楷体" w:eastAsia="楷体" w:cs="楷体"/>
          <w:sz w:val="32"/>
          <w:szCs w:val="32"/>
          <w:lang w:val="en-US" w:eastAsia="zh-CN"/>
        </w:rPr>
        <w:t>（三）项目成本分析</w:t>
      </w:r>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2022年实际投入渗滤液费用600.00万元，实际处理量为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sum(C2:C5)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55927.8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0吨/年，处理单价为107.28元/吨，成本控制较好。</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bCs/>
          <w:snapToGrid/>
          <w:color w:val="000000"/>
          <w:szCs w:val="44"/>
          <w:lang w:val="en-US" w:eastAsia="zh-CN"/>
        </w:rPr>
      </w:pPr>
      <w:r>
        <w:rPr>
          <w:rFonts w:hint="eastAsia"/>
          <w:bCs/>
          <w:snapToGrid/>
          <w:color w:val="000000"/>
          <w:szCs w:val="44"/>
          <w:lang w:val="en-US" w:eastAsia="zh-CN"/>
        </w:rPr>
        <w:t>四、项目主要绩效、存在问题及原因分析</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（一）项目主要绩效</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bookmarkStart w:id="9" w:name="_Toc698"/>
      <w:r>
        <w:rPr>
          <w:rFonts w:hint="eastAsia" w:ascii="仿宋" w:hAnsi="仿宋" w:eastAsia="仿宋" w:cs="仿宋"/>
          <w:b/>
          <w:bCs/>
          <w:sz w:val="32"/>
          <w:szCs w:val="32"/>
          <w:lang w:val="en-US" w:eastAsia="zh-CN"/>
        </w:rPr>
        <w:t>1.实现垃圾减量化、无害化、资源化处理，改善城乡卫生环境</w:t>
      </w:r>
      <w:bookmarkEnd w:id="9"/>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2015年以来，随着菏泽市环境综合整治的大力实施和城乡环卫一体化的推进，生活垃圾填埋场在处理市区生活垃圾的同时，承担着周边办事处、部分乡镇及城乡结合部的生活垃圾。2017年，因菏泽市锦江垃圾焚烧发电厂停止运营，生活垃圾填埋场开始接收牡丹区、开发区、高新区及各乡镇的生活垃圾，日均入场量约1200余吨。目前，累计处理生活垃圾170余万吨，实现了垃圾的减量化、无害化、资源化处理，大大改善了城乡卫生环境，提高了居民生活质量，促进了城市可持续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bookmarkStart w:id="10" w:name="_Toc19292"/>
      <w:r>
        <w:rPr>
          <w:rFonts w:hint="eastAsia" w:ascii="仿宋" w:hAnsi="仿宋" w:eastAsia="仿宋" w:cs="仿宋"/>
          <w:b/>
          <w:bCs/>
          <w:sz w:val="32"/>
          <w:szCs w:val="32"/>
          <w:lang w:val="en-US" w:eastAsia="zh-CN"/>
        </w:rPr>
        <w:t>2.降低废水污染，提升环境整洁度</w:t>
      </w:r>
      <w:bookmarkEnd w:id="10"/>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渗滤液处理项目的实施，有效降低污染物的危害性，垃圾属于污染程度较高的物品，一旦产生流动性较强的渗滤液，就会从地表一路深入到泥土的内部，而针对性较强的处理工艺能够确保对污染物危害性的消除，阻止渗滤液继续污染的进程，避免二次污染，提升环境整洁度，为菏泽市人民创造一个干净宜居的环境。</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（二）存在问题及原因分析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bookmarkStart w:id="11" w:name="_Toc1820"/>
      <w:r>
        <w:rPr>
          <w:rFonts w:hint="eastAsia" w:ascii="仿宋" w:hAnsi="仿宋" w:eastAsia="仿宋" w:cs="仿宋"/>
          <w:b/>
          <w:bCs/>
          <w:sz w:val="32"/>
          <w:szCs w:val="32"/>
          <w:lang w:val="en-US" w:eastAsia="zh-CN"/>
        </w:rPr>
        <w:t>1.水质达标排放未达合同要求，水质改善效果有待进一步提升</w:t>
      </w:r>
      <w:bookmarkEnd w:id="11"/>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2022年10月18日对污水的检测报告中，化学需氧量、氨氮、总氮等3项指标均超过标准限值，未达合同要求。</w:t>
      </w:r>
      <w:bookmarkStart w:id="12" w:name="_Toc2791"/>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w:t>
      </w:r>
      <w:r>
        <w:rPr>
          <w:rFonts w:hint="default" w:ascii="仿宋" w:hAnsi="仿宋" w:eastAsia="仿宋" w:cs="仿宋"/>
          <w:b/>
          <w:bCs/>
          <w:sz w:val="32"/>
          <w:szCs w:val="32"/>
          <w:lang w:val="en-US" w:eastAsia="zh-CN"/>
        </w:rPr>
        <w:t>生活垃圾填埋场</w:t>
      </w:r>
      <w:r>
        <w:rPr>
          <w:rFonts w:hint="eastAsia" w:ascii="仿宋" w:hAnsi="仿宋" w:eastAsia="仿宋" w:cs="仿宋"/>
          <w:b/>
          <w:bCs/>
          <w:sz w:val="32"/>
          <w:szCs w:val="32"/>
          <w:lang w:val="en-US" w:eastAsia="zh-CN"/>
        </w:rPr>
        <w:t>运行管理有待进一步加强</w:t>
      </w:r>
      <w:bookmarkEnd w:id="12"/>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是制度建设有待完善。经现场核查，生活垃圾填埋场已采取雨污分流措施，建立防渗衬层系统管理制度，定期检测防渗衬层系统完整性，实现雨水和污水的有效分离，但水质监测制度、水量监测制度建设有待完善。二是运行维护管理有待进一步加强。经现场核查，运营公司配备了专业管理人员和技术人员，具有工艺操作说明书，建立反渗透和纳滤、超滤等6项操作规程，但未制定大、中检修计划，不利于考核，无法衡量设施维修维护是否是按计划进行；三是档案管理有待加强。经现场核查，运营公司对岗位人员进行了业务培训，但培训记录未留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bookmarkStart w:id="13" w:name="_Toc23427"/>
      <w:r>
        <w:rPr>
          <w:rFonts w:hint="eastAsia" w:ascii="仿宋" w:hAnsi="仿宋" w:eastAsia="仿宋" w:cs="仿宋"/>
          <w:b/>
          <w:bCs/>
          <w:sz w:val="32"/>
          <w:szCs w:val="32"/>
          <w:lang w:val="en-US" w:eastAsia="zh-CN"/>
        </w:rPr>
        <w:t>3.监督考核机制有待进一步建立健全</w:t>
      </w:r>
      <w:bookmarkEnd w:id="13"/>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通过现场核查</w:t>
      </w:r>
      <w:r>
        <w:rPr>
          <w:rFonts w:hint="default" w:ascii="仿宋" w:hAnsi="仿宋" w:eastAsia="仿宋" w:cs="仿宋"/>
          <w:sz w:val="32"/>
          <w:szCs w:val="32"/>
          <w:lang w:val="en-US" w:eastAsia="zh-CN"/>
        </w:rPr>
        <w:t>生活垃圾填埋场</w:t>
      </w:r>
      <w:r>
        <w:rPr>
          <w:rFonts w:hint="eastAsia" w:ascii="仿宋" w:hAnsi="仿宋" w:eastAsia="仿宋" w:cs="仿宋"/>
          <w:sz w:val="32"/>
          <w:szCs w:val="32"/>
          <w:lang w:val="en-US" w:eastAsia="zh-CN"/>
        </w:rPr>
        <w:t>渗滤液处理系统的运行管理、设备设施的维护保养、安全生产、环境监测等情况，存在设备维修维护无计划、个别监测未达标、培训记录未留存、制度建设不完善等问题，结合目前提供的监督考核材料，也反映了监督考核机制有待进一步建立健全。</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bCs/>
          <w:snapToGrid/>
          <w:color w:val="000000"/>
          <w:szCs w:val="44"/>
          <w:lang w:val="en-US" w:eastAsia="zh-CN"/>
        </w:rPr>
      </w:pPr>
      <w:r>
        <w:rPr>
          <w:rFonts w:hint="eastAsia"/>
          <w:bCs/>
          <w:snapToGrid/>
          <w:color w:val="000000"/>
          <w:szCs w:val="44"/>
          <w:lang w:val="en-US" w:eastAsia="zh-CN"/>
        </w:rPr>
        <w:t>五、有关建议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bookmarkStart w:id="14" w:name="_Toc19833"/>
      <w:r>
        <w:rPr>
          <w:rFonts w:hint="eastAsia" w:ascii="仿宋" w:hAnsi="仿宋" w:eastAsia="仿宋" w:cs="仿宋"/>
          <w:b/>
          <w:bCs/>
          <w:sz w:val="32"/>
          <w:szCs w:val="32"/>
          <w:lang w:val="en-US" w:eastAsia="zh-CN"/>
        </w:rPr>
        <w:t>1.逐项分析原因，制定可行措施，提高水质改善效果</w:t>
      </w:r>
      <w:bookmarkEnd w:id="14"/>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议市城管局针对化学需氧量、氨氮、总氮等3项指标超标原因进行分析，分析影响化学需氧量、氨氮、总氮超标的关键因素，针对关键因素，制定补救措施，同时，应加强出水水质监测，进一步提升水质的改善效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bookmarkStart w:id="15" w:name="_Toc25388"/>
      <w:r>
        <w:rPr>
          <w:rFonts w:hint="eastAsia" w:ascii="仿宋" w:hAnsi="仿宋" w:eastAsia="仿宋" w:cs="仿宋"/>
          <w:b/>
          <w:bCs/>
          <w:sz w:val="32"/>
          <w:szCs w:val="32"/>
          <w:lang w:val="en-US" w:eastAsia="zh-CN"/>
        </w:rPr>
        <w:t>2.加强场站运行质量管理，提升场</w:t>
      </w:r>
      <w:bookmarkStart w:id="17" w:name="_GoBack"/>
      <w:bookmarkEnd w:id="17"/>
      <w:r>
        <w:rPr>
          <w:rFonts w:hint="eastAsia" w:ascii="仿宋" w:hAnsi="仿宋" w:eastAsia="仿宋" w:cs="仿宋"/>
          <w:b/>
          <w:bCs/>
          <w:sz w:val="32"/>
          <w:szCs w:val="32"/>
          <w:lang w:val="en-US" w:eastAsia="zh-CN"/>
        </w:rPr>
        <w:t>站运营管理水平</w:t>
      </w:r>
      <w:bookmarkEnd w:id="15"/>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bookmarkStart w:id="16" w:name="_Toc23260"/>
      <w:r>
        <w:rPr>
          <w:rFonts w:hint="eastAsia" w:ascii="仿宋" w:hAnsi="仿宋" w:eastAsia="仿宋" w:cs="仿宋"/>
          <w:sz w:val="32"/>
          <w:szCs w:val="32"/>
          <w:lang w:val="en-US" w:eastAsia="zh-CN"/>
        </w:rPr>
        <w:t>一是完善制度建设。建议按照《生活垃圾填埋场渗滤液处理工程技术规范》要求建立水质监测制度、水量监测制度。二是加强运行维护管理。建议按照《生活垃圾填埋场渗滤液处理工程技术规范》要求制定大、中检修计划和主要设备维护和保养规程，及时更换损坏设备及部件，提高设备的完好率。三是档案管理有待加强。建议针对业务及应急管理等方面进行培训，培训记录按照相关档案管理办法进行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3.建立健全监督考核机制，提升政府购买服务水平</w:t>
      </w:r>
      <w:bookmarkEnd w:id="16"/>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议针对渗滤液处理系统的运行管理、设备设施的维护保养、安全生产、环境监测等方面建立健全监督考核机制，明确考核标准、考核频率、考核结果应用、考核不合格的处理办法等要求。通过对第三方的考核，有效提升第三方的服务水平。</w:t>
      </w:r>
    </w:p>
    <w:sectPr>
      <w:footerReference r:id="rId3" w:type="default"/>
      <w:pgSz w:w="11906" w:h="16838"/>
      <w:pgMar w:top="1701" w:right="1474" w:bottom="1701" w:left="1587" w:header="851" w:footer="1474"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671B8"/>
    <w:multiLevelType w:val="multilevel"/>
    <w:tmpl w:val="610671B8"/>
    <w:lvl w:ilvl="0" w:tentative="0">
      <w:start w:val="1"/>
      <w:numFmt w:val="chineseCountingThousand"/>
      <w:suff w:val="nothing"/>
      <w:lvlText w:val="%1、"/>
      <w:lvlJc w:val="left"/>
      <w:pPr>
        <w:ind w:left="425" w:hanging="425"/>
      </w:pPr>
      <w:rPr>
        <w:rFonts w:hint="eastAsia"/>
      </w:rPr>
    </w:lvl>
    <w:lvl w:ilvl="1" w:tentative="0">
      <w:start w:val="1"/>
      <w:numFmt w:val="chineseCountingThousand"/>
      <w:suff w:val="nothing"/>
      <w:lvlText w:val="（%2）"/>
      <w:lvlJc w:val="left"/>
      <w:pPr>
        <w:ind w:left="2877" w:hanging="567"/>
      </w:pPr>
      <w:rPr>
        <w:rFonts w:hint="eastAsia"/>
      </w:rPr>
    </w:lvl>
    <w:lvl w:ilvl="2" w:tentative="0">
      <w:start w:val="1"/>
      <w:numFmt w:val="decimal"/>
      <w:pStyle w:val="6"/>
      <w:suff w:val="nothing"/>
      <w:lvlText w:val="%3. "/>
      <w:lvlJc w:val="left"/>
      <w:pPr>
        <w:ind w:left="993" w:hanging="567"/>
      </w:pPr>
      <w:rPr>
        <w:rFonts w:hint="eastAsia"/>
      </w:rPr>
    </w:lvl>
    <w:lvl w:ilvl="3" w:tentative="0">
      <w:start w:val="1"/>
      <w:numFmt w:val="decimal"/>
      <w:suff w:val="nothing"/>
      <w:lvlText w:val="（%4）"/>
      <w:lvlJc w:val="left"/>
      <w:pPr>
        <w:ind w:left="992" w:hanging="425"/>
      </w:pPr>
      <w:rPr>
        <w:rFonts w:hint="eastAsia"/>
      </w:rPr>
    </w:lvl>
    <w:lvl w:ilvl="4" w:tentative="0">
      <w:start w:val="1"/>
      <w:numFmt w:val="decimal"/>
      <w:suff w:val="nothing"/>
      <w:lvlText w:val="%5）"/>
      <w:lvlJc w:val="left"/>
      <w:pPr>
        <w:ind w:left="992" w:hanging="113"/>
      </w:pPr>
      <w:rPr>
        <w:rFonts w:hint="eastAsia"/>
      </w:rPr>
    </w:lvl>
    <w:lvl w:ilvl="5" w:tentative="0">
      <w:start w:val="1"/>
      <w:numFmt w:val="decimal"/>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F11E3"/>
    <w:rsid w:val="00F505A0"/>
    <w:rsid w:val="061B1299"/>
    <w:rsid w:val="06351910"/>
    <w:rsid w:val="067610D2"/>
    <w:rsid w:val="0A4136DC"/>
    <w:rsid w:val="0A891503"/>
    <w:rsid w:val="0BCF61F8"/>
    <w:rsid w:val="0CF77A73"/>
    <w:rsid w:val="0D2C799D"/>
    <w:rsid w:val="0EE4192E"/>
    <w:rsid w:val="142E449C"/>
    <w:rsid w:val="15A2564A"/>
    <w:rsid w:val="16AA2D18"/>
    <w:rsid w:val="1AD64829"/>
    <w:rsid w:val="1B697783"/>
    <w:rsid w:val="1D057ED5"/>
    <w:rsid w:val="1F037166"/>
    <w:rsid w:val="23802D1B"/>
    <w:rsid w:val="27CE7742"/>
    <w:rsid w:val="29B13460"/>
    <w:rsid w:val="2A146914"/>
    <w:rsid w:val="2C005C55"/>
    <w:rsid w:val="38F115A1"/>
    <w:rsid w:val="399A566A"/>
    <w:rsid w:val="3ADB364D"/>
    <w:rsid w:val="3CAE71FE"/>
    <w:rsid w:val="42204EB5"/>
    <w:rsid w:val="42E111CF"/>
    <w:rsid w:val="45EE7D8D"/>
    <w:rsid w:val="4A6322C3"/>
    <w:rsid w:val="4C6E0437"/>
    <w:rsid w:val="4D62704B"/>
    <w:rsid w:val="4E73291C"/>
    <w:rsid w:val="522462FB"/>
    <w:rsid w:val="52601456"/>
    <w:rsid w:val="54921C42"/>
    <w:rsid w:val="555F48ED"/>
    <w:rsid w:val="56006068"/>
    <w:rsid w:val="569212F1"/>
    <w:rsid w:val="575B67D4"/>
    <w:rsid w:val="5AC95862"/>
    <w:rsid w:val="5C924D42"/>
    <w:rsid w:val="5D5F46F0"/>
    <w:rsid w:val="61D153CB"/>
    <w:rsid w:val="62EB2352"/>
    <w:rsid w:val="63AA57A7"/>
    <w:rsid w:val="64E37928"/>
    <w:rsid w:val="677A37D4"/>
    <w:rsid w:val="68302CED"/>
    <w:rsid w:val="68A64545"/>
    <w:rsid w:val="6B614ECF"/>
    <w:rsid w:val="6F073FD6"/>
    <w:rsid w:val="70DA254F"/>
    <w:rsid w:val="73F55E8B"/>
    <w:rsid w:val="76822B5C"/>
    <w:rsid w:val="77D25F22"/>
    <w:rsid w:val="794908F9"/>
    <w:rsid w:val="7D29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2"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4"/>
    <w:next w:val="4"/>
    <w:qFormat/>
    <w:uiPriority w:val="9"/>
    <w:pPr>
      <w:keepNext/>
      <w:keepLines/>
      <w:spacing w:line="360" w:lineRule="auto"/>
      <w:ind w:firstLine="723" w:firstLineChars="200"/>
      <w:outlineLvl w:val="0"/>
    </w:pPr>
    <w:rPr>
      <w:rFonts w:eastAsia="黑体"/>
      <w:kern w:val="44"/>
      <w:sz w:val="32"/>
    </w:rPr>
  </w:style>
  <w:style w:type="paragraph" w:styleId="5">
    <w:name w:val="heading 2"/>
    <w:basedOn w:val="4"/>
    <w:next w:val="4"/>
    <w:unhideWhenUsed/>
    <w:qFormat/>
    <w:uiPriority w:val="9"/>
    <w:pPr>
      <w:keepNext/>
      <w:keepLines/>
      <w:spacing w:line="360" w:lineRule="auto"/>
      <w:ind w:firstLine="723" w:firstLineChars="200"/>
      <w:outlineLvl w:val="1"/>
    </w:pPr>
    <w:rPr>
      <w:rFonts w:ascii="Arial" w:hAnsi="Arial" w:eastAsia="楷体"/>
      <w:b/>
      <w:sz w:val="32"/>
    </w:rPr>
  </w:style>
  <w:style w:type="paragraph" w:styleId="6">
    <w:name w:val="heading 3"/>
    <w:basedOn w:val="1"/>
    <w:next w:val="1"/>
    <w:qFormat/>
    <w:uiPriority w:val="2"/>
    <w:pPr>
      <w:keepNext/>
      <w:keepLines/>
      <w:numPr>
        <w:ilvl w:val="2"/>
        <w:numId w:val="1"/>
      </w:numPr>
      <w:spacing w:before="120" w:after="60" w:line="500" w:lineRule="exact"/>
      <w:ind w:left="0" w:firstLine="1040" w:firstLineChars="200"/>
      <w:outlineLvl w:val="2"/>
    </w:pPr>
    <w:rPr>
      <w:rFonts w:eastAsia="仿宋_GB2312"/>
      <w:b/>
      <w:bCs/>
      <w:sz w:val="28"/>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9"/>
      <w:szCs w:val="29"/>
      <w:lang w:val="en-US" w:eastAsia="en-US" w:bidi="ar-SA"/>
    </w:rPr>
  </w:style>
  <w:style w:type="paragraph" w:customStyle="1" w:styleId="4">
    <w:name w:val="闻政正文"/>
    <w:basedOn w:val="1"/>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10">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11">
    <w:name w:val="toc 2"/>
    <w:basedOn w:val="1"/>
    <w:next w:val="1"/>
    <w:unhideWhenUsed/>
    <w:qFormat/>
    <w:uiPriority w:val="39"/>
    <w:pPr>
      <w:ind w:left="420" w:leftChars="200"/>
    </w:pPr>
  </w:style>
  <w:style w:type="paragraph" w:styleId="12">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footnote reference"/>
    <w:basedOn w:val="15"/>
    <w:qFormat/>
    <w:uiPriority w:val="0"/>
    <w:rPr>
      <w:vertAlign w:val="superscript"/>
    </w:rPr>
  </w:style>
  <w:style w:type="paragraph" w:customStyle="1" w:styleId="18">
    <w:name w:val="_Style 3"/>
    <w:basedOn w:val="1"/>
    <w:next w:val="19"/>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19">
    <w:name w:val="List Paragraph"/>
    <w:basedOn w:val="1"/>
    <w:qFormat/>
    <w:uiPriority w:val="34"/>
    <w:pPr>
      <w:ind w:firstLine="420" w:firstLineChars="200"/>
    </w:pPr>
  </w:style>
  <w:style w:type="paragraph" w:customStyle="1" w:styleId="20">
    <w:name w:val="p0"/>
    <w:basedOn w:val="1"/>
    <w:qFormat/>
    <w:uiPriority w:val="0"/>
    <w:pPr>
      <w:widowControl/>
    </w:pPr>
    <w:rPr>
      <w:kern w:val="0"/>
      <w:szCs w:val="21"/>
    </w:rPr>
  </w:style>
  <w:style w:type="paragraph" w:customStyle="1" w:styleId="21">
    <w:name w:val="闻政图表名"/>
    <w:basedOn w:val="1"/>
    <w:qFormat/>
    <w:uiPriority w:val="4"/>
    <w:pPr>
      <w:spacing w:before="60" w:after="60"/>
      <w:jc w:val="center"/>
    </w:pPr>
    <w:rPr>
      <w:rFonts w:ascii="Times New Roman" w:hAnsi="Times New Roman" w:eastAsia="仿宋_GB2312" w:cs="Times New Roman"/>
      <w:b/>
      <w:kern w:val="0"/>
      <w:sz w:val="24"/>
      <w:szCs w:val="28"/>
    </w:rPr>
  </w:style>
  <w:style w:type="table" w:customStyle="1" w:styleId="2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293</Words>
  <Characters>319</Characters>
  <Lines>0</Lines>
  <Paragraphs>0</Paragraphs>
  <TotalTime>20</TotalTime>
  <ScaleCrop>false</ScaleCrop>
  <LinksUpToDate>false</LinksUpToDate>
  <CharactersWithSpaces>335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2023-12-27T03:30:04Z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7C1162B69EF6409E8ADC8E909D0A1224_13</vt:lpwstr>
  </property>
</Properties>
</file>