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Times New Roman" w:hAnsi="Times New Roman" w:eastAsia="方正小标宋简体" w:cs="Times New Roman"/>
          <w:b w:val="0"/>
          <w:bCs/>
          <w:sz w:val="44"/>
          <w:szCs w:val="44"/>
          <w:lang w:val="en-US" w:eastAsia="zh-CN"/>
        </w:rPr>
      </w:pPr>
      <w:r>
        <w:rPr>
          <w:rFonts w:hint="default" w:ascii="Times New Roman" w:hAnsi="Times New Roman" w:eastAsia="方正小标宋简体" w:cs="Times New Roman"/>
          <w:b w:val="0"/>
          <w:bCs/>
          <w:sz w:val="44"/>
          <w:szCs w:val="44"/>
          <w:lang w:val="en-US" w:eastAsia="zh-CN"/>
        </w:rPr>
        <w:t>202</w:t>
      </w:r>
      <w:r>
        <w:rPr>
          <w:rFonts w:hint="eastAsia" w:ascii="Times New Roman" w:hAnsi="Times New Roman" w:eastAsia="方正小标宋简体" w:cs="Times New Roman"/>
          <w:b w:val="0"/>
          <w:bCs/>
          <w:sz w:val="44"/>
          <w:szCs w:val="44"/>
          <w:lang w:val="en-US" w:eastAsia="zh-CN"/>
        </w:rPr>
        <w:t>2</w:t>
      </w:r>
      <w:r>
        <w:rPr>
          <w:rFonts w:hint="default" w:ascii="Times New Roman" w:hAnsi="Times New Roman" w:eastAsia="方正小标宋简体" w:cs="Times New Roman"/>
          <w:b w:val="0"/>
          <w:bCs/>
          <w:sz w:val="44"/>
          <w:szCs w:val="44"/>
          <w:lang w:val="en-US" w:eastAsia="zh-CN"/>
        </w:rPr>
        <w:t>年度菏泽市立医院门诊综合楼建设</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Times New Roman" w:hAnsi="Times New Roman" w:eastAsia="方正小标宋简体" w:cs="Times New Roman"/>
          <w:b w:val="0"/>
          <w:bCs/>
          <w:sz w:val="44"/>
          <w:szCs w:val="44"/>
          <w:lang w:val="zh-CN"/>
        </w:rPr>
      </w:pPr>
      <w:r>
        <w:rPr>
          <w:rFonts w:hint="default" w:ascii="Times New Roman" w:hAnsi="Times New Roman" w:eastAsia="方正小标宋简体" w:cs="Times New Roman"/>
          <w:b w:val="0"/>
          <w:bCs/>
          <w:sz w:val="44"/>
          <w:szCs w:val="44"/>
          <w:lang w:val="en-US" w:eastAsia="zh-CN"/>
        </w:rPr>
        <w:t>项目</w:t>
      </w:r>
      <w:r>
        <w:rPr>
          <w:rFonts w:hint="eastAsia" w:ascii="Times New Roman" w:hAnsi="Times New Roman" w:eastAsia="方正小标宋简体" w:cs="Times New Roman"/>
          <w:b w:val="0"/>
          <w:bCs/>
          <w:sz w:val="44"/>
          <w:szCs w:val="44"/>
          <w:lang w:val="en-US" w:eastAsia="zh-CN"/>
        </w:rPr>
        <w:t>支出</w:t>
      </w:r>
      <w:r>
        <w:rPr>
          <w:rFonts w:hint="default" w:ascii="Times New Roman" w:hAnsi="Times New Roman" w:eastAsia="方正小标宋简体" w:cs="Times New Roman"/>
          <w:b w:val="0"/>
          <w:bCs/>
          <w:sz w:val="44"/>
          <w:szCs w:val="44"/>
          <w:lang w:val="zh-CN"/>
        </w:rPr>
        <w:t>绩效评价报告</w:t>
      </w:r>
    </w:p>
    <w:p>
      <w:pPr>
        <w:keepNext w:val="0"/>
        <w:keepLines w:val="0"/>
        <w:pageBreakBefore w:val="0"/>
        <w:widowControl w:val="0"/>
        <w:kinsoku/>
        <w:wordWrap/>
        <w:overflowPunct/>
        <w:topLinePunct w:val="0"/>
        <w:autoSpaceDE/>
        <w:autoSpaceDN/>
        <w:bidi w:val="0"/>
        <w:spacing w:line="240" w:lineRule="auto"/>
        <w:ind w:firstLine="0" w:firstLineChars="0"/>
        <w:jc w:val="center"/>
        <w:textAlignment w:val="auto"/>
        <w:outlineLvl w:val="9"/>
        <w:rPr>
          <w:rFonts w:hint="default" w:ascii="Times New Roman" w:hAnsi="Times New Roman" w:eastAsia="宋体" w:cs="Times New Roman"/>
          <w:bCs/>
          <w:sz w:val="32"/>
          <w:szCs w:val="32"/>
          <w:lang w:eastAsia="zh-CN"/>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0" w:firstLineChars="200"/>
        <w:jc w:val="both"/>
        <w:textAlignment w:val="auto"/>
        <w:outlineLvl w:val="0"/>
        <w:rPr>
          <w:rFonts w:hint="default" w:ascii="Times New Roman" w:hAnsi="Times New Roman" w:eastAsia="黑体" w:cs="Times New Roman"/>
          <w:bCs/>
          <w:sz w:val="32"/>
          <w:szCs w:val="32"/>
          <w:lang w:val="en-US" w:eastAsia="zh-CN"/>
        </w:rPr>
      </w:pPr>
      <w:r>
        <w:rPr>
          <w:rFonts w:hint="default" w:ascii="Times New Roman" w:hAnsi="Times New Roman" w:eastAsia="黑体" w:cs="Times New Roman"/>
          <w:sz w:val="32"/>
          <w:szCs w:val="32"/>
          <w:lang w:val="en-US" w:eastAsia="zh-CN"/>
        </w:rPr>
        <w:t>项目</w:t>
      </w:r>
      <w:r>
        <w:rPr>
          <w:rFonts w:hint="default" w:ascii="Times New Roman" w:hAnsi="Times New Roman" w:eastAsia="黑体" w:cs="Times New Roman"/>
          <w:bCs/>
          <w:sz w:val="32"/>
          <w:szCs w:val="32"/>
          <w:lang w:val="en-US" w:eastAsia="zh-CN"/>
        </w:rPr>
        <w:t>基本情况</w:t>
      </w:r>
    </w:p>
    <w:p>
      <w:pPr>
        <w:pStyle w:val="10"/>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outlineLvl w:val="1"/>
        <w:rPr>
          <w:rFonts w:hint="default" w:ascii="Times New Roman" w:hAnsi="Times New Roman" w:cs="Times New Roman"/>
          <w:lang w:val="en-US" w:eastAsia="zh-CN"/>
        </w:rPr>
      </w:pPr>
      <w:r>
        <w:rPr>
          <w:rFonts w:hint="default" w:ascii="Times New Roman" w:hAnsi="Times New Roman" w:eastAsia="楷体" w:cs="Times New Roman"/>
          <w:lang w:val="en-US" w:eastAsia="zh-CN"/>
        </w:rPr>
        <w:t>（一）项目概况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 w:cs="Times New Roman"/>
          <w:b/>
          <w:bCs/>
          <w:sz w:val="32"/>
          <w:szCs w:val="32"/>
          <w:lang w:val="en-US" w:eastAsia="zh-CN"/>
        </w:rPr>
        <w:t>1.项目立项背景</w:t>
      </w:r>
    </w:p>
    <w:p>
      <w:pPr>
        <w:pStyle w:val="10"/>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outlineLvl w:val="9"/>
        <w:rPr>
          <w:rFonts w:hint="default" w:ascii="Times New Roman" w:hAnsi="Times New Roman" w:cs="Times New Roman"/>
          <w:lang w:val="en-US" w:eastAsia="zh-CN"/>
        </w:rPr>
      </w:pPr>
      <w:r>
        <w:rPr>
          <w:rFonts w:hint="default" w:ascii="Times New Roman" w:hAnsi="Times New Roman" w:eastAsia="仿宋" w:cs="Times New Roman"/>
          <w:color w:val="auto"/>
          <w:kern w:val="0"/>
          <w:sz w:val="32"/>
          <w:szCs w:val="32"/>
          <w:highlight w:val="none"/>
          <w:lang w:val="en-US" w:eastAsia="zh-CN"/>
        </w:rPr>
        <w:t>近几年，菏泽市立医院就诊住院病人越来越多，门急诊大厅面积小，现已不能够满足使用需要，住院楼呈现满负荷或超负荷运营，医疗卫生人员负担大为增加。医院现有医技楼设置不合理，病房楼与医技检查楼位置分散，相隔较远，病人进行相关检查比较费时费力。医院现有停车场场地有限，就诊病人停车难，严重制约医院的发展，无法满足菏泽市人民群众日益增长的对治疗、康复、保健的需要，所以改扩建成了医院当务之急。</w:t>
      </w:r>
      <w:r>
        <w:rPr>
          <w:rFonts w:hint="default" w:ascii="Times New Roman" w:hAnsi="Times New Roman" w:eastAsia="仿宋" w:cs="Times New Roman"/>
          <w:bCs w:val="0"/>
          <w:color w:val="auto"/>
          <w:spacing w:val="0"/>
          <w:kern w:val="0"/>
          <w:sz w:val="32"/>
          <w:szCs w:val="32"/>
          <w:highlight w:val="none"/>
          <w:lang w:eastAsia="zh-CN"/>
        </w:rPr>
        <w:t>菏泽市立医院门诊综合楼建设</w:t>
      </w:r>
      <w:r>
        <w:rPr>
          <w:rFonts w:hint="default" w:ascii="Times New Roman" w:hAnsi="Times New Roman" w:eastAsia="仿宋" w:cs="Times New Roman"/>
          <w:color w:val="auto"/>
          <w:kern w:val="0"/>
          <w:sz w:val="32"/>
          <w:szCs w:val="32"/>
          <w:highlight w:val="none"/>
          <w:lang w:val="en-US" w:eastAsia="zh-CN"/>
        </w:rPr>
        <w:t>项目的实施，对于优化全市卫生资源配置、推动卫生事业整体发展，将起到极大的推动作用。</w:t>
      </w:r>
    </w:p>
    <w:p>
      <w:pPr>
        <w:pStyle w:val="10"/>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outlineLvl w:val="9"/>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2.实施内容</w:t>
      </w:r>
    </w:p>
    <w:p>
      <w:pPr>
        <w:pStyle w:val="10"/>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outlineLvl w:val="9"/>
        <w:rPr>
          <w:rFonts w:hint="default" w:ascii="Times New Roman" w:hAnsi="Times New Roman" w:cs="Times New Roman"/>
          <w:lang w:val="en-US" w:eastAsia="zh-CN"/>
        </w:rPr>
      </w:pPr>
      <w:r>
        <w:rPr>
          <w:rFonts w:hint="default" w:ascii="Times New Roman" w:hAnsi="Times New Roman" w:eastAsia="仿宋" w:cs="Times New Roman"/>
          <w:bCs w:val="0"/>
          <w:color w:val="auto"/>
          <w:spacing w:val="0"/>
          <w:kern w:val="0"/>
          <w:sz w:val="32"/>
          <w:szCs w:val="32"/>
          <w:highlight w:val="none"/>
          <w:lang w:val="en-US" w:eastAsia="zh-CN"/>
        </w:rPr>
        <w:t>本项目为综合楼项目一期工程，主要建设可相对独立运作的全院门诊区——门诊综合楼，主要包含门诊、急诊、医技、病房及附属配套设施，其中：裙楼大部分为7层，局部8层，南侧部分12层，主要包括门诊、急诊、医技、院务及会诊中心；住院楼为主楼8-23层</w:t>
      </w:r>
      <w:r>
        <w:rPr>
          <w:rFonts w:hint="default" w:ascii="Times New Roman" w:hAnsi="Times New Roman" w:cs="Times New Roman"/>
          <w:bCs w:val="0"/>
          <w:color w:val="auto"/>
          <w:spacing w:val="0"/>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3.组织实施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 w:cs="Times New Roman"/>
          <w:bCs w:val="0"/>
          <w:color w:val="auto"/>
          <w:spacing w:val="0"/>
          <w:kern w:val="0"/>
          <w:sz w:val="32"/>
          <w:szCs w:val="32"/>
          <w:highlight w:val="none"/>
          <w:lang w:val="en-US" w:eastAsia="zh-CN" w:bidi="ar-SA"/>
        </w:rPr>
        <w:t>本项目计划建设期3.5年，计划建设期为2019年8月至2023年6月，2023年7月正式运营。受疫情及环境整治影响，项目仍在建设中，目前正在加快推进项目建设。</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4.资金投入和使用情况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 w:cs="Times New Roman"/>
          <w:bCs w:val="0"/>
          <w:color w:val="auto"/>
          <w:spacing w:val="0"/>
          <w:kern w:val="0"/>
          <w:sz w:val="32"/>
          <w:szCs w:val="32"/>
          <w:highlight w:val="none"/>
          <w:lang w:val="en-US" w:eastAsia="zh-CN" w:bidi="ar-SA"/>
        </w:rPr>
      </w:pPr>
      <w:r>
        <w:rPr>
          <w:rFonts w:hint="default" w:ascii="Times New Roman" w:hAnsi="Times New Roman" w:eastAsia="仿宋" w:cs="Times New Roman"/>
          <w:bCs w:val="0"/>
          <w:color w:val="auto"/>
          <w:spacing w:val="0"/>
          <w:kern w:val="0"/>
          <w:sz w:val="32"/>
          <w:szCs w:val="32"/>
          <w:highlight w:val="none"/>
          <w:lang w:val="en-US" w:eastAsia="zh-CN" w:bidi="ar-SA"/>
        </w:rPr>
        <w:t>本项目投资126230.25万元，建设期发债利息6230.25万元。资金来源主要为地方政府债券、上级无偿资金及自筹资金。</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 w:cs="Times New Roman"/>
          <w:bCs w:val="0"/>
          <w:color w:val="auto"/>
          <w:spacing w:val="0"/>
          <w:kern w:val="0"/>
          <w:sz w:val="32"/>
          <w:szCs w:val="32"/>
          <w:highlight w:val="none"/>
          <w:lang w:val="en-US" w:eastAsia="zh-CN" w:bidi="ar-SA"/>
        </w:rPr>
      </w:pPr>
      <w:r>
        <w:rPr>
          <w:rFonts w:hint="default" w:ascii="Times New Roman" w:hAnsi="Times New Roman" w:eastAsia="仿宋" w:cs="Times New Roman"/>
          <w:bCs w:val="0"/>
          <w:color w:val="auto"/>
          <w:spacing w:val="0"/>
          <w:kern w:val="0"/>
          <w:sz w:val="32"/>
          <w:szCs w:val="32"/>
          <w:highlight w:val="none"/>
          <w:lang w:val="en-US" w:eastAsia="zh-CN" w:bidi="ar-SA"/>
        </w:rPr>
        <w:t>截至2023年7月，市立医院门诊综合楼建设项目到位的专项债资金20000万元已全部支出。</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outlineLvl w:val="1"/>
        <w:rPr>
          <w:rFonts w:hint="default" w:ascii="Times New Roman" w:hAnsi="Times New Roman" w:eastAsia="楷体" w:cs="Times New Roman"/>
          <w:kern w:val="2"/>
          <w:sz w:val="32"/>
          <w:szCs w:val="32"/>
          <w:lang w:val="en-US" w:eastAsia="zh-CN" w:bidi="ar-SA"/>
        </w:rPr>
      </w:pPr>
      <w:r>
        <w:rPr>
          <w:rFonts w:hint="default" w:ascii="Times New Roman" w:hAnsi="Times New Roman" w:eastAsia="楷体" w:cs="Times New Roman"/>
          <w:kern w:val="2"/>
          <w:sz w:val="32"/>
          <w:szCs w:val="32"/>
          <w:lang w:val="en-US" w:eastAsia="zh-CN" w:bidi="ar-SA"/>
        </w:rPr>
        <w:t>（二）绩效目标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val="en-US" w:eastAsia="zh-CN"/>
        </w:rPr>
        <w:t>1.总体绩效目标</w:t>
      </w:r>
    </w:p>
    <w:p>
      <w:pPr>
        <w:pStyle w:val="2"/>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cs="Times New Roman"/>
          <w:lang w:val="en-US" w:eastAsia="zh-CN"/>
        </w:rPr>
      </w:pPr>
      <w:r>
        <w:rPr>
          <w:rFonts w:hint="default" w:ascii="Times New Roman" w:hAnsi="Times New Roman" w:eastAsia="仿宋" w:cs="Times New Roman"/>
          <w:bCs w:val="0"/>
          <w:color w:val="auto"/>
          <w:spacing w:val="0"/>
          <w:kern w:val="0"/>
          <w:sz w:val="32"/>
          <w:szCs w:val="32"/>
          <w:highlight w:val="none"/>
          <w:lang w:val="en-US" w:eastAsia="zh-CN" w:bidi="ar-SA"/>
        </w:rPr>
        <w:t>项目主要建设门诊综合楼项目一栋，建筑主体23层，裙楼整体7层，局部8层，建设可相对独立运作的全院门诊区——门诊综合楼，主要包含门诊、急诊、医技、病房及附属配套设施。设定床位660张、提供机动车停车位数量约1000个，切实完善菏泽市医疗卫生事业设施配套，推动菏泽公共医疗卫生水平的提高，促进菏泽市卫生健康事业发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val="en-US" w:eastAsia="zh-CN"/>
        </w:rPr>
        <w:t>2.年度绩效目标</w:t>
      </w:r>
    </w:p>
    <w:p>
      <w:pPr>
        <w:pStyle w:val="2"/>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 w:cs="Times New Roman"/>
          <w:bCs w:val="0"/>
          <w:color w:val="auto"/>
          <w:spacing w:val="0"/>
          <w:kern w:val="0"/>
          <w:sz w:val="32"/>
          <w:szCs w:val="32"/>
          <w:highlight w:val="none"/>
          <w:lang w:val="en-US" w:eastAsia="zh-CN" w:bidi="ar-SA"/>
        </w:rPr>
      </w:pPr>
      <w:r>
        <w:rPr>
          <w:rFonts w:hint="default" w:ascii="Times New Roman" w:hAnsi="Times New Roman" w:eastAsia="仿宋" w:cs="Times New Roman"/>
          <w:bCs w:val="0"/>
          <w:color w:val="auto"/>
          <w:spacing w:val="0"/>
          <w:kern w:val="0"/>
          <w:sz w:val="32"/>
          <w:szCs w:val="32"/>
          <w:highlight w:val="none"/>
          <w:lang w:val="en-US" w:eastAsia="zh-CN" w:bidi="ar-SA"/>
        </w:rPr>
        <w:t>产出数量指标为：①完成勘察、设计、施工、监理及重要设备和材料的采购等招标活动，应招尽招，确定供应商，落实各项项目建设实施条件并组织项目实施；②消防工程完成总进度≥90%，幕墙工程完成总进度≥90%，水电安装完成总进度≥90%，抹灰工程完成总进度≥90%，防水工程完成总进度≥90%，项目其他工程综合完成总进度≥90%。</w:t>
      </w:r>
    </w:p>
    <w:p>
      <w:pPr>
        <w:pStyle w:val="2"/>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 w:cs="Times New Roman"/>
          <w:bCs w:val="0"/>
          <w:color w:val="auto"/>
          <w:spacing w:val="0"/>
          <w:kern w:val="0"/>
          <w:sz w:val="32"/>
          <w:szCs w:val="32"/>
          <w:highlight w:val="none"/>
          <w:lang w:val="en-US" w:eastAsia="zh-CN" w:bidi="ar-SA"/>
        </w:rPr>
      </w:pPr>
      <w:r>
        <w:rPr>
          <w:rFonts w:hint="default" w:ascii="Times New Roman" w:hAnsi="Times New Roman" w:eastAsia="仿宋" w:cs="Times New Roman"/>
          <w:bCs w:val="0"/>
          <w:color w:val="auto"/>
          <w:spacing w:val="0"/>
          <w:kern w:val="0"/>
          <w:sz w:val="32"/>
          <w:szCs w:val="32"/>
          <w:highlight w:val="none"/>
          <w:lang w:val="en-US" w:eastAsia="zh-CN" w:bidi="ar-SA"/>
        </w:rPr>
        <w:t>产出质量指标为：工程项目分别完成分部验收、分项验收、专项验收，验收合格率为100%。</w:t>
      </w:r>
    </w:p>
    <w:p>
      <w:pPr>
        <w:pStyle w:val="2"/>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 w:cs="Times New Roman"/>
          <w:bCs w:val="0"/>
          <w:color w:val="auto"/>
          <w:spacing w:val="0"/>
          <w:kern w:val="0"/>
          <w:sz w:val="32"/>
          <w:szCs w:val="32"/>
          <w:highlight w:val="none"/>
          <w:lang w:val="en-US" w:eastAsia="zh-CN" w:bidi="ar-SA"/>
        </w:rPr>
      </w:pPr>
      <w:r>
        <w:rPr>
          <w:rFonts w:hint="default" w:ascii="Times New Roman" w:hAnsi="Times New Roman" w:eastAsia="仿宋" w:cs="Times New Roman"/>
          <w:bCs w:val="0"/>
          <w:color w:val="auto"/>
          <w:spacing w:val="0"/>
          <w:kern w:val="0"/>
          <w:sz w:val="32"/>
          <w:szCs w:val="32"/>
          <w:highlight w:val="none"/>
          <w:lang w:val="en-US" w:eastAsia="zh-CN" w:bidi="ar-SA"/>
        </w:rPr>
        <w:t>产出时效指标为：①项目开工及时率为100%；②项目完工及时率为100%。</w:t>
      </w:r>
    </w:p>
    <w:p>
      <w:pPr>
        <w:pStyle w:val="2"/>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 w:cs="Times New Roman"/>
          <w:bCs w:val="0"/>
          <w:color w:val="auto"/>
          <w:spacing w:val="0"/>
          <w:kern w:val="0"/>
          <w:sz w:val="32"/>
          <w:szCs w:val="32"/>
          <w:highlight w:val="none"/>
          <w:lang w:val="en-US" w:eastAsia="zh-CN" w:bidi="ar-SA"/>
        </w:rPr>
      </w:pPr>
      <w:r>
        <w:rPr>
          <w:rFonts w:hint="default" w:ascii="Times New Roman" w:hAnsi="Times New Roman" w:eastAsia="仿宋" w:cs="Times New Roman"/>
          <w:bCs w:val="0"/>
          <w:color w:val="auto"/>
          <w:spacing w:val="0"/>
          <w:kern w:val="0"/>
          <w:sz w:val="32"/>
          <w:szCs w:val="32"/>
          <w:highlight w:val="none"/>
          <w:lang w:val="en-US" w:eastAsia="zh-CN" w:bidi="ar-SA"/>
        </w:rPr>
        <w:t>经济效益指标为：项目实施后，菏泽市立医院运营收入稳定、可以满足专项债券还本付息。</w:t>
      </w:r>
    </w:p>
    <w:p>
      <w:pPr>
        <w:pStyle w:val="2"/>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 w:cs="Times New Roman"/>
          <w:bCs w:val="0"/>
          <w:color w:val="auto"/>
          <w:spacing w:val="0"/>
          <w:kern w:val="0"/>
          <w:sz w:val="32"/>
          <w:szCs w:val="32"/>
          <w:highlight w:val="none"/>
          <w:lang w:val="en-US" w:eastAsia="zh-CN" w:bidi="ar-SA"/>
        </w:rPr>
      </w:pPr>
      <w:r>
        <w:rPr>
          <w:rFonts w:hint="default" w:ascii="Times New Roman" w:hAnsi="Times New Roman" w:eastAsia="仿宋" w:cs="Times New Roman"/>
          <w:bCs w:val="0"/>
          <w:color w:val="auto"/>
          <w:spacing w:val="0"/>
          <w:kern w:val="0"/>
          <w:sz w:val="32"/>
          <w:szCs w:val="32"/>
          <w:highlight w:val="none"/>
          <w:lang w:val="en-US" w:eastAsia="zh-CN" w:bidi="ar-SA"/>
        </w:rPr>
        <w:t>社会效益指标为：①项目实施有效改善菏泽市医疗条件，增加床位、停车位及诊疗类型，有效促进菏泽地区多层次、多样化的公共卫生服务需求；②2022年项目带动群众就业人数较2021年有所增长。</w:t>
      </w:r>
    </w:p>
    <w:p>
      <w:pPr>
        <w:pStyle w:val="2"/>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 w:cs="Times New Roman"/>
          <w:bCs w:val="0"/>
          <w:color w:val="auto"/>
          <w:spacing w:val="0"/>
          <w:kern w:val="0"/>
          <w:sz w:val="32"/>
          <w:szCs w:val="32"/>
          <w:highlight w:val="none"/>
          <w:lang w:val="en-US" w:eastAsia="zh-CN" w:bidi="ar-SA"/>
        </w:rPr>
      </w:pPr>
      <w:r>
        <w:rPr>
          <w:rFonts w:hint="default" w:ascii="Times New Roman" w:hAnsi="Times New Roman" w:eastAsia="仿宋" w:cs="Times New Roman"/>
          <w:bCs w:val="0"/>
          <w:color w:val="auto"/>
          <w:spacing w:val="0"/>
          <w:kern w:val="0"/>
          <w:sz w:val="32"/>
          <w:szCs w:val="32"/>
          <w:highlight w:val="none"/>
          <w:lang w:val="en-US" w:eastAsia="zh-CN" w:bidi="ar-SA"/>
        </w:rPr>
        <w:t>可持续影响指标为：项目收益覆盖融资本息倍数稳定，项目可以得到可持续性发展。</w:t>
      </w:r>
    </w:p>
    <w:p>
      <w:pPr>
        <w:pStyle w:val="2"/>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 w:cs="Times New Roman"/>
          <w:bCs w:val="0"/>
          <w:color w:val="auto"/>
          <w:spacing w:val="0"/>
          <w:kern w:val="0"/>
          <w:sz w:val="32"/>
          <w:szCs w:val="32"/>
          <w:highlight w:val="none"/>
          <w:lang w:val="en-US" w:eastAsia="zh-CN" w:bidi="ar-SA"/>
        </w:rPr>
      </w:pPr>
      <w:r>
        <w:rPr>
          <w:rFonts w:hint="default" w:ascii="Times New Roman" w:hAnsi="Times New Roman" w:eastAsia="仿宋" w:cs="Times New Roman"/>
          <w:bCs w:val="0"/>
          <w:color w:val="auto"/>
          <w:spacing w:val="0"/>
          <w:kern w:val="0"/>
          <w:sz w:val="32"/>
          <w:szCs w:val="32"/>
          <w:highlight w:val="none"/>
          <w:lang w:val="en-US" w:eastAsia="zh-CN" w:bidi="ar-SA"/>
        </w:rPr>
        <w:t>满意度指标为：受益群体满意度为95%。</w:t>
      </w:r>
    </w:p>
    <w:p>
      <w:pPr>
        <w:pStyle w:val="10"/>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default" w:ascii="Times New Roman" w:hAnsi="Times New Roman" w:eastAsia="黑体" w:cs="Times New Roman"/>
          <w:bCs/>
          <w:kern w:val="2"/>
          <w:sz w:val="32"/>
          <w:szCs w:val="32"/>
          <w:lang w:val="en-US" w:eastAsia="zh-CN" w:bidi="ar-SA"/>
        </w:rPr>
      </w:pPr>
      <w:r>
        <w:rPr>
          <w:rFonts w:hint="default" w:ascii="Times New Roman" w:hAnsi="Times New Roman" w:eastAsia="黑体" w:cs="Times New Roman"/>
          <w:bCs/>
          <w:kern w:val="2"/>
          <w:sz w:val="32"/>
          <w:szCs w:val="32"/>
          <w:lang w:val="en-US" w:eastAsia="zh-CN" w:bidi="ar-SA"/>
        </w:rPr>
        <w:t>二、评价基本情况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outlineLvl w:val="1"/>
        <w:rPr>
          <w:rFonts w:hint="default" w:ascii="Times New Roman" w:hAnsi="Times New Roman" w:eastAsia="楷体" w:cs="Times New Roman"/>
          <w:sz w:val="32"/>
          <w:szCs w:val="32"/>
          <w:lang w:val="en-US" w:eastAsia="zh-CN"/>
        </w:rPr>
      </w:pPr>
      <w:r>
        <w:rPr>
          <w:rFonts w:hint="default" w:ascii="Times New Roman" w:hAnsi="Times New Roman" w:eastAsia="楷体" w:cs="Times New Roman"/>
          <w:sz w:val="32"/>
          <w:szCs w:val="32"/>
          <w:lang w:val="en-US" w:eastAsia="zh-CN"/>
        </w:rPr>
        <w:t>（一）绩效评价目的、对象和范围</w:t>
      </w:r>
    </w:p>
    <w:p>
      <w:pPr>
        <w:pStyle w:val="2"/>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 w:cs="Times New Roman"/>
          <w:bCs w:val="0"/>
          <w:color w:val="auto"/>
          <w:spacing w:val="0"/>
          <w:kern w:val="0"/>
          <w:sz w:val="32"/>
          <w:szCs w:val="32"/>
          <w:highlight w:val="none"/>
          <w:lang w:val="en-US" w:eastAsia="zh-CN" w:bidi="ar-SA"/>
        </w:rPr>
      </w:pPr>
      <w:r>
        <w:rPr>
          <w:rFonts w:hint="default" w:ascii="Times New Roman" w:hAnsi="Times New Roman" w:eastAsia="仿宋" w:cs="Times New Roman"/>
          <w:bCs w:val="0"/>
          <w:color w:val="auto"/>
          <w:spacing w:val="0"/>
          <w:kern w:val="0"/>
          <w:sz w:val="32"/>
          <w:szCs w:val="32"/>
          <w:highlight w:val="none"/>
          <w:lang w:val="en-US" w:eastAsia="zh-CN" w:bidi="ar-SA"/>
        </w:rPr>
        <w:t>本次评价本着科学规范、协同配合、公开透明、强化运用的评价原则，运用成本效益分析法、比较法、公众（专家）评判法的评价方法，聚焦专项债券资金开展绩效评价，总结经验，发现问题，剖析原因，提出改进建议，查找债券资金使用和管理中的薄弱环节，进一步优化地方专项</w:t>
      </w:r>
      <w:r>
        <w:rPr>
          <w:rFonts w:hint="default" w:ascii="Times New Roman" w:hAnsi="Times New Roman" w:eastAsia="仿宋" w:cs="Times New Roman"/>
          <w:bCs w:val="0"/>
          <w:color w:val="auto"/>
          <w:spacing w:val="0"/>
          <w:kern w:val="0"/>
          <w:sz w:val="32"/>
          <w:szCs w:val="32"/>
          <w:highlight w:val="none"/>
          <w:lang w:val="zh-CN" w:eastAsia="zh-CN" w:bidi="ar-SA"/>
        </w:rPr>
        <w:t>债券资金</w:t>
      </w:r>
      <w:r>
        <w:rPr>
          <w:rFonts w:hint="default" w:ascii="Times New Roman" w:hAnsi="Times New Roman" w:eastAsia="仿宋" w:cs="Times New Roman"/>
          <w:bCs w:val="0"/>
          <w:color w:val="auto"/>
          <w:spacing w:val="0"/>
          <w:kern w:val="0"/>
          <w:sz w:val="32"/>
          <w:szCs w:val="32"/>
          <w:highlight w:val="none"/>
          <w:lang w:val="en-US" w:eastAsia="zh-CN" w:bidi="ar-SA"/>
        </w:rPr>
        <w:t>工作，提高财政资金配置效率和使用效益。</w:t>
      </w:r>
    </w:p>
    <w:p>
      <w:pPr>
        <w:pStyle w:val="2"/>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楷体" w:cs="Times New Roman"/>
          <w:sz w:val="32"/>
          <w:szCs w:val="32"/>
          <w:lang w:val="en-US" w:eastAsia="zh-CN"/>
        </w:rPr>
      </w:pPr>
      <w:r>
        <w:rPr>
          <w:rFonts w:hint="default" w:ascii="Times New Roman" w:hAnsi="Times New Roman" w:eastAsia="仿宋" w:cs="Times New Roman"/>
          <w:bCs w:val="0"/>
          <w:color w:val="auto"/>
          <w:spacing w:val="0"/>
          <w:kern w:val="0"/>
          <w:sz w:val="32"/>
          <w:szCs w:val="32"/>
          <w:highlight w:val="none"/>
          <w:lang w:val="zh-CN" w:eastAsia="zh-CN" w:bidi="ar-SA"/>
        </w:rPr>
        <w:t>评价对象</w:t>
      </w:r>
      <w:r>
        <w:rPr>
          <w:rFonts w:hint="default" w:ascii="Times New Roman" w:hAnsi="Times New Roman" w:eastAsia="仿宋" w:cs="Times New Roman"/>
          <w:bCs w:val="0"/>
          <w:color w:val="auto"/>
          <w:spacing w:val="0"/>
          <w:kern w:val="0"/>
          <w:sz w:val="32"/>
          <w:szCs w:val="32"/>
          <w:highlight w:val="none"/>
          <w:lang w:val="en-US" w:eastAsia="zh-CN" w:bidi="ar-SA"/>
        </w:rPr>
        <w:t>为菏泽市立医院门诊综合楼建设项目2022年专项债券资金20000万元，</w:t>
      </w:r>
      <w:r>
        <w:rPr>
          <w:rFonts w:hint="default" w:ascii="Times New Roman" w:hAnsi="Times New Roman" w:eastAsia="仿宋" w:cs="Times New Roman"/>
          <w:bCs w:val="0"/>
          <w:color w:val="auto"/>
          <w:spacing w:val="0"/>
          <w:kern w:val="0"/>
          <w:sz w:val="32"/>
          <w:szCs w:val="32"/>
          <w:highlight w:val="none"/>
          <w:lang w:val="zh-CN" w:eastAsia="zh-CN" w:bidi="ar-SA"/>
        </w:rPr>
        <w:t>评价范围为</w:t>
      </w:r>
      <w:r>
        <w:rPr>
          <w:rFonts w:hint="default" w:ascii="Times New Roman" w:hAnsi="Times New Roman" w:eastAsia="仿宋" w:cs="Times New Roman"/>
          <w:bCs w:val="0"/>
          <w:color w:val="auto"/>
          <w:spacing w:val="0"/>
          <w:kern w:val="0"/>
          <w:sz w:val="32"/>
          <w:szCs w:val="32"/>
          <w:highlight w:val="none"/>
          <w:lang w:val="en-US" w:eastAsia="zh-CN" w:bidi="ar-SA"/>
        </w:rPr>
        <w:t>项目一期工程相关建设内容，评价周期为2022年1月至2022年12月。</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outlineLvl w:val="1"/>
        <w:rPr>
          <w:rFonts w:hint="default" w:ascii="Times New Roman" w:hAnsi="Times New Roman" w:eastAsia="楷体" w:cs="Times New Roman"/>
          <w:sz w:val="32"/>
          <w:szCs w:val="32"/>
          <w:lang w:val="en-US" w:eastAsia="zh-CN"/>
        </w:rPr>
      </w:pPr>
      <w:r>
        <w:rPr>
          <w:rFonts w:hint="default" w:ascii="Times New Roman" w:hAnsi="Times New Roman" w:eastAsia="楷体" w:cs="Times New Roman"/>
          <w:sz w:val="32"/>
          <w:szCs w:val="32"/>
          <w:lang w:val="en-US" w:eastAsia="zh-CN"/>
        </w:rPr>
        <w:t>（二）绩效评价指标体系</w:t>
      </w:r>
    </w:p>
    <w:p>
      <w:pPr>
        <w:pStyle w:val="2"/>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 w:cs="Times New Roman"/>
          <w:bCs w:val="0"/>
          <w:color w:val="auto"/>
          <w:spacing w:val="0"/>
          <w:kern w:val="0"/>
          <w:sz w:val="32"/>
          <w:szCs w:val="32"/>
          <w:highlight w:val="none"/>
          <w:lang w:val="en-US" w:eastAsia="zh-CN" w:bidi="ar-SA"/>
        </w:rPr>
      </w:pPr>
      <w:r>
        <w:rPr>
          <w:rFonts w:hint="default" w:ascii="Times New Roman" w:hAnsi="Times New Roman" w:eastAsia="仿宋" w:cs="Times New Roman"/>
          <w:bCs w:val="0"/>
          <w:color w:val="auto"/>
          <w:spacing w:val="0"/>
          <w:kern w:val="0"/>
          <w:sz w:val="32"/>
          <w:szCs w:val="32"/>
          <w:highlight w:val="none"/>
          <w:lang w:val="en-US" w:eastAsia="zh-CN" w:bidi="ar-SA"/>
        </w:rPr>
        <w:t>通过科学、合理的绩效评价指标、评价标准和方法，对专项债券支出的经济性、效率性、效益性和公平性进行客观、公正的分析和评判，评价指标体系包括决策、管理、产出和效益4个一级指标，指标权重分别为15分、45分、30分、10分。</w:t>
      </w:r>
    </w:p>
    <w:p>
      <w:pPr>
        <w:pStyle w:val="10"/>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三、绩效评价结论</w:t>
      </w:r>
    </w:p>
    <w:p>
      <w:pPr>
        <w:pStyle w:val="2"/>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 w:cs="Times New Roman"/>
          <w:bCs w:val="0"/>
          <w:color w:val="auto"/>
          <w:spacing w:val="0"/>
          <w:kern w:val="0"/>
          <w:sz w:val="32"/>
          <w:szCs w:val="32"/>
          <w:highlight w:val="none"/>
          <w:lang w:val="en-US" w:eastAsia="zh-CN" w:bidi="ar-SA"/>
        </w:rPr>
      </w:pPr>
      <w:r>
        <w:rPr>
          <w:rFonts w:hint="default" w:ascii="Times New Roman" w:hAnsi="Times New Roman" w:eastAsia="仿宋" w:cs="Times New Roman"/>
          <w:bCs w:val="0"/>
          <w:color w:val="auto"/>
          <w:spacing w:val="0"/>
          <w:kern w:val="0"/>
          <w:sz w:val="32"/>
          <w:szCs w:val="32"/>
          <w:highlight w:val="none"/>
          <w:lang w:val="en-US" w:eastAsia="zh-CN" w:bidi="ar-SA"/>
        </w:rPr>
        <w:t>通过评价，项目建设符合本地区群众对医疗保健服务的现实需求，有较好的经济效益和较强的社会效益。项目立项程序规范、充分，债券资金申请流程规范、资料齐全，项目绩效可实现性较强。但项目因2022年度疫情、环境整治、山东省急诊最新相关规范、科室新布局调整优化等原因，影响了工期，导致资金拨付和使用进度与项目建设进度不匹配，且菏泽市立医院在项目建设前未根据专项债券项目制定对应的财务管理制度，仍沿用省级专项债券项目通用管理制度。</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黑体" w:cs="Times New Roman"/>
          <w:sz w:val="28"/>
          <w:szCs w:val="28"/>
          <w:lang w:val="en-US" w:eastAsia="zh-CN"/>
        </w:rPr>
      </w:pPr>
      <w:r>
        <w:rPr>
          <w:rFonts w:hint="default" w:ascii="Times New Roman" w:hAnsi="Times New Roman" w:eastAsia="黑体" w:cs="Times New Roman"/>
          <w:b w:val="0"/>
          <w:bCs/>
          <w:color w:val="auto"/>
          <w:sz w:val="28"/>
          <w:szCs w:val="28"/>
          <w:lang w:val="en-US" w:eastAsia="zh-CN"/>
        </w:rPr>
        <w:t>菏泽市立医院门诊综合楼建设</w:t>
      </w:r>
      <w:r>
        <w:rPr>
          <w:rFonts w:hint="default" w:ascii="Times New Roman" w:hAnsi="Times New Roman" w:eastAsia="黑体" w:cs="Times New Roman"/>
          <w:b w:val="0"/>
          <w:bCs/>
          <w:color w:val="auto"/>
          <w:sz w:val="28"/>
          <w:szCs w:val="28"/>
        </w:rPr>
        <w:t>项目</w:t>
      </w:r>
      <w:r>
        <w:rPr>
          <w:rFonts w:hint="default" w:ascii="Times New Roman" w:hAnsi="Times New Roman" w:eastAsia="黑体" w:cs="Times New Roman"/>
          <w:sz w:val="28"/>
          <w:szCs w:val="28"/>
          <w:lang w:val="en-US" w:eastAsia="zh-CN"/>
        </w:rPr>
        <w:t>综合绩效评价得分情况表</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3"/>
        <w:gridCol w:w="2265"/>
        <w:gridCol w:w="2204"/>
        <w:gridCol w:w="2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blHeader/>
          <w:jc w:val="center"/>
        </w:trPr>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黑体" w:cs="Times New Roman"/>
                <w:b w:val="0"/>
                <w:bCs w:val="0"/>
                <w:kern w:val="0"/>
                <w:sz w:val="24"/>
                <w:szCs w:val="24"/>
              </w:rPr>
            </w:pPr>
            <w:r>
              <w:rPr>
                <w:rFonts w:hint="default" w:ascii="Times New Roman" w:hAnsi="Times New Roman" w:eastAsia="黑体" w:cs="Times New Roman"/>
                <w:b w:val="0"/>
                <w:bCs w:val="0"/>
                <w:kern w:val="0"/>
                <w:sz w:val="24"/>
                <w:szCs w:val="24"/>
              </w:rPr>
              <w:t>评价指标</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黑体" w:cs="Times New Roman"/>
                <w:b w:val="0"/>
                <w:bCs w:val="0"/>
                <w:kern w:val="0"/>
                <w:sz w:val="24"/>
                <w:szCs w:val="24"/>
              </w:rPr>
            </w:pPr>
            <w:r>
              <w:rPr>
                <w:rFonts w:hint="default" w:ascii="Times New Roman" w:hAnsi="Times New Roman" w:eastAsia="黑体" w:cs="Times New Roman"/>
                <w:b w:val="0"/>
                <w:bCs w:val="0"/>
                <w:kern w:val="0"/>
                <w:sz w:val="24"/>
                <w:szCs w:val="24"/>
              </w:rPr>
              <w:t>权重（%）</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黑体" w:cs="Times New Roman"/>
                <w:b w:val="0"/>
                <w:bCs w:val="0"/>
                <w:kern w:val="0"/>
                <w:sz w:val="24"/>
                <w:szCs w:val="24"/>
              </w:rPr>
            </w:pPr>
            <w:r>
              <w:rPr>
                <w:rFonts w:hint="default" w:ascii="Times New Roman" w:hAnsi="Times New Roman" w:eastAsia="黑体" w:cs="Times New Roman"/>
                <w:b w:val="0"/>
                <w:bCs w:val="0"/>
                <w:kern w:val="0"/>
                <w:sz w:val="24"/>
                <w:szCs w:val="24"/>
              </w:rPr>
              <w:t>评价得分</w:t>
            </w:r>
          </w:p>
        </w:tc>
        <w:tc>
          <w:tcPr>
            <w:tcW w:w="13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黑体" w:cs="Times New Roman"/>
                <w:b w:val="0"/>
                <w:bCs w:val="0"/>
                <w:kern w:val="0"/>
                <w:sz w:val="24"/>
                <w:szCs w:val="24"/>
              </w:rPr>
            </w:pPr>
            <w:r>
              <w:rPr>
                <w:rFonts w:hint="default" w:ascii="Times New Roman" w:hAnsi="Times New Roman" w:eastAsia="黑体" w:cs="Times New Roman"/>
                <w:b w:val="0"/>
                <w:bCs w:val="0"/>
                <w:kern w:val="0"/>
                <w:sz w:val="24"/>
                <w:szCs w:val="24"/>
              </w:rPr>
              <w:t>评价分值占比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 w:cs="Times New Roman"/>
                <w:b w:val="0"/>
                <w:bCs w:val="0"/>
                <w:kern w:val="0"/>
                <w:sz w:val="24"/>
                <w:szCs w:val="24"/>
              </w:rPr>
            </w:pPr>
            <w:r>
              <w:rPr>
                <w:rFonts w:hint="default" w:ascii="Times New Roman" w:hAnsi="Times New Roman" w:eastAsia="仿宋" w:cs="Times New Roman"/>
                <w:b w:val="0"/>
                <w:bCs w:val="0"/>
                <w:kern w:val="0"/>
                <w:sz w:val="24"/>
                <w:szCs w:val="24"/>
                <w:lang w:val="en-US" w:eastAsia="zh-CN"/>
              </w:rPr>
              <w:t>1.</w:t>
            </w:r>
            <w:r>
              <w:rPr>
                <w:rFonts w:hint="default" w:ascii="Times New Roman" w:hAnsi="Times New Roman" w:eastAsia="仿宋" w:cs="Times New Roman"/>
                <w:b w:val="0"/>
                <w:bCs w:val="0"/>
                <w:kern w:val="0"/>
                <w:sz w:val="24"/>
                <w:szCs w:val="24"/>
              </w:rPr>
              <w:t>决策</w:t>
            </w:r>
          </w:p>
        </w:tc>
        <w:tc>
          <w:tcPr>
            <w:tcW w:w="1250" w:type="pct"/>
            <w:tcBorders>
              <w:top w:val="single" w:color="auto" w:sz="4" w:space="0"/>
              <w:left w:val="single" w:color="auto" w:sz="4" w:space="0"/>
              <w:bottom w:val="single" w:color="auto" w:sz="4" w:space="0"/>
              <w:right w:val="single" w:color="auto" w:sz="4" w:space="0"/>
            </w:tcBorders>
            <w:vAlign w:val="center"/>
          </w:tcPr>
          <w:p>
            <w:pPr>
              <w:pStyle w:val="18"/>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仿宋" w:cs="Times New Roman"/>
                <w:b w:val="0"/>
                <w:bCs/>
                <w:color w:val="auto"/>
                <w:kern w:val="0"/>
                <w:sz w:val="24"/>
                <w:szCs w:val="24"/>
                <w:vertAlign w:val="baseline"/>
                <w:lang w:val="en-US" w:eastAsia="zh-CN" w:bidi="ar-SA"/>
              </w:rPr>
            </w:pPr>
            <w:r>
              <w:rPr>
                <w:rFonts w:hint="default" w:ascii="Times New Roman" w:hAnsi="Times New Roman" w:eastAsia="仿宋" w:cs="Times New Roman"/>
                <w:b w:val="0"/>
                <w:bCs/>
                <w:color w:val="auto"/>
                <w:sz w:val="24"/>
                <w:szCs w:val="24"/>
                <w:vertAlign w:val="baseline"/>
                <w:lang w:val="en-US" w:eastAsia="zh-CN"/>
              </w:rPr>
              <w:t>15</w:t>
            </w:r>
          </w:p>
        </w:tc>
        <w:tc>
          <w:tcPr>
            <w:tcW w:w="1216" w:type="pct"/>
            <w:tcBorders>
              <w:top w:val="single" w:color="auto" w:sz="4" w:space="0"/>
              <w:left w:val="single" w:color="auto" w:sz="4" w:space="0"/>
              <w:bottom w:val="single" w:color="auto" w:sz="4" w:space="0"/>
              <w:right w:val="single" w:color="auto" w:sz="4" w:space="0"/>
            </w:tcBorders>
            <w:vAlign w:val="center"/>
          </w:tcPr>
          <w:p>
            <w:pPr>
              <w:pStyle w:val="18"/>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仿宋" w:cs="Times New Roman"/>
                <w:b w:val="0"/>
                <w:bCs/>
                <w:color w:val="auto"/>
                <w:kern w:val="0"/>
                <w:sz w:val="24"/>
                <w:szCs w:val="24"/>
                <w:vertAlign w:val="baseline"/>
                <w:lang w:val="en-US" w:eastAsia="zh-CN" w:bidi="ar-SA"/>
              </w:rPr>
            </w:pPr>
            <w:r>
              <w:rPr>
                <w:rFonts w:hint="default" w:ascii="Times New Roman" w:hAnsi="Times New Roman" w:eastAsia="仿宋" w:cs="Times New Roman"/>
                <w:b w:val="0"/>
                <w:bCs/>
                <w:color w:val="auto"/>
                <w:sz w:val="24"/>
                <w:szCs w:val="24"/>
                <w:vertAlign w:val="baseline"/>
                <w:lang w:val="en-US" w:eastAsia="zh-CN"/>
              </w:rPr>
              <w:t>12</w:t>
            </w:r>
          </w:p>
        </w:tc>
        <w:tc>
          <w:tcPr>
            <w:tcW w:w="1316" w:type="pct"/>
            <w:tcBorders>
              <w:top w:val="single" w:color="auto" w:sz="4" w:space="0"/>
              <w:left w:val="single" w:color="auto" w:sz="4" w:space="0"/>
              <w:bottom w:val="single" w:color="auto" w:sz="4" w:space="0"/>
              <w:right w:val="single" w:color="auto" w:sz="4" w:space="0"/>
            </w:tcBorders>
            <w:vAlign w:val="center"/>
          </w:tcPr>
          <w:p>
            <w:pPr>
              <w:pStyle w:val="18"/>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仿宋" w:cs="Times New Roman"/>
                <w:b w:val="0"/>
                <w:bCs/>
                <w:color w:val="auto"/>
                <w:kern w:val="0"/>
                <w:sz w:val="24"/>
                <w:szCs w:val="24"/>
                <w:vertAlign w:val="baseline"/>
                <w:lang w:val="en-US" w:eastAsia="zh-CN" w:bidi="ar-SA"/>
              </w:rPr>
            </w:pPr>
            <w:r>
              <w:rPr>
                <w:rFonts w:hint="default" w:ascii="Times New Roman" w:hAnsi="Times New Roman" w:eastAsia="仿宋" w:cs="Times New Roman"/>
                <w:b w:val="0"/>
                <w:bCs/>
                <w:color w:val="auto"/>
                <w:sz w:val="24"/>
                <w:szCs w:val="24"/>
                <w:vertAlign w:val="baseline"/>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 w:cs="Times New Roman"/>
                <w:b w:val="0"/>
                <w:bCs w:val="0"/>
                <w:kern w:val="0"/>
                <w:sz w:val="24"/>
                <w:szCs w:val="24"/>
              </w:rPr>
            </w:pPr>
            <w:r>
              <w:rPr>
                <w:rFonts w:hint="default" w:ascii="Times New Roman" w:hAnsi="Times New Roman" w:eastAsia="仿宋" w:cs="Times New Roman"/>
                <w:b w:val="0"/>
                <w:bCs w:val="0"/>
                <w:kern w:val="0"/>
                <w:sz w:val="24"/>
                <w:szCs w:val="24"/>
                <w:lang w:val="en-US" w:eastAsia="zh-CN"/>
              </w:rPr>
              <w:t>2.</w:t>
            </w:r>
            <w:r>
              <w:rPr>
                <w:rFonts w:hint="default" w:ascii="Times New Roman" w:hAnsi="Times New Roman" w:eastAsia="仿宋" w:cs="Times New Roman"/>
                <w:b w:val="0"/>
                <w:bCs w:val="0"/>
                <w:kern w:val="0"/>
                <w:sz w:val="24"/>
                <w:szCs w:val="24"/>
              </w:rPr>
              <w:t>过程</w:t>
            </w:r>
          </w:p>
        </w:tc>
        <w:tc>
          <w:tcPr>
            <w:tcW w:w="1250" w:type="pct"/>
            <w:tcBorders>
              <w:top w:val="single" w:color="auto" w:sz="4" w:space="0"/>
              <w:left w:val="single" w:color="auto" w:sz="4" w:space="0"/>
              <w:bottom w:val="single" w:color="auto" w:sz="4" w:space="0"/>
              <w:right w:val="single" w:color="auto" w:sz="4" w:space="0"/>
            </w:tcBorders>
            <w:vAlign w:val="center"/>
          </w:tcPr>
          <w:p>
            <w:pPr>
              <w:pStyle w:val="18"/>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仿宋" w:cs="Times New Roman"/>
                <w:b w:val="0"/>
                <w:bCs/>
                <w:color w:val="auto"/>
                <w:kern w:val="0"/>
                <w:sz w:val="24"/>
                <w:szCs w:val="24"/>
                <w:vertAlign w:val="baseline"/>
                <w:lang w:val="en-US" w:eastAsia="zh-CN" w:bidi="ar-SA"/>
              </w:rPr>
            </w:pPr>
            <w:r>
              <w:rPr>
                <w:rFonts w:hint="default" w:ascii="Times New Roman" w:hAnsi="Times New Roman" w:eastAsia="仿宋" w:cs="Times New Roman"/>
                <w:b w:val="0"/>
                <w:bCs/>
                <w:color w:val="auto"/>
                <w:sz w:val="24"/>
                <w:szCs w:val="24"/>
                <w:vertAlign w:val="baseline"/>
                <w:lang w:val="en-US" w:eastAsia="zh-CN"/>
              </w:rPr>
              <w:t>45</w:t>
            </w:r>
          </w:p>
        </w:tc>
        <w:tc>
          <w:tcPr>
            <w:tcW w:w="1216" w:type="pct"/>
            <w:tcBorders>
              <w:top w:val="single" w:color="auto" w:sz="4" w:space="0"/>
              <w:left w:val="single" w:color="auto" w:sz="4" w:space="0"/>
              <w:bottom w:val="single" w:color="auto" w:sz="4" w:space="0"/>
              <w:right w:val="single" w:color="auto" w:sz="4" w:space="0"/>
            </w:tcBorders>
            <w:vAlign w:val="center"/>
          </w:tcPr>
          <w:p>
            <w:pPr>
              <w:pStyle w:val="18"/>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仿宋" w:cs="Times New Roman"/>
                <w:b w:val="0"/>
                <w:bCs/>
                <w:color w:val="auto"/>
                <w:kern w:val="0"/>
                <w:sz w:val="24"/>
                <w:szCs w:val="24"/>
                <w:vertAlign w:val="baseline"/>
                <w:lang w:val="en-US" w:eastAsia="zh-CN" w:bidi="ar-SA"/>
              </w:rPr>
            </w:pPr>
            <w:r>
              <w:rPr>
                <w:rFonts w:hint="default" w:ascii="Times New Roman" w:hAnsi="Times New Roman" w:eastAsia="仿宋" w:cs="Times New Roman"/>
                <w:b w:val="0"/>
                <w:bCs/>
                <w:color w:val="auto"/>
                <w:sz w:val="24"/>
                <w:szCs w:val="24"/>
                <w:vertAlign w:val="baseline"/>
                <w:lang w:val="en-US" w:eastAsia="zh-CN"/>
              </w:rPr>
              <w:t>39</w:t>
            </w:r>
          </w:p>
        </w:tc>
        <w:tc>
          <w:tcPr>
            <w:tcW w:w="1316" w:type="pct"/>
            <w:tcBorders>
              <w:top w:val="single" w:color="auto" w:sz="4" w:space="0"/>
              <w:left w:val="single" w:color="auto" w:sz="4" w:space="0"/>
              <w:bottom w:val="single" w:color="auto" w:sz="4" w:space="0"/>
              <w:right w:val="single" w:color="auto" w:sz="4" w:space="0"/>
            </w:tcBorders>
            <w:vAlign w:val="center"/>
          </w:tcPr>
          <w:p>
            <w:pPr>
              <w:pStyle w:val="18"/>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仿宋" w:cs="Times New Roman"/>
                <w:b w:val="0"/>
                <w:bCs/>
                <w:color w:val="auto"/>
                <w:kern w:val="0"/>
                <w:sz w:val="24"/>
                <w:szCs w:val="24"/>
                <w:vertAlign w:val="baseline"/>
                <w:lang w:val="en-US" w:eastAsia="zh-CN" w:bidi="ar-SA"/>
              </w:rPr>
            </w:pPr>
            <w:r>
              <w:rPr>
                <w:rFonts w:hint="default" w:ascii="Times New Roman" w:hAnsi="Times New Roman" w:eastAsia="仿宋" w:cs="Times New Roman"/>
                <w:b w:val="0"/>
                <w:bCs/>
                <w:color w:val="auto"/>
                <w:sz w:val="24"/>
                <w:szCs w:val="24"/>
                <w:vertAlign w:val="baseline"/>
                <w:lang w:val="en-US" w:eastAsia="zh-CN"/>
              </w:rPr>
              <w:t>86.67%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 w:cs="Times New Roman"/>
                <w:b w:val="0"/>
                <w:bCs w:val="0"/>
                <w:kern w:val="0"/>
                <w:sz w:val="24"/>
                <w:szCs w:val="24"/>
              </w:rPr>
            </w:pPr>
            <w:r>
              <w:rPr>
                <w:rFonts w:hint="default" w:ascii="Times New Roman" w:hAnsi="Times New Roman" w:eastAsia="仿宋" w:cs="Times New Roman"/>
                <w:b w:val="0"/>
                <w:bCs w:val="0"/>
                <w:kern w:val="0"/>
                <w:sz w:val="24"/>
                <w:szCs w:val="24"/>
                <w:lang w:val="en-US" w:eastAsia="zh-CN"/>
              </w:rPr>
              <w:t>3.</w:t>
            </w:r>
            <w:r>
              <w:rPr>
                <w:rFonts w:hint="default" w:ascii="Times New Roman" w:hAnsi="Times New Roman" w:eastAsia="仿宋" w:cs="Times New Roman"/>
                <w:b w:val="0"/>
                <w:bCs w:val="0"/>
                <w:kern w:val="0"/>
                <w:sz w:val="24"/>
                <w:szCs w:val="24"/>
              </w:rPr>
              <w:t>产出</w:t>
            </w:r>
          </w:p>
        </w:tc>
        <w:tc>
          <w:tcPr>
            <w:tcW w:w="1250" w:type="pct"/>
            <w:tcBorders>
              <w:top w:val="single" w:color="auto" w:sz="4" w:space="0"/>
              <w:left w:val="single" w:color="auto" w:sz="4" w:space="0"/>
              <w:bottom w:val="single" w:color="auto" w:sz="4" w:space="0"/>
              <w:right w:val="single" w:color="auto" w:sz="4" w:space="0"/>
            </w:tcBorders>
            <w:vAlign w:val="center"/>
          </w:tcPr>
          <w:p>
            <w:pPr>
              <w:pStyle w:val="18"/>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仿宋" w:cs="Times New Roman"/>
                <w:b w:val="0"/>
                <w:bCs/>
                <w:color w:val="auto"/>
                <w:kern w:val="0"/>
                <w:sz w:val="24"/>
                <w:szCs w:val="24"/>
                <w:vertAlign w:val="baseline"/>
                <w:lang w:val="en-US" w:eastAsia="zh-CN" w:bidi="ar-SA"/>
              </w:rPr>
            </w:pPr>
            <w:r>
              <w:rPr>
                <w:rFonts w:hint="default" w:ascii="Times New Roman" w:hAnsi="Times New Roman" w:eastAsia="仿宋" w:cs="Times New Roman"/>
                <w:b w:val="0"/>
                <w:bCs/>
                <w:color w:val="auto"/>
                <w:sz w:val="24"/>
                <w:szCs w:val="24"/>
                <w:vertAlign w:val="baseline"/>
                <w:lang w:val="en-US" w:eastAsia="zh-CN"/>
              </w:rPr>
              <w:t>30</w:t>
            </w:r>
          </w:p>
        </w:tc>
        <w:tc>
          <w:tcPr>
            <w:tcW w:w="1216" w:type="pct"/>
            <w:tcBorders>
              <w:top w:val="single" w:color="auto" w:sz="4" w:space="0"/>
              <w:left w:val="single" w:color="auto" w:sz="4" w:space="0"/>
              <w:bottom w:val="single" w:color="auto" w:sz="4" w:space="0"/>
              <w:right w:val="single" w:color="auto" w:sz="4" w:space="0"/>
            </w:tcBorders>
            <w:vAlign w:val="center"/>
          </w:tcPr>
          <w:p>
            <w:pPr>
              <w:pStyle w:val="18"/>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仿宋" w:cs="Times New Roman"/>
                <w:b w:val="0"/>
                <w:bCs/>
                <w:color w:val="auto"/>
                <w:kern w:val="0"/>
                <w:sz w:val="24"/>
                <w:szCs w:val="24"/>
                <w:vertAlign w:val="baseline"/>
                <w:lang w:val="en-US" w:eastAsia="zh-CN" w:bidi="ar-SA"/>
              </w:rPr>
            </w:pPr>
            <w:r>
              <w:rPr>
                <w:rFonts w:hint="default" w:ascii="Times New Roman" w:hAnsi="Times New Roman" w:eastAsia="仿宋" w:cs="Times New Roman"/>
                <w:b w:val="0"/>
                <w:bCs/>
                <w:color w:val="auto"/>
                <w:sz w:val="24"/>
                <w:szCs w:val="24"/>
                <w:vertAlign w:val="baseline"/>
                <w:lang w:val="en-US" w:eastAsia="zh-CN"/>
              </w:rPr>
              <w:t>21</w:t>
            </w:r>
          </w:p>
        </w:tc>
        <w:tc>
          <w:tcPr>
            <w:tcW w:w="1316" w:type="pct"/>
            <w:tcBorders>
              <w:top w:val="single" w:color="auto" w:sz="4" w:space="0"/>
              <w:left w:val="single" w:color="auto" w:sz="4" w:space="0"/>
              <w:bottom w:val="single" w:color="auto" w:sz="4" w:space="0"/>
              <w:right w:val="single" w:color="auto" w:sz="4" w:space="0"/>
            </w:tcBorders>
            <w:vAlign w:val="center"/>
          </w:tcPr>
          <w:p>
            <w:pPr>
              <w:pStyle w:val="18"/>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仿宋" w:cs="Times New Roman"/>
                <w:b w:val="0"/>
                <w:bCs/>
                <w:color w:val="auto"/>
                <w:kern w:val="0"/>
                <w:sz w:val="24"/>
                <w:szCs w:val="24"/>
                <w:vertAlign w:val="baseline"/>
                <w:lang w:val="en-US" w:eastAsia="zh-CN" w:bidi="ar-SA"/>
              </w:rPr>
            </w:pPr>
            <w:r>
              <w:rPr>
                <w:rFonts w:hint="default" w:ascii="Times New Roman" w:hAnsi="Times New Roman" w:eastAsia="仿宋" w:cs="Times New Roman"/>
                <w:b w:val="0"/>
                <w:bCs/>
                <w:color w:val="auto"/>
                <w:sz w:val="24"/>
                <w:szCs w:val="24"/>
                <w:vertAlign w:val="baseline"/>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 w:cs="Times New Roman"/>
                <w:b w:val="0"/>
                <w:bCs w:val="0"/>
                <w:kern w:val="0"/>
                <w:sz w:val="24"/>
                <w:szCs w:val="24"/>
              </w:rPr>
            </w:pPr>
            <w:r>
              <w:rPr>
                <w:rFonts w:hint="default" w:ascii="Times New Roman" w:hAnsi="Times New Roman" w:eastAsia="仿宋" w:cs="Times New Roman"/>
                <w:b w:val="0"/>
                <w:bCs w:val="0"/>
                <w:kern w:val="0"/>
                <w:sz w:val="24"/>
                <w:szCs w:val="24"/>
                <w:lang w:val="en-US" w:eastAsia="zh-CN"/>
              </w:rPr>
              <w:t>4.</w:t>
            </w:r>
            <w:r>
              <w:rPr>
                <w:rFonts w:hint="default" w:ascii="Times New Roman" w:hAnsi="Times New Roman" w:eastAsia="仿宋" w:cs="Times New Roman"/>
                <w:b w:val="0"/>
                <w:bCs w:val="0"/>
                <w:kern w:val="0"/>
                <w:sz w:val="24"/>
                <w:szCs w:val="24"/>
              </w:rPr>
              <w:t>效益</w:t>
            </w:r>
          </w:p>
        </w:tc>
        <w:tc>
          <w:tcPr>
            <w:tcW w:w="1250" w:type="pct"/>
            <w:tcBorders>
              <w:top w:val="single" w:color="auto" w:sz="4" w:space="0"/>
              <w:left w:val="single" w:color="auto" w:sz="4" w:space="0"/>
              <w:bottom w:val="single" w:color="auto" w:sz="4" w:space="0"/>
              <w:right w:val="single" w:color="auto" w:sz="4" w:space="0"/>
            </w:tcBorders>
            <w:vAlign w:val="center"/>
          </w:tcPr>
          <w:p>
            <w:pPr>
              <w:pStyle w:val="18"/>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仿宋" w:cs="Times New Roman"/>
                <w:b w:val="0"/>
                <w:bCs/>
                <w:color w:val="auto"/>
                <w:kern w:val="0"/>
                <w:sz w:val="24"/>
                <w:szCs w:val="24"/>
                <w:vertAlign w:val="baseline"/>
                <w:lang w:val="en-US" w:eastAsia="zh-CN" w:bidi="ar-SA"/>
              </w:rPr>
            </w:pPr>
            <w:r>
              <w:rPr>
                <w:rFonts w:hint="default" w:ascii="Times New Roman" w:hAnsi="Times New Roman" w:eastAsia="仿宋" w:cs="Times New Roman"/>
                <w:b w:val="0"/>
                <w:bCs/>
                <w:color w:val="auto"/>
                <w:sz w:val="24"/>
                <w:szCs w:val="24"/>
                <w:vertAlign w:val="baseline"/>
                <w:lang w:val="en-US" w:eastAsia="zh-CN"/>
              </w:rPr>
              <w:t>10</w:t>
            </w:r>
          </w:p>
        </w:tc>
        <w:tc>
          <w:tcPr>
            <w:tcW w:w="1216" w:type="pct"/>
            <w:tcBorders>
              <w:top w:val="single" w:color="auto" w:sz="4" w:space="0"/>
              <w:left w:val="single" w:color="auto" w:sz="4" w:space="0"/>
              <w:bottom w:val="single" w:color="auto" w:sz="4" w:space="0"/>
              <w:right w:val="single" w:color="auto" w:sz="4" w:space="0"/>
            </w:tcBorders>
            <w:vAlign w:val="center"/>
          </w:tcPr>
          <w:p>
            <w:pPr>
              <w:pStyle w:val="18"/>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仿宋" w:cs="Times New Roman"/>
                <w:b w:val="0"/>
                <w:bCs/>
                <w:color w:val="auto"/>
                <w:kern w:val="0"/>
                <w:sz w:val="24"/>
                <w:szCs w:val="24"/>
                <w:vertAlign w:val="baseline"/>
                <w:lang w:val="en-US" w:eastAsia="zh-CN" w:bidi="ar-SA"/>
              </w:rPr>
            </w:pPr>
            <w:r>
              <w:rPr>
                <w:rFonts w:hint="default" w:ascii="Times New Roman" w:hAnsi="Times New Roman" w:eastAsia="仿宋" w:cs="Times New Roman"/>
                <w:b w:val="0"/>
                <w:bCs/>
                <w:color w:val="auto"/>
                <w:sz w:val="24"/>
                <w:szCs w:val="24"/>
                <w:vertAlign w:val="baseline"/>
                <w:lang w:val="en-US" w:eastAsia="zh-CN"/>
              </w:rPr>
              <w:t>8.58</w:t>
            </w:r>
          </w:p>
        </w:tc>
        <w:tc>
          <w:tcPr>
            <w:tcW w:w="1316" w:type="pct"/>
            <w:tcBorders>
              <w:top w:val="single" w:color="auto" w:sz="4" w:space="0"/>
              <w:left w:val="single" w:color="auto" w:sz="4" w:space="0"/>
              <w:bottom w:val="single" w:color="auto" w:sz="4" w:space="0"/>
              <w:right w:val="single" w:color="auto" w:sz="4" w:space="0"/>
            </w:tcBorders>
            <w:vAlign w:val="center"/>
          </w:tcPr>
          <w:p>
            <w:pPr>
              <w:pStyle w:val="18"/>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仿宋" w:cs="Times New Roman"/>
                <w:b w:val="0"/>
                <w:bCs/>
                <w:color w:val="auto"/>
                <w:kern w:val="0"/>
                <w:sz w:val="24"/>
                <w:szCs w:val="24"/>
                <w:vertAlign w:val="baseline"/>
                <w:lang w:val="en-US" w:eastAsia="zh-CN" w:bidi="ar-SA"/>
              </w:rPr>
            </w:pPr>
            <w:r>
              <w:rPr>
                <w:rFonts w:hint="default" w:ascii="Times New Roman" w:hAnsi="Times New Roman" w:eastAsia="仿宋" w:cs="Times New Roman"/>
                <w:b w:val="0"/>
                <w:bCs/>
                <w:color w:val="auto"/>
                <w:sz w:val="24"/>
                <w:szCs w:val="24"/>
                <w:vertAlign w:val="baseline"/>
                <w:lang w:val="en-US" w:eastAsia="zh-CN"/>
              </w:rPr>
              <w:t>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1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 w:cs="Times New Roman"/>
                <w:b w:val="0"/>
                <w:bCs w:val="0"/>
                <w:kern w:val="0"/>
                <w:sz w:val="24"/>
                <w:szCs w:val="24"/>
                <w:lang w:val="en-US" w:eastAsia="zh-CN"/>
              </w:rPr>
            </w:pPr>
            <w:r>
              <w:rPr>
                <w:rFonts w:hint="default" w:ascii="Times New Roman" w:hAnsi="Times New Roman" w:eastAsia="仿宋" w:cs="Times New Roman"/>
                <w:b w:val="0"/>
                <w:bCs w:val="0"/>
                <w:kern w:val="0"/>
                <w:sz w:val="24"/>
                <w:szCs w:val="24"/>
                <w:lang w:val="en-US" w:eastAsia="zh-CN"/>
              </w:rPr>
              <w:t>综合绩效</w:t>
            </w:r>
          </w:p>
        </w:tc>
        <w:tc>
          <w:tcPr>
            <w:tcW w:w="1250" w:type="pct"/>
            <w:tcBorders>
              <w:top w:val="single" w:color="auto" w:sz="4" w:space="0"/>
              <w:left w:val="single" w:color="auto" w:sz="4" w:space="0"/>
              <w:bottom w:val="single" w:color="auto" w:sz="4" w:space="0"/>
              <w:right w:val="single" w:color="auto" w:sz="4" w:space="0"/>
            </w:tcBorders>
            <w:vAlign w:val="center"/>
          </w:tcPr>
          <w:p>
            <w:pPr>
              <w:pStyle w:val="18"/>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仿宋" w:cs="Times New Roman"/>
                <w:b/>
                <w:bCs w:val="0"/>
                <w:color w:val="auto"/>
                <w:kern w:val="0"/>
                <w:sz w:val="24"/>
                <w:szCs w:val="24"/>
                <w:vertAlign w:val="baseline"/>
                <w:lang w:val="en-US" w:eastAsia="zh-CN" w:bidi="ar-SA"/>
              </w:rPr>
            </w:pPr>
            <w:r>
              <w:rPr>
                <w:rFonts w:hint="default" w:ascii="Times New Roman" w:hAnsi="Times New Roman" w:eastAsia="仿宋" w:cs="Times New Roman"/>
                <w:b/>
                <w:bCs w:val="0"/>
                <w:color w:val="auto"/>
                <w:sz w:val="24"/>
                <w:szCs w:val="24"/>
                <w:vertAlign w:val="baseline"/>
                <w:lang w:val="en-US" w:eastAsia="zh-CN"/>
              </w:rPr>
              <w:t>100</w:t>
            </w:r>
          </w:p>
        </w:tc>
        <w:tc>
          <w:tcPr>
            <w:tcW w:w="1216" w:type="pct"/>
            <w:tcBorders>
              <w:top w:val="single" w:color="auto" w:sz="4" w:space="0"/>
              <w:left w:val="single" w:color="auto" w:sz="4" w:space="0"/>
              <w:bottom w:val="single" w:color="auto" w:sz="4" w:space="0"/>
              <w:right w:val="single" w:color="auto" w:sz="4" w:space="0"/>
            </w:tcBorders>
            <w:vAlign w:val="center"/>
          </w:tcPr>
          <w:p>
            <w:pPr>
              <w:pStyle w:val="18"/>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仿宋" w:cs="Times New Roman"/>
                <w:b/>
                <w:bCs w:val="0"/>
                <w:color w:val="auto"/>
                <w:kern w:val="0"/>
                <w:sz w:val="24"/>
                <w:szCs w:val="24"/>
                <w:vertAlign w:val="baseline"/>
                <w:lang w:val="en-US" w:eastAsia="zh-CN" w:bidi="ar-SA"/>
              </w:rPr>
            </w:pPr>
            <w:r>
              <w:rPr>
                <w:rFonts w:hint="default" w:ascii="Times New Roman" w:hAnsi="Times New Roman" w:eastAsia="仿宋" w:cs="Times New Roman"/>
                <w:b/>
                <w:bCs w:val="0"/>
                <w:color w:val="auto"/>
                <w:sz w:val="24"/>
                <w:szCs w:val="24"/>
                <w:vertAlign w:val="baseline"/>
                <w:lang w:val="en-US" w:eastAsia="zh-CN"/>
              </w:rPr>
              <w:t>80.58</w:t>
            </w:r>
          </w:p>
        </w:tc>
        <w:tc>
          <w:tcPr>
            <w:tcW w:w="1316" w:type="pct"/>
            <w:tcBorders>
              <w:top w:val="single" w:color="auto" w:sz="4" w:space="0"/>
              <w:left w:val="single" w:color="auto" w:sz="4" w:space="0"/>
              <w:bottom w:val="single" w:color="auto" w:sz="4" w:space="0"/>
              <w:right w:val="single" w:color="auto" w:sz="4" w:space="0"/>
            </w:tcBorders>
            <w:vAlign w:val="center"/>
          </w:tcPr>
          <w:p>
            <w:pPr>
              <w:pStyle w:val="18"/>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仿宋" w:cs="Times New Roman"/>
                <w:b/>
                <w:bCs w:val="0"/>
                <w:color w:val="auto"/>
                <w:kern w:val="0"/>
                <w:sz w:val="24"/>
                <w:szCs w:val="24"/>
                <w:vertAlign w:val="baseline"/>
                <w:lang w:val="en-US" w:eastAsia="zh-CN" w:bidi="ar-SA"/>
              </w:rPr>
            </w:pPr>
            <w:r>
              <w:rPr>
                <w:rFonts w:hint="default" w:ascii="Times New Roman" w:hAnsi="Times New Roman" w:eastAsia="仿宋" w:cs="Times New Roman"/>
                <w:b/>
                <w:bCs w:val="0"/>
                <w:color w:val="auto"/>
                <w:sz w:val="24"/>
                <w:szCs w:val="24"/>
                <w:vertAlign w:val="baseline"/>
                <w:lang w:val="en-US" w:eastAsia="zh-CN"/>
              </w:rPr>
              <w:t>80.58%</w:t>
            </w:r>
          </w:p>
        </w:tc>
      </w:tr>
    </w:tbl>
    <w:p>
      <w:pPr>
        <w:pStyle w:val="10"/>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outlineLvl w:val="9"/>
        <w:rPr>
          <w:rFonts w:hint="default" w:ascii="Times New Roman" w:hAnsi="Times New Roman" w:eastAsia="楷体" w:cs="Times New Roman"/>
          <w:bCs/>
          <w:caps/>
          <w:sz w:val="32"/>
          <w:szCs w:val="32"/>
          <w:lang w:val="en-US" w:eastAsia="zh-CN"/>
        </w:rPr>
      </w:pPr>
      <w:r>
        <w:rPr>
          <w:rFonts w:hint="default" w:ascii="Times New Roman" w:hAnsi="Times New Roman" w:eastAsia="仿宋" w:cs="Times New Roman"/>
          <w:color w:val="auto"/>
          <w:kern w:val="2"/>
          <w:sz w:val="32"/>
          <w:szCs w:val="32"/>
          <w:highlight w:val="none"/>
          <w:lang w:val="en-US" w:eastAsia="zh-CN" w:bidi="ar-SA"/>
        </w:rPr>
        <w:t>成本效益分析：项</w:t>
      </w:r>
      <w:r>
        <w:rPr>
          <w:rFonts w:hint="default" w:ascii="Times New Roman" w:hAnsi="Times New Roman" w:eastAsia="仿宋" w:cs="Times New Roman"/>
          <w:sz w:val="32"/>
          <w:szCs w:val="32"/>
          <w:lang w:val="en-US" w:eastAsia="zh-CN"/>
        </w:rPr>
        <w:t>目目前正在施工建设中，未投入使用，暂未产生效益。</w:t>
      </w:r>
      <w:r>
        <w:rPr>
          <w:rFonts w:hint="default" w:ascii="Times New Roman" w:hAnsi="Times New Roman" w:eastAsia="仿宋" w:cs="Times New Roman"/>
          <w:b w:val="0"/>
          <w:bCs w:val="0"/>
          <w:color w:val="auto"/>
          <w:sz w:val="32"/>
          <w:szCs w:val="32"/>
          <w:lang w:val="en-US" w:eastAsia="zh-CN"/>
        </w:rPr>
        <w:t>建成后</w:t>
      </w:r>
      <w:r>
        <w:rPr>
          <w:rFonts w:hint="default" w:ascii="Times New Roman" w:hAnsi="Times New Roman" w:eastAsia="仿宋" w:cs="Times New Roman"/>
          <w:sz w:val="32"/>
          <w:szCs w:val="32"/>
          <w:lang w:val="en-US" w:eastAsia="zh-CN"/>
        </w:rPr>
        <w:t>可以</w:t>
      </w:r>
      <w:r>
        <w:rPr>
          <w:rFonts w:hint="default" w:ascii="Times New Roman" w:hAnsi="Times New Roman" w:eastAsia="仿宋" w:cs="Times New Roman"/>
          <w:b w:val="0"/>
          <w:bCs w:val="0"/>
          <w:color w:val="auto"/>
          <w:sz w:val="32"/>
          <w:szCs w:val="32"/>
          <w:lang w:val="en-US" w:eastAsia="zh-CN"/>
        </w:rPr>
        <w:t>有效改善菏泽市立医院医疗条件，促进菏泽地区多层次、多样化的公共卫生服务需求。为加强项目投资控制，合理确定建设工程中需定价的材料、设备，为降低投资成本，使市立医院效益最大化，菏泽市立医院制定了《材料设备认质认价管理制度》；推行限额设计，按照设计任务书、投资估算、初步设计总概算控制设计，在设计中按分配的投资限额控制设计；推行工程量清单的计价模式，有效降低工程成本</w:t>
      </w:r>
      <w:r>
        <w:rPr>
          <w:rFonts w:hint="default" w:ascii="Times New Roman" w:hAnsi="Times New Roman" w:eastAsia="仿宋" w:cs="Times New Roman"/>
          <w:color w:val="000000"/>
          <w:kern w:val="0"/>
          <w:sz w:val="32"/>
          <w:szCs w:val="32"/>
          <w:lang w:val="en-US" w:eastAsia="zh-CN" w:bidi="ar"/>
        </w:rPr>
        <w:t>、提高投资效益。</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0"/>
        <w:rPr>
          <w:rFonts w:hint="default" w:ascii="Times New Roman" w:hAnsi="Times New Roman" w:eastAsia="黑体" w:cs="Times New Roman"/>
          <w:bCs/>
          <w:sz w:val="32"/>
          <w:szCs w:val="32"/>
          <w:lang w:val="en-US" w:eastAsia="zh-CN"/>
        </w:rPr>
      </w:pPr>
      <w:r>
        <w:rPr>
          <w:rFonts w:hint="default" w:ascii="Times New Roman" w:hAnsi="Times New Roman" w:eastAsia="黑体" w:cs="Times New Roman"/>
          <w:bCs/>
          <w:sz w:val="32"/>
          <w:szCs w:val="32"/>
          <w:lang w:val="en-US" w:eastAsia="zh-CN"/>
        </w:rPr>
        <w:t>四、项目主要绩效、存在问题及原因分析</w:t>
      </w:r>
    </w:p>
    <w:p>
      <w:pPr>
        <w:pStyle w:val="10"/>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outlineLvl w:val="1"/>
        <w:rPr>
          <w:rFonts w:hint="default" w:ascii="Times New Roman" w:hAnsi="Times New Roman" w:eastAsia="楷体" w:cs="Times New Roman"/>
          <w:bCs/>
          <w:sz w:val="32"/>
          <w:szCs w:val="32"/>
          <w:lang w:val="en-US" w:eastAsia="zh-CN"/>
        </w:rPr>
      </w:pPr>
      <w:r>
        <w:rPr>
          <w:rFonts w:hint="default" w:ascii="Times New Roman" w:hAnsi="Times New Roman" w:eastAsia="楷体" w:cs="Times New Roman"/>
          <w:bCs/>
          <w:sz w:val="32"/>
          <w:szCs w:val="32"/>
          <w:lang w:val="en-US" w:eastAsia="zh-CN"/>
        </w:rPr>
        <w:t>（一）项目主要绩效</w:t>
      </w:r>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 w:cs="Times New Roman"/>
          <w:b w:val="0"/>
          <w:bCs w:val="0"/>
          <w:sz w:val="32"/>
          <w:szCs w:val="32"/>
          <w:lang w:val="en-US" w:eastAsia="zh-CN"/>
        </w:rPr>
      </w:pPr>
      <w:r>
        <w:rPr>
          <w:rFonts w:hint="eastAsia" w:ascii="Times New Roman" w:hAnsi="Times New Roman" w:eastAsia="仿宋" w:cs="Times New Roman"/>
          <w:b/>
          <w:bCs/>
          <w:sz w:val="32"/>
          <w:szCs w:val="32"/>
          <w:lang w:val="en-US" w:eastAsia="zh-CN"/>
        </w:rPr>
        <w:t>项目</w:t>
      </w:r>
      <w:r>
        <w:rPr>
          <w:rFonts w:hint="default" w:ascii="Times New Roman" w:hAnsi="Times New Roman" w:eastAsia="仿宋" w:cs="Times New Roman"/>
          <w:b w:val="0"/>
          <w:bCs w:val="0"/>
          <w:sz w:val="32"/>
          <w:szCs w:val="32"/>
          <w:lang w:val="en-US" w:eastAsia="zh-CN"/>
        </w:rPr>
        <w:t>建成投运后有能力满足专项债券还本付息要求。项目建设期内，债券利息偿还资金来源主要为菏泽市立医院自筹资金，自筹部分为医院历年积累的资金，能够按时到位，可按照时间节点偿还本息，偿债风险点较低。</w:t>
      </w:r>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b w:val="0"/>
          <w:bCs w:val="0"/>
          <w:sz w:val="32"/>
          <w:szCs w:val="32"/>
          <w:lang w:val="en-US" w:eastAsia="zh-CN"/>
        </w:rPr>
      </w:pPr>
      <w:r>
        <w:rPr>
          <w:rFonts w:hint="default" w:ascii="Times New Roman" w:hAnsi="Times New Roman" w:eastAsia="仿宋" w:cs="Times New Roman"/>
          <w:b w:val="0"/>
          <w:bCs w:val="0"/>
          <w:sz w:val="32"/>
          <w:szCs w:val="32"/>
          <w:lang w:val="en-US" w:eastAsia="zh-CN"/>
        </w:rPr>
        <w:t>项目建成后，新增床位660张、提供机动车停车位数量约1000个，有效改善菏泽市立医院医疗条件，提高服务能力，将市立医院建成省级区域医疗中心，为菏泽市七县二区一千万人民及邻近省、市部分群众的提供更加优质的医疗保健任务，推动菏泽公共医疗卫生水平的提高，促进菏泽市卫生健康事业发展。</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outlineLvl w:val="1"/>
        <w:rPr>
          <w:rFonts w:hint="default" w:ascii="Times New Roman" w:hAnsi="Times New Roman" w:eastAsia="楷体" w:cs="Times New Roman"/>
          <w:sz w:val="32"/>
          <w:szCs w:val="32"/>
          <w:lang w:val="en-US" w:eastAsia="zh-CN"/>
        </w:rPr>
      </w:pPr>
      <w:r>
        <w:rPr>
          <w:rFonts w:hint="default" w:ascii="Times New Roman" w:hAnsi="Times New Roman" w:eastAsia="楷体" w:cs="Times New Roman"/>
          <w:bCs/>
          <w:sz w:val="32"/>
          <w:szCs w:val="32"/>
          <w:lang w:val="en-US" w:eastAsia="zh-CN"/>
        </w:rPr>
        <w:t>（二）存在问题及原因分析</w:t>
      </w:r>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643" w:firstLineChars="200"/>
        <w:jc w:val="both"/>
        <w:textAlignment w:val="auto"/>
        <w:outlineLvl w:val="9"/>
        <w:rPr>
          <w:rFonts w:hint="default" w:ascii="Times New Roman" w:hAnsi="Times New Roman" w:eastAsia="仿宋" w:cs="Times New Roman"/>
          <w:b/>
          <w:bCs/>
          <w:sz w:val="32"/>
          <w:szCs w:val="32"/>
          <w:lang w:val="en-US" w:eastAsia="zh-CN"/>
        </w:rPr>
      </w:pPr>
      <w:bookmarkStart w:id="0" w:name="_Toc7193"/>
      <w:bookmarkStart w:id="1" w:name="_Toc10826"/>
      <w:bookmarkStart w:id="2" w:name="_Toc10290"/>
      <w:r>
        <w:rPr>
          <w:rFonts w:hint="default" w:ascii="Times New Roman" w:hAnsi="Times New Roman" w:eastAsia="仿宋" w:cs="Times New Roman"/>
          <w:b/>
          <w:bCs/>
          <w:sz w:val="32"/>
          <w:szCs w:val="32"/>
          <w:lang w:val="en-US" w:eastAsia="zh-CN"/>
        </w:rPr>
        <w:t>1.绩效目标编制科学性有待优化</w:t>
      </w:r>
      <w:bookmarkEnd w:id="0"/>
      <w:bookmarkEnd w:id="1"/>
      <w:bookmarkEnd w:id="2"/>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cs="Times New Roman"/>
          <w:sz w:val="32"/>
          <w:szCs w:val="32"/>
          <w:lang w:val="en-US" w:eastAsia="zh-CN"/>
        </w:rPr>
      </w:pPr>
      <w:r>
        <w:rPr>
          <w:rFonts w:hint="default" w:ascii="Times New Roman" w:hAnsi="Times New Roman" w:eastAsia="仿宋" w:cs="Times New Roman"/>
          <w:b w:val="0"/>
          <w:bCs w:val="0"/>
          <w:sz w:val="32"/>
          <w:szCs w:val="32"/>
          <w:lang w:val="en-US" w:eastAsia="zh-CN"/>
        </w:rPr>
        <w:t>项目建设单位对绩效目标管理工作重视程度不足。一是项目绩效目标中长期目标设置较为笼统，为“按计划推进各单项工程建设，完成本阶段建设任务，保障综合楼一期项目如期完成”；二是</w:t>
      </w:r>
      <w:r>
        <w:rPr>
          <w:rFonts w:hint="default" w:ascii="Times New Roman" w:hAnsi="Times New Roman" w:eastAsia="仿宋" w:cs="Times New Roman"/>
          <w:sz w:val="32"/>
          <w:szCs w:val="32"/>
          <w:lang w:val="en-US" w:eastAsia="zh-CN"/>
        </w:rPr>
        <w:t>效益指标</w:t>
      </w:r>
      <w:r>
        <w:rPr>
          <w:rFonts w:hint="default" w:ascii="Times New Roman" w:hAnsi="Times New Roman" w:eastAsia="仿宋" w:cs="Times New Roman"/>
          <w:sz w:val="32"/>
          <w:szCs w:val="32"/>
          <w:lang w:eastAsia="zh-CN"/>
        </w:rPr>
        <w:t>较为宏观、定性，</w:t>
      </w:r>
      <w:r>
        <w:rPr>
          <w:rFonts w:hint="default" w:ascii="Times New Roman" w:hAnsi="Times New Roman" w:eastAsia="仿宋" w:cs="Times New Roman"/>
          <w:sz w:val="32"/>
          <w:szCs w:val="32"/>
          <w:lang w:val="en-US" w:eastAsia="zh-CN"/>
        </w:rPr>
        <w:t>如经济效益指标设置为“按设计要求采用节能建材”、社会效益指标为“改善医疗卫生基础设施条件”，</w:t>
      </w:r>
      <w:r>
        <w:rPr>
          <w:rFonts w:hint="default" w:ascii="Times New Roman" w:hAnsi="Times New Roman" w:eastAsia="仿宋" w:cs="Times New Roman"/>
          <w:sz w:val="32"/>
          <w:szCs w:val="32"/>
          <w:lang w:eastAsia="zh-CN"/>
        </w:rPr>
        <w:t>未制定明确、量化的阶段性</w:t>
      </w:r>
      <w:r>
        <w:rPr>
          <w:rFonts w:hint="default" w:ascii="Times New Roman" w:hAnsi="Times New Roman" w:eastAsia="仿宋" w:cs="Times New Roman"/>
          <w:sz w:val="32"/>
          <w:szCs w:val="32"/>
          <w:lang w:val="en-US" w:eastAsia="zh-CN"/>
        </w:rPr>
        <w:t>效益</w:t>
      </w:r>
      <w:r>
        <w:rPr>
          <w:rFonts w:hint="default" w:ascii="Times New Roman" w:hAnsi="Times New Roman" w:eastAsia="仿宋" w:cs="Times New Roman"/>
          <w:sz w:val="32"/>
          <w:szCs w:val="32"/>
          <w:lang w:eastAsia="zh-CN"/>
        </w:rPr>
        <w:t>目标，缺乏对</w:t>
      </w:r>
      <w:r>
        <w:rPr>
          <w:rFonts w:hint="default" w:ascii="Times New Roman" w:hAnsi="Times New Roman" w:eastAsia="仿宋" w:cs="Times New Roman"/>
          <w:sz w:val="32"/>
          <w:szCs w:val="32"/>
          <w:lang w:val="en-US" w:eastAsia="zh-CN"/>
        </w:rPr>
        <w:t>菏泽市立医院门诊综合楼建设项目的硬性约束；三是绩效目标编制不完整，缺少可持续影响指标。</w:t>
      </w:r>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643" w:firstLineChars="200"/>
        <w:jc w:val="both"/>
        <w:textAlignment w:val="auto"/>
        <w:outlineLvl w:val="9"/>
        <w:rPr>
          <w:rFonts w:hint="default" w:ascii="Times New Roman" w:hAnsi="Times New Roman" w:eastAsia="仿宋" w:cs="Times New Roman"/>
          <w:b/>
          <w:bCs/>
          <w:sz w:val="32"/>
          <w:szCs w:val="32"/>
          <w:lang w:val="en-US" w:eastAsia="zh-CN"/>
        </w:rPr>
      </w:pPr>
      <w:bookmarkStart w:id="3" w:name="_Toc484"/>
      <w:bookmarkStart w:id="4" w:name="_Toc2119"/>
      <w:bookmarkStart w:id="5" w:name="_Toc11658"/>
      <w:r>
        <w:rPr>
          <w:rFonts w:hint="default" w:ascii="Times New Roman" w:hAnsi="Times New Roman" w:eastAsia="仿宋" w:cs="Times New Roman"/>
          <w:b/>
          <w:bCs/>
          <w:sz w:val="32"/>
          <w:szCs w:val="32"/>
          <w:lang w:val="en-US" w:eastAsia="zh-CN"/>
        </w:rPr>
        <w:t>2.资金拨付和使用进度与建设进度不匹配</w:t>
      </w:r>
      <w:bookmarkEnd w:id="3"/>
      <w:bookmarkEnd w:id="4"/>
      <w:bookmarkEnd w:id="5"/>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color w:val="auto"/>
          <w:sz w:val="32"/>
          <w:szCs w:val="32"/>
          <w:lang w:val="en-US" w:eastAsia="zh-CN"/>
        </w:rPr>
      </w:pPr>
      <w:r>
        <w:rPr>
          <w:rFonts w:hint="default" w:ascii="Times New Roman" w:hAnsi="Times New Roman" w:eastAsia="仿宋" w:cs="Times New Roman"/>
          <w:color w:val="auto"/>
          <w:sz w:val="32"/>
          <w:szCs w:val="32"/>
          <w:highlight w:val="none"/>
          <w:lang w:val="en-US" w:eastAsia="zh-CN"/>
        </w:rPr>
        <w:t>由于2022年度疫情、环境整治、山东省急诊最新相关规范、科室新布局调整优化等原因，202</w:t>
      </w:r>
      <w:r>
        <w:rPr>
          <w:rFonts w:hint="default" w:ascii="Times New Roman" w:hAnsi="Times New Roman" w:eastAsia="仿宋" w:cs="Times New Roman"/>
          <w:color w:val="auto"/>
          <w:sz w:val="32"/>
          <w:szCs w:val="32"/>
          <w:lang w:val="en-US" w:eastAsia="zh-CN"/>
        </w:rPr>
        <w:t>2年10月下达的专项债券资金拨付和使用进度与项目建设进度不匹配。</w:t>
      </w:r>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643" w:firstLineChars="200"/>
        <w:jc w:val="both"/>
        <w:textAlignment w:val="auto"/>
        <w:outlineLvl w:val="9"/>
        <w:rPr>
          <w:rFonts w:hint="default" w:ascii="Times New Roman" w:hAnsi="Times New Roman" w:eastAsia="仿宋" w:cs="Times New Roman"/>
          <w:b/>
          <w:bCs/>
          <w:sz w:val="32"/>
          <w:szCs w:val="32"/>
          <w:lang w:val="en-US" w:eastAsia="zh-CN"/>
        </w:rPr>
      </w:pPr>
      <w:bookmarkStart w:id="6" w:name="_Toc21414"/>
      <w:r>
        <w:rPr>
          <w:rFonts w:hint="default" w:ascii="Times New Roman" w:hAnsi="Times New Roman" w:eastAsia="仿宋" w:cs="Times New Roman"/>
          <w:b/>
          <w:bCs/>
          <w:sz w:val="32"/>
          <w:szCs w:val="32"/>
          <w:lang w:val="en-US" w:eastAsia="zh-CN"/>
        </w:rPr>
        <w:t>3.项目管理制度健全性有待加强</w:t>
      </w:r>
      <w:bookmarkEnd w:id="6"/>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一是项目实施过程中</w:t>
      </w:r>
      <w:r>
        <w:rPr>
          <w:rFonts w:hint="default" w:ascii="Times New Roman" w:hAnsi="Times New Roman" w:eastAsia="仿宋" w:cs="Times New Roman"/>
          <w:color w:val="auto"/>
          <w:sz w:val="32"/>
          <w:szCs w:val="32"/>
          <w:lang w:val="en-US" w:eastAsia="zh-CN"/>
        </w:rPr>
        <w:t>，菏泽市立医院仍沿用省级专项债券项目通用管理制度，项目建设前未根据专项债券项目制定对应的财务管理制度，未制定资金管理办法，用以加强专项债项目资金的管理，未见专项资金使用计划。二是菏泽市立</w:t>
      </w:r>
      <w:r>
        <w:rPr>
          <w:rFonts w:hint="default" w:ascii="Times New Roman" w:hAnsi="Times New Roman" w:eastAsia="仿宋" w:cs="Times New Roman"/>
          <w:sz w:val="32"/>
          <w:szCs w:val="32"/>
          <w:lang w:val="en-US" w:eastAsia="zh-CN"/>
        </w:rPr>
        <w:t>医院与中铁八局集团有限公司建立共同监管账户后，未针对资金监管范围、共管账户资金申请的程序、监管账户资金的留存以及解除资金监管的程序等制定对应的监督管理办法。</w:t>
      </w:r>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643" w:firstLineChars="200"/>
        <w:jc w:val="both"/>
        <w:textAlignment w:val="auto"/>
        <w:outlineLvl w:val="9"/>
        <w:rPr>
          <w:rFonts w:hint="default" w:ascii="Times New Roman" w:hAnsi="Times New Roman" w:eastAsia="仿宋" w:cs="Times New Roman"/>
          <w:b/>
          <w:bCs/>
          <w:sz w:val="32"/>
          <w:szCs w:val="32"/>
          <w:lang w:val="en-US" w:eastAsia="zh-CN"/>
        </w:rPr>
      </w:pPr>
      <w:bookmarkStart w:id="7" w:name="_Toc21200"/>
      <w:bookmarkStart w:id="8" w:name="_Toc2103"/>
      <w:bookmarkStart w:id="9" w:name="_Toc12601"/>
      <w:r>
        <w:rPr>
          <w:rFonts w:hint="default" w:ascii="Times New Roman" w:hAnsi="Times New Roman" w:eastAsia="仿宋" w:cs="Times New Roman"/>
          <w:b/>
          <w:bCs/>
          <w:sz w:val="32"/>
          <w:szCs w:val="32"/>
          <w:lang w:val="en-US" w:eastAsia="zh-CN"/>
        </w:rPr>
        <w:t>4.组织管理有待加强，项目进度滞后</w:t>
      </w:r>
      <w:bookmarkEnd w:id="7"/>
      <w:bookmarkEnd w:id="8"/>
      <w:bookmarkEnd w:id="9"/>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黑体" w:cs="Times New Roman"/>
          <w:bCs/>
          <w:sz w:val="32"/>
          <w:szCs w:val="32"/>
          <w:lang w:val="en-US" w:eastAsia="zh-CN"/>
        </w:rPr>
      </w:pPr>
      <w:r>
        <w:rPr>
          <w:rFonts w:hint="default" w:ascii="Times New Roman" w:hAnsi="Times New Roman" w:eastAsia="仿宋" w:cs="Times New Roman"/>
          <w:sz w:val="32"/>
          <w:szCs w:val="32"/>
          <w:lang w:val="en-US" w:eastAsia="zh-CN"/>
        </w:rPr>
        <w:t>截至评价日，项目仍在施工建设中，工期滞后的主要原因是施工图反复修改及疫情环境影响，项目人员及设备无法到场，导致项目无法施工，及部分医疗专项滞后。</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黑体" w:cs="Times New Roman"/>
          <w:bCs/>
          <w:sz w:val="32"/>
          <w:szCs w:val="32"/>
          <w:lang w:val="en-US" w:eastAsia="zh-CN"/>
        </w:rPr>
      </w:pPr>
      <w:r>
        <w:rPr>
          <w:rFonts w:hint="default" w:ascii="Times New Roman" w:hAnsi="Times New Roman" w:eastAsia="黑体" w:cs="Times New Roman"/>
          <w:bCs/>
          <w:sz w:val="32"/>
          <w:szCs w:val="32"/>
          <w:lang w:val="en-US" w:eastAsia="zh-CN"/>
        </w:rPr>
        <w:t>五、有关建议</w:t>
      </w:r>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643" w:firstLineChars="200"/>
        <w:jc w:val="both"/>
        <w:textAlignment w:val="auto"/>
        <w:outlineLvl w:val="9"/>
        <w:rPr>
          <w:rFonts w:hint="default" w:ascii="Times New Roman" w:hAnsi="Times New Roman" w:eastAsia="仿宋" w:cs="Times New Roman"/>
          <w:b/>
          <w:bCs/>
          <w:sz w:val="32"/>
          <w:szCs w:val="32"/>
          <w:lang w:val="en-US" w:eastAsia="zh-CN"/>
        </w:rPr>
      </w:pPr>
      <w:bookmarkStart w:id="10" w:name="_Toc22452"/>
      <w:bookmarkStart w:id="11" w:name="_Toc15778"/>
      <w:bookmarkStart w:id="12" w:name="_Toc26255"/>
      <w:r>
        <w:rPr>
          <w:rFonts w:hint="default" w:ascii="Times New Roman" w:hAnsi="Times New Roman" w:eastAsia="仿宋" w:cs="Times New Roman"/>
          <w:b/>
          <w:bCs/>
          <w:sz w:val="32"/>
          <w:szCs w:val="32"/>
          <w:lang w:val="en-US" w:eastAsia="zh-CN"/>
        </w:rPr>
        <w:t>1.提高绩效管理水平，强化绩效目标管理</w:t>
      </w:r>
      <w:bookmarkEnd w:id="10"/>
      <w:bookmarkEnd w:id="11"/>
      <w:bookmarkEnd w:id="12"/>
    </w:p>
    <w:p>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b w:val="0"/>
          <w:bCs w:val="0"/>
          <w:color w:val="auto"/>
          <w:sz w:val="32"/>
          <w:szCs w:val="32"/>
          <w:lang w:val="en-US" w:eastAsia="zh-CN"/>
        </w:rPr>
      </w:pPr>
      <w:r>
        <w:rPr>
          <w:rFonts w:hint="default" w:ascii="Times New Roman" w:hAnsi="Times New Roman" w:eastAsia="仿宋" w:cs="Times New Roman"/>
          <w:b w:val="0"/>
          <w:bCs w:val="0"/>
          <w:w w:val="100"/>
          <w:kern w:val="2"/>
          <w:sz w:val="32"/>
          <w:szCs w:val="32"/>
          <w:lang w:val="en-US" w:eastAsia="zh-CN" w:bidi="ar-SA"/>
        </w:rPr>
        <w:t>一是增强项目绩效目标设定的科学性，根据项目实际完工进度及考虑各种不确定因素影响，综合考虑项目实施条件，合理制定项目年度目标或阶段性目标，避免出现目标设置过高或过低的问题。二是确保绩效目标内容完整、准确、可衡量，为后续项目管理、监督监控提供重要依据。申报绩效目标时要细化、量化各类指标，便于项目完成情况与绩效目标进行对比。</w:t>
      </w:r>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643" w:firstLineChars="200"/>
        <w:jc w:val="both"/>
        <w:textAlignment w:val="auto"/>
        <w:outlineLvl w:val="9"/>
        <w:rPr>
          <w:rFonts w:hint="default" w:ascii="Times New Roman" w:hAnsi="Times New Roman" w:eastAsia="仿宋" w:cs="Times New Roman"/>
          <w:b/>
          <w:bCs/>
          <w:sz w:val="32"/>
          <w:szCs w:val="32"/>
          <w:lang w:val="en-US" w:eastAsia="zh-CN"/>
        </w:rPr>
      </w:pPr>
      <w:bookmarkStart w:id="13" w:name="_Toc32452"/>
      <w:bookmarkStart w:id="14" w:name="_Toc28194"/>
      <w:bookmarkStart w:id="15" w:name="_Toc23305"/>
      <w:r>
        <w:rPr>
          <w:rFonts w:hint="default" w:ascii="Times New Roman" w:hAnsi="Times New Roman" w:eastAsia="仿宋" w:cs="Times New Roman"/>
          <w:b/>
          <w:bCs/>
          <w:sz w:val="32"/>
          <w:szCs w:val="32"/>
          <w:lang w:val="en-US" w:eastAsia="zh-CN"/>
        </w:rPr>
        <w:t>2.制定项目资金管理办法，</w:t>
      </w:r>
      <w:bookmarkEnd w:id="13"/>
      <w:bookmarkEnd w:id="14"/>
      <w:r>
        <w:rPr>
          <w:rFonts w:hint="default" w:ascii="Times New Roman" w:hAnsi="Times New Roman" w:eastAsia="仿宋" w:cs="Times New Roman"/>
          <w:b/>
          <w:bCs/>
          <w:sz w:val="32"/>
          <w:szCs w:val="32"/>
          <w:lang w:val="en-US" w:eastAsia="zh-CN"/>
        </w:rPr>
        <w:t>保障项目高效执行</w:t>
      </w:r>
      <w:bookmarkEnd w:id="15"/>
    </w:p>
    <w:p>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b w:val="0"/>
          <w:bCs w:val="0"/>
          <w:color w:val="auto"/>
          <w:sz w:val="32"/>
          <w:szCs w:val="32"/>
          <w:lang w:val="en-US" w:eastAsia="zh-CN"/>
        </w:rPr>
      </w:pPr>
      <w:r>
        <w:rPr>
          <w:rFonts w:hint="default" w:ascii="Times New Roman" w:hAnsi="Times New Roman" w:eastAsia="仿宋" w:cs="Times New Roman"/>
          <w:b w:val="0"/>
          <w:bCs w:val="0"/>
          <w:w w:val="100"/>
          <w:kern w:val="2"/>
          <w:sz w:val="32"/>
          <w:szCs w:val="32"/>
          <w:lang w:val="en-US" w:eastAsia="zh-CN" w:bidi="ar-SA"/>
        </w:rPr>
        <w:t>在现有财政资金、财务管理制度基础上，制定专项债项目资金管理办法，对项目资金使用目的、支付范围、支付流程、监督与责任进行明确规定。</w:t>
      </w:r>
    </w:p>
    <w:p>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 w:cs="Times New Roman"/>
          <w:b w:val="0"/>
          <w:bCs w:val="0"/>
          <w:w w:val="100"/>
          <w:kern w:val="2"/>
          <w:sz w:val="32"/>
          <w:szCs w:val="32"/>
          <w:lang w:val="en-US" w:eastAsia="zh-CN" w:bidi="ar-SA"/>
        </w:rPr>
      </w:pPr>
      <w:bookmarkStart w:id="16" w:name="_Toc17230"/>
      <w:bookmarkStart w:id="17" w:name="_Toc28677"/>
      <w:bookmarkStart w:id="18" w:name="_Toc24374"/>
      <w:r>
        <w:rPr>
          <w:rFonts w:hint="default" w:ascii="Times New Roman" w:hAnsi="Times New Roman" w:eastAsia="仿宋" w:cs="Times New Roman"/>
          <w:b/>
          <w:bCs/>
          <w:w w:val="100"/>
          <w:kern w:val="2"/>
          <w:sz w:val="32"/>
          <w:szCs w:val="32"/>
          <w:lang w:val="en-US" w:eastAsia="zh-CN" w:bidi="ar-SA"/>
        </w:rPr>
        <w:t>3.规范项目资金支出，保证资金使用合法合规</w:t>
      </w:r>
      <w:bookmarkEnd w:id="16"/>
    </w:p>
    <w:p>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b w:val="0"/>
          <w:bCs w:val="0"/>
          <w:w w:val="100"/>
          <w:kern w:val="2"/>
          <w:sz w:val="32"/>
          <w:szCs w:val="32"/>
          <w:lang w:val="en-US" w:eastAsia="zh-CN" w:bidi="ar-SA"/>
        </w:rPr>
      </w:pPr>
      <w:r>
        <w:rPr>
          <w:rFonts w:hint="default" w:ascii="Times New Roman" w:hAnsi="Times New Roman" w:eastAsia="仿宋" w:cs="Times New Roman"/>
          <w:b w:val="0"/>
          <w:bCs w:val="0"/>
          <w:w w:val="100"/>
          <w:kern w:val="2"/>
          <w:sz w:val="32"/>
          <w:szCs w:val="32"/>
          <w:lang w:val="en-US" w:eastAsia="zh-CN" w:bidi="ar-SA"/>
        </w:rPr>
        <w:t>项目建设过程中，根据专项债券资金管理办法和单位财务管理制度等，规范项目资金支付，切实做到资金支付合法合规，确保资金拨付和使用进度与项目建设进度相匹配，避免超进度支付工程款和拖延支付工程款现象。</w:t>
      </w:r>
    </w:p>
    <w:p>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仿宋" w:cs="Times New Roman"/>
          <w:b w:val="0"/>
          <w:bCs w:val="0"/>
          <w:w w:val="100"/>
          <w:kern w:val="2"/>
          <w:sz w:val="32"/>
          <w:szCs w:val="32"/>
          <w:lang w:val="en-US" w:eastAsia="zh-CN" w:bidi="ar-SA"/>
        </w:rPr>
      </w:pPr>
      <w:bookmarkStart w:id="19" w:name="_Toc11904"/>
      <w:r>
        <w:rPr>
          <w:rFonts w:hint="default" w:ascii="Times New Roman" w:hAnsi="Times New Roman" w:eastAsia="仿宋" w:cs="Times New Roman"/>
          <w:b/>
          <w:bCs/>
          <w:w w:val="100"/>
          <w:kern w:val="2"/>
          <w:sz w:val="32"/>
          <w:szCs w:val="32"/>
          <w:lang w:val="en-US" w:eastAsia="zh-CN" w:bidi="ar-SA"/>
        </w:rPr>
        <w:t>4.建立施工进度动态预警机制，力保实现工期目标</w:t>
      </w:r>
      <w:bookmarkEnd w:id="17"/>
      <w:bookmarkEnd w:id="18"/>
      <w:bookmarkEnd w:id="19"/>
    </w:p>
    <w:p>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b w:val="0"/>
          <w:bCs w:val="0"/>
          <w:w w:val="100"/>
          <w:kern w:val="2"/>
          <w:sz w:val="32"/>
          <w:szCs w:val="32"/>
          <w:lang w:val="en-US" w:eastAsia="zh-CN" w:bidi="ar-SA"/>
        </w:rPr>
      </w:pPr>
      <w:r>
        <w:rPr>
          <w:rFonts w:hint="default" w:ascii="Times New Roman" w:hAnsi="Times New Roman" w:eastAsia="仿宋" w:cs="Times New Roman"/>
          <w:b w:val="0"/>
          <w:bCs w:val="0"/>
          <w:w w:val="100"/>
          <w:kern w:val="2"/>
          <w:sz w:val="32"/>
          <w:szCs w:val="32"/>
          <w:lang w:val="en-US" w:eastAsia="zh-CN" w:bidi="ar-SA"/>
        </w:rPr>
        <w:t>在建立健全项目管理制度，加强项目制度约束的同时，应根据项目风险的连续性和动态性，制定相应的风险防范措施。菏泽市立医院应</w:t>
      </w:r>
      <w:bookmarkStart w:id="20" w:name="_GoBack"/>
      <w:bookmarkEnd w:id="20"/>
      <w:r>
        <w:rPr>
          <w:rFonts w:hint="default" w:ascii="Times New Roman" w:hAnsi="Times New Roman" w:eastAsia="仿宋" w:cs="Times New Roman"/>
          <w:b w:val="0"/>
          <w:bCs w:val="0"/>
          <w:w w:val="100"/>
          <w:kern w:val="2"/>
          <w:sz w:val="32"/>
          <w:szCs w:val="32"/>
          <w:lang w:val="en-US" w:eastAsia="zh-CN" w:bidi="ar-SA"/>
        </w:rPr>
        <w:t>制订包括设计图纸到位、进场材料供应、施工队伍调配及现场交叉作业在内的综合性进度计划。制定严密的进度书，其中包括总体和分部分项进行计划及月计划、周计划和复式滚动，做到计划合理、科学安排，将风险管理贯穿于项目始终。现阶段在保证质量的前提下，应对施工计划分级管理，通过预测、调整，提出相应的控制措施，力求实现工期目标。</w:t>
      </w:r>
    </w:p>
    <w:sectPr>
      <w:footerReference r:id="rId3" w:type="default"/>
      <w:pgSz w:w="11906" w:h="16838"/>
      <w:pgMar w:top="1701" w:right="1474" w:bottom="1701" w:left="1587" w:header="851" w:footer="1474" w:gutter="0"/>
      <w:paperSrc/>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宋体" w:hAnsi="宋体" w:eastAsia="宋体"/>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129BD0"/>
    <w:multiLevelType w:val="singleLevel"/>
    <w:tmpl w:val="E9129BD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M2NmNjc2ZDBkN2JjNmRlNzllNTUwMzQ2OWJhYjAifQ=="/>
  </w:docVars>
  <w:rsids>
    <w:rsidRoot w:val="00000000"/>
    <w:rsid w:val="00DE0A62"/>
    <w:rsid w:val="00DF11E3"/>
    <w:rsid w:val="00DF399C"/>
    <w:rsid w:val="00F505A0"/>
    <w:rsid w:val="0182157D"/>
    <w:rsid w:val="01897A84"/>
    <w:rsid w:val="061B1299"/>
    <w:rsid w:val="06351910"/>
    <w:rsid w:val="067610D2"/>
    <w:rsid w:val="0A4136DC"/>
    <w:rsid w:val="0A891503"/>
    <w:rsid w:val="0CF77A73"/>
    <w:rsid w:val="0D2C799D"/>
    <w:rsid w:val="11203B56"/>
    <w:rsid w:val="11533A80"/>
    <w:rsid w:val="13102103"/>
    <w:rsid w:val="142E449C"/>
    <w:rsid w:val="15A2564A"/>
    <w:rsid w:val="16AA2D18"/>
    <w:rsid w:val="1A1D0DB6"/>
    <w:rsid w:val="1AD64829"/>
    <w:rsid w:val="1B697783"/>
    <w:rsid w:val="1F037166"/>
    <w:rsid w:val="23802D1B"/>
    <w:rsid w:val="27CE7742"/>
    <w:rsid w:val="2C005C55"/>
    <w:rsid w:val="2ED759C8"/>
    <w:rsid w:val="2FC8558F"/>
    <w:rsid w:val="36FE6F76"/>
    <w:rsid w:val="3ABF4BD1"/>
    <w:rsid w:val="3ADB364D"/>
    <w:rsid w:val="3CAE71FE"/>
    <w:rsid w:val="42204EB5"/>
    <w:rsid w:val="45EE7D8D"/>
    <w:rsid w:val="4A6322C3"/>
    <w:rsid w:val="4C6E0437"/>
    <w:rsid w:val="4D62704B"/>
    <w:rsid w:val="4E73291C"/>
    <w:rsid w:val="50BB04E2"/>
    <w:rsid w:val="522462FB"/>
    <w:rsid w:val="52601456"/>
    <w:rsid w:val="54921C42"/>
    <w:rsid w:val="56006068"/>
    <w:rsid w:val="575B67D4"/>
    <w:rsid w:val="5C924D42"/>
    <w:rsid w:val="5D5F46F0"/>
    <w:rsid w:val="61D153CB"/>
    <w:rsid w:val="62EB2352"/>
    <w:rsid w:val="63AA57A7"/>
    <w:rsid w:val="64E37928"/>
    <w:rsid w:val="677A37D4"/>
    <w:rsid w:val="68302CED"/>
    <w:rsid w:val="68A64545"/>
    <w:rsid w:val="6B614ECF"/>
    <w:rsid w:val="6ECE2AB8"/>
    <w:rsid w:val="6F073FD6"/>
    <w:rsid w:val="7012780C"/>
    <w:rsid w:val="76822B5C"/>
    <w:rsid w:val="794908F9"/>
    <w:rsid w:val="7D4E6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3">
    <w:name w:val="heading 1"/>
    <w:basedOn w:val="1"/>
    <w:next w:val="1"/>
    <w:qFormat/>
    <w:uiPriority w:val="9"/>
    <w:pPr>
      <w:keepNext/>
      <w:keepLines/>
      <w:spacing w:line="360" w:lineRule="auto"/>
      <w:ind w:firstLine="723" w:firstLineChars="200"/>
      <w:outlineLvl w:val="0"/>
    </w:pPr>
    <w:rPr>
      <w:rFonts w:eastAsia="黑体"/>
      <w:kern w:val="44"/>
      <w:sz w:val="32"/>
    </w:rPr>
  </w:style>
  <w:style w:type="paragraph" w:styleId="4">
    <w:name w:val="heading 2"/>
    <w:basedOn w:val="1"/>
    <w:next w:val="1"/>
    <w:unhideWhenUsed/>
    <w:qFormat/>
    <w:uiPriority w:val="9"/>
    <w:pPr>
      <w:keepNext/>
      <w:keepLines/>
      <w:spacing w:line="360" w:lineRule="auto"/>
      <w:ind w:firstLine="723" w:firstLineChars="200"/>
      <w:outlineLvl w:val="1"/>
    </w:pPr>
    <w:rPr>
      <w:rFonts w:ascii="Arial" w:hAnsi="Arial" w:eastAsia="楷体"/>
      <w:b/>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unhideWhenUsed/>
    <w:qFormat/>
    <w:uiPriority w:val="39"/>
    <w:pPr>
      <w:tabs>
        <w:tab w:val="right" w:leader="dot" w:pos="8296"/>
      </w:tabs>
    </w:pPr>
    <w:rPr>
      <w:rFonts w:ascii="仿宋" w:hAnsi="仿宋" w:eastAsia="仿宋"/>
      <w:b/>
      <w:bCs/>
      <w:w w:val="90"/>
      <w:sz w:val="32"/>
      <w:szCs w:val="32"/>
    </w:rPr>
  </w:style>
  <w:style w:type="paragraph" w:styleId="7">
    <w:name w:val="footnote text"/>
    <w:basedOn w:val="1"/>
    <w:qFormat/>
    <w:uiPriority w:val="0"/>
    <w:pPr>
      <w:widowControl/>
      <w:snapToGrid w:val="0"/>
      <w:spacing w:line="560" w:lineRule="exact"/>
      <w:ind w:firstLine="960" w:firstLineChars="200"/>
      <w:jc w:val="left"/>
    </w:pPr>
    <w:rPr>
      <w:rFonts w:ascii="宋体" w:hAnsi="宋体" w:eastAsia="仿宋_GB2312" w:cs="宋体"/>
      <w:kern w:val="0"/>
      <w:sz w:val="18"/>
      <w:szCs w:val="18"/>
    </w:rPr>
  </w:style>
  <w:style w:type="paragraph" w:styleId="8">
    <w:name w:val="toc 2"/>
    <w:basedOn w:val="1"/>
    <w:next w:val="1"/>
    <w:unhideWhenUsed/>
    <w:qFormat/>
    <w:uiPriority w:val="39"/>
    <w:pPr>
      <w:ind w:left="420" w:leftChars="200"/>
    </w:pPr>
  </w:style>
  <w:style w:type="paragraph" w:styleId="9">
    <w:name w:val="Body Text 2"/>
    <w:basedOn w:val="1"/>
    <w:qFormat/>
    <w:uiPriority w:val="0"/>
    <w:rPr>
      <w:rFonts w:ascii="Calibri" w:hAnsi="Calibri"/>
      <w:kern w:val="0"/>
      <w:sz w:val="21"/>
    </w:rPr>
  </w:style>
  <w:style w:type="paragraph" w:styleId="10">
    <w:name w:val="Title"/>
    <w:basedOn w:val="1"/>
    <w:next w:val="1"/>
    <w:qFormat/>
    <w:uiPriority w:val="0"/>
    <w:pPr>
      <w:adjustRightInd w:val="0"/>
      <w:snapToGrid w:val="0"/>
      <w:spacing w:line="360" w:lineRule="auto"/>
      <w:ind w:firstLine="800" w:firstLineChars="200"/>
      <w:jc w:val="left"/>
      <w:outlineLvl w:val="0"/>
    </w:pPr>
    <w:rPr>
      <w:rFonts w:ascii="Arial" w:hAnsi="Arial" w:eastAsia="仿宋" w:cs="Times New Roman"/>
      <w:sz w:val="32"/>
      <w:szCs w:val="32"/>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unhideWhenUsed/>
    <w:qFormat/>
    <w:uiPriority w:val="99"/>
    <w:rPr>
      <w:color w:val="0563C1" w:themeColor="hyperlink"/>
      <w:u w:val="single"/>
      <w14:textFill>
        <w14:solidFill>
          <w14:schemeClr w14:val="hlink"/>
        </w14:solidFill>
      </w14:textFill>
    </w:rPr>
  </w:style>
  <w:style w:type="character" w:styleId="15">
    <w:name w:val="footnote reference"/>
    <w:basedOn w:val="13"/>
    <w:qFormat/>
    <w:uiPriority w:val="0"/>
    <w:rPr>
      <w:vertAlign w:val="superscript"/>
    </w:rPr>
  </w:style>
  <w:style w:type="paragraph" w:customStyle="1" w:styleId="16">
    <w:name w:val="_Style 3"/>
    <w:basedOn w:val="1"/>
    <w:next w:val="17"/>
    <w:unhideWhenUsed/>
    <w:qFormat/>
    <w:uiPriority w:val="99"/>
    <w:pPr>
      <w:spacing w:line="360" w:lineRule="auto"/>
      <w:ind w:firstLine="420" w:firstLineChars="200"/>
      <w:jc w:val="left"/>
    </w:pPr>
    <w:rPr>
      <w:rFonts w:ascii="Times New Roman" w:hAnsi="Times New Roman" w:eastAsia="仿宋"/>
      <w:sz w:val="32"/>
      <w:szCs w:val="24"/>
      <w:lang w:eastAsia="zh-TW"/>
    </w:rPr>
  </w:style>
  <w:style w:type="paragraph" w:styleId="17">
    <w:name w:val="List Paragraph"/>
    <w:basedOn w:val="1"/>
    <w:qFormat/>
    <w:uiPriority w:val="34"/>
    <w:pPr>
      <w:ind w:firstLine="420" w:firstLineChars="200"/>
    </w:pPr>
  </w:style>
  <w:style w:type="paragraph" w:customStyle="1" w:styleId="18">
    <w:name w:val="闻政图表名"/>
    <w:basedOn w:val="1"/>
    <w:qFormat/>
    <w:uiPriority w:val="4"/>
    <w:pPr>
      <w:spacing w:before="60" w:after="60"/>
      <w:jc w:val="center"/>
    </w:pPr>
    <w:rPr>
      <w:rFonts w:ascii="Times New Roman" w:hAnsi="Times New Roman" w:eastAsia="仿宋_GB2312" w:cs="Times New Roman"/>
      <w:b/>
      <w:kern w:val="0"/>
      <w:sz w:val="24"/>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293</Words>
  <Characters>319</Characters>
  <Lines>0</Lines>
  <Paragraphs>0</Paragraphs>
  <TotalTime>15</TotalTime>
  <ScaleCrop>false</ScaleCrop>
  <LinksUpToDate>false</LinksUpToDate>
  <CharactersWithSpaces>335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2020-03-10T07:35:00Z</dcterms:created>
  <dc:creator>48933</dc:creator>
  <cp:lastModifiedBy>瑾王</cp:lastModifiedBy>
  <cp:lastPrinted>2022-04-25T08:04:00Z</cp:lastPrinted>
  <dcterms:modified xsi:type="dcterms:W3CDTF">2023-12-27T03:48:23Z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2BEDB4135AE14A8092DBB89B21EA0DFC_13</vt:lpwstr>
  </property>
</Properties>
</file>