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eastAsia" w:ascii="方正小标宋简体" w:hAnsi="方正小标宋简体" w:eastAsia="方正小标宋简体" w:cs="方正小标宋简体"/>
          <w:b w:val="0"/>
          <w:bCs/>
          <w:snapToGrid/>
          <w:color w:val="000000"/>
          <w:kern w:val="2"/>
          <w:sz w:val="44"/>
          <w:szCs w:val="44"/>
          <w:lang w:val="zh-CN" w:eastAsia="zh-CN"/>
        </w:rPr>
      </w:pPr>
      <w:bookmarkStart w:id="0" w:name="_Toc6131"/>
      <w:bookmarkStart w:id="1" w:name="_Toc6575"/>
      <w:bookmarkStart w:id="2" w:name="_Toc20171"/>
      <w:bookmarkStart w:id="3" w:name="_Toc28214"/>
      <w:bookmarkStart w:id="4" w:name="_Toc8206"/>
      <w:bookmarkStart w:id="5" w:name="_Toc10590"/>
      <w:bookmarkStart w:id="6" w:name="_Toc27254"/>
      <w:r>
        <w:rPr>
          <w:rFonts w:hint="eastAsia" w:ascii="方正小标宋简体" w:hAnsi="方正小标宋简体" w:eastAsia="方正小标宋简体" w:cs="方正小标宋简体"/>
          <w:b w:val="0"/>
          <w:bCs/>
          <w:snapToGrid/>
          <w:color w:val="000000"/>
          <w:kern w:val="2"/>
          <w:sz w:val="44"/>
          <w:szCs w:val="44"/>
          <w:lang w:val="zh-CN" w:eastAsia="zh-CN"/>
        </w:rPr>
        <w:t>菏泽市非道路移动机械远程定位监管</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0"/>
        <w:rPr>
          <w:rFonts w:hint="default" w:ascii="方正小标宋简体" w:hAnsi="方正小标宋简体" w:eastAsia="方正小标宋简体" w:cs="方正小标宋简体"/>
          <w:b w:val="0"/>
          <w:bCs/>
          <w:snapToGrid/>
          <w:color w:val="000000"/>
          <w:kern w:val="2"/>
          <w:sz w:val="44"/>
          <w:szCs w:val="44"/>
          <w:lang w:val="en-US" w:eastAsia="zh-CN"/>
        </w:rPr>
      </w:pPr>
      <w:r>
        <w:rPr>
          <w:rFonts w:hint="eastAsia" w:ascii="方正小标宋简体" w:hAnsi="方正小标宋简体" w:eastAsia="方正小标宋简体" w:cs="方正小标宋简体"/>
          <w:b w:val="0"/>
          <w:bCs/>
          <w:snapToGrid/>
          <w:color w:val="000000"/>
          <w:kern w:val="2"/>
          <w:sz w:val="44"/>
          <w:szCs w:val="44"/>
          <w:lang w:val="zh-CN" w:eastAsia="zh-CN"/>
        </w:rPr>
        <w:t>平台</w:t>
      </w:r>
      <w:bookmarkEnd w:id="0"/>
      <w:bookmarkEnd w:id="1"/>
      <w:bookmarkEnd w:id="2"/>
      <w:bookmarkEnd w:id="3"/>
      <w:bookmarkEnd w:id="4"/>
      <w:bookmarkEnd w:id="5"/>
      <w:bookmarkEnd w:id="6"/>
      <w:r>
        <w:rPr>
          <w:rFonts w:hint="eastAsia" w:ascii="方正小标宋简体" w:hAnsi="方正小标宋简体" w:eastAsia="方正小标宋简体" w:cs="方正小标宋简体"/>
          <w:b w:val="0"/>
          <w:bCs/>
          <w:snapToGrid/>
          <w:color w:val="000000"/>
          <w:kern w:val="2"/>
          <w:sz w:val="44"/>
          <w:szCs w:val="44"/>
          <w:lang w:val="zh-CN" w:eastAsia="zh-CN"/>
        </w:rPr>
        <w:t>政府采购项目财政重点绩效评价报</w:t>
      </w:r>
      <w:r>
        <w:rPr>
          <w:rFonts w:hint="eastAsia" w:ascii="方正小标宋简体" w:hAnsi="方正小标宋简体" w:eastAsia="方正小标宋简体" w:cs="方正小标宋简体"/>
          <w:b w:val="0"/>
          <w:bCs/>
          <w:snapToGrid/>
          <w:color w:val="000000"/>
          <w:kern w:val="2"/>
          <w:sz w:val="44"/>
          <w:szCs w:val="44"/>
          <w:lang w:val="en-US" w:eastAsia="zh-CN"/>
        </w:rPr>
        <w:t>告</w:t>
      </w:r>
    </w:p>
    <w:p>
      <w:pPr>
        <w:spacing w:line="360" w:lineRule="auto"/>
        <w:jc w:val="center"/>
        <w:rPr>
          <w:rFonts w:ascii="宋体" w:hAnsi="宋体" w:eastAsia="宋体" w:cs="楷体"/>
          <w:bCs/>
          <w:sz w:val="32"/>
          <w:szCs w:val="32"/>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ascii="Times New Roman" w:hAnsi="Times New Roman" w:cs="Times New Roman"/>
          <w:bCs/>
          <w:snapToGrid/>
          <w:color w:val="000000"/>
          <w:szCs w:val="44"/>
          <w:lang w:val="en-US" w:eastAsia="zh-CN"/>
        </w:rPr>
      </w:pPr>
      <w:r>
        <w:rPr>
          <w:rFonts w:hint="eastAsia" w:ascii="Times New Roman" w:hAnsi="Times New Roman" w:cs="Times New Roman"/>
          <w:bCs/>
          <w:snapToGrid/>
          <w:color w:val="000000"/>
          <w:szCs w:val="44"/>
          <w:lang w:val="en-US" w:eastAsia="zh-CN"/>
        </w:rPr>
        <w:t>一、项目基本情况</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1.项目立项背景</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山东省打好柴油货车污染防治攻坚战作战方案》要求，各市要强化非道路移动机械综合监督管理，加快摸底调查、登记备案和排放检验等工作，推进工程机械安装精准定位系统和实时排放监控装置。探索建立工程机械使用中监督抽测、超标后处罚撤场的管理制度。为贯彻落实《山东省打好柴油货车污染防治攻坚战作战方案》要求，市生态环境局开展了非道路移动机械远程定位监管及平台管理建设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2.实施内容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根据《菏泽市非道路移动机械远程定位监管及平台管理建设项目实施方案》，项目实施内容主要为购置和安装非道路移动机械远程定位终端设备和建设市级非道路移动机械位置信息管理平台。项目实际招标</w:t>
      </w:r>
      <w:r>
        <w:rPr>
          <w:rFonts w:hint="eastAsia" w:ascii="仿宋" w:hAnsi="仿宋" w:eastAsia="仿宋" w:cs="仿宋"/>
          <w:sz w:val="32"/>
          <w:szCs w:val="32"/>
          <w:rtl w:val="0"/>
          <w:lang w:val="en-US" w:eastAsia="zh-CN"/>
        </w:rPr>
        <w:t>预算数625.00万元，包括定位管理终端费用576.00万元，平台建设49.00万元。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主管部门为市生态环境局，资金拨付单位为市财政局，实施单位分别为天津智易时代科技发展有限公司、深邦智能科技有限公司、菏泽华捷检测服务有限公司、山东礼信达信息技术有限公司，政府采购委托代理机构为山东东盛建设项目管理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4.资金投入和使用情况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菏泽市非道路移动机械远程定位监管平台政府采购项目预算资金625.00万元，到位资金625.00万元，实际支出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sum(B2:B22)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518.4</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0万元，结余106.60万元已上缴财政，预算执行率100%。</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1.总体绩效目标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通过购置安装非道路移动机械远程定位终端设备和建设市级非道路移动机械位置信息管理平台等内容的实施，为下一步非道路移动机械污染防治管理能力提供支撑。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购置安装非道路移动机械远程定位终端设备和建设市级非道路移动机械位置信息管理平台等内容的实施，为下一步非道路移动机械污染防治管理能力提供支撑，减少非道路移动机械污染物排放，改善环境空气质量，促使非道路移动机械所有者和使用者提高思想认识，落实主体责任，同时提高城市空气质量达标率，提高人民群众健康水平和对城市空气质量满意度。</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default" w:ascii="Times New Roman" w:hAnsi="Times New Roman" w:cs="Times New Roman"/>
          <w:bCs/>
          <w:snapToGrid/>
          <w:color w:val="000000"/>
          <w:szCs w:val="44"/>
          <w:lang w:val="en-US" w:eastAsia="zh-CN"/>
        </w:rPr>
      </w:pPr>
      <w:r>
        <w:rPr>
          <w:rFonts w:hint="eastAsia" w:ascii="Times New Roman" w:hAnsi="Times New Roman" w:cs="Times New Roman"/>
          <w:bCs/>
          <w:snapToGrid/>
          <w:color w:val="000000"/>
          <w:szCs w:val="44"/>
          <w:lang w:val="en-US" w:eastAsia="zh-CN"/>
        </w:rPr>
        <w:t>二、评价基本情况</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1.评价目的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绩效评价，进一步了解定位管理终端的安装、位置信息的采集、上传以及非道路移动机械位置信息管理平台建设等情况。评价资金管理使用效益，深入分析存在的矛盾和问题，从决策、过程、产出和效益四个方面，力求全面考察项目决策、资金投入、过程管理、产出效果和影响力，体现从投入到产出、效果和影响力因素的绩效逻辑路径。针对项目存在的问题，提出改进意见和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2.评价对象和范围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en-US" w:eastAsia="zh-CN"/>
        </w:rPr>
        <w:t>本项目评价对象为</w:t>
      </w:r>
      <w:r>
        <w:rPr>
          <w:rFonts w:hint="eastAsia" w:ascii="仿宋" w:hAnsi="仿宋" w:eastAsia="仿宋" w:cs="仿宋"/>
          <w:sz w:val="32"/>
          <w:szCs w:val="32"/>
          <w:lang w:val="zh-CN" w:eastAsia="zh-CN"/>
        </w:rPr>
        <w:t>菏泽市</w:t>
      </w:r>
      <w:r>
        <w:rPr>
          <w:rFonts w:hint="eastAsia" w:ascii="仿宋" w:hAnsi="仿宋" w:eastAsia="仿宋" w:cs="仿宋"/>
          <w:sz w:val="32"/>
          <w:szCs w:val="32"/>
          <w:lang w:val="en-US" w:eastAsia="zh-CN"/>
        </w:rPr>
        <w:t>2020年非道路移动机械远程定位监管及平台管理建设项目</w:t>
      </w:r>
      <w:r>
        <w:rPr>
          <w:rFonts w:hint="eastAsia" w:ascii="仿宋" w:hAnsi="仿宋" w:eastAsia="仿宋" w:cs="仿宋"/>
          <w:sz w:val="32"/>
          <w:szCs w:val="32"/>
          <w:lang w:val="zh-CN" w:eastAsia="zh-CN"/>
        </w:rPr>
        <w:t>。</w:t>
      </w:r>
      <w:r>
        <w:rPr>
          <w:rFonts w:hint="eastAsia" w:ascii="仿宋" w:hAnsi="仿宋" w:eastAsia="仿宋" w:cs="仿宋"/>
          <w:sz w:val="32"/>
          <w:szCs w:val="32"/>
          <w:lang w:val="en-US" w:eastAsia="zh-CN"/>
        </w:rPr>
        <w:t>评价范围为</w:t>
      </w:r>
      <w:r>
        <w:rPr>
          <w:rFonts w:hint="eastAsia" w:ascii="仿宋" w:hAnsi="仿宋" w:eastAsia="仿宋" w:cs="仿宋"/>
          <w:sz w:val="32"/>
          <w:szCs w:val="32"/>
          <w:lang w:val="zh-CN" w:eastAsia="zh-CN"/>
        </w:rPr>
        <w:t>菏泽市2020年非道路移动机械远程定位监管及平台管理建设项目资金625</w:t>
      </w:r>
      <w:r>
        <w:rPr>
          <w:rFonts w:hint="eastAsia" w:ascii="仿宋" w:hAnsi="仿宋" w:eastAsia="仿宋" w:cs="仿宋"/>
          <w:sz w:val="32"/>
          <w:szCs w:val="32"/>
          <w:lang w:val="en-US" w:eastAsia="zh-CN"/>
        </w:rPr>
        <w:t>.00</w:t>
      </w:r>
      <w:r>
        <w:rPr>
          <w:rFonts w:hint="eastAsia" w:ascii="仿宋" w:hAnsi="仿宋" w:eastAsia="仿宋" w:cs="仿宋"/>
          <w:sz w:val="32"/>
          <w:szCs w:val="32"/>
          <w:lang w:val="zh-CN" w:eastAsia="zh-CN"/>
        </w:rPr>
        <w:t>万元，涉及菏泽市牡丹区、经济开发区、定陶区等11个区县。</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（二）绩效评价指标体系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体系共分为四级指标，一级指标4个，二级指标12个，三级指标23个，四级指标29个。该指标设计参考菏泽市财政局《关于开展2021-2022年度市直部门单位政府采购项目支出绩效自评工作的通知》（菏财采〔2022〕12号），针对项目特点，同时经过专家方案阶段评审意见确定指标体系指标及分值。</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ascii="Times New Roman" w:hAnsi="Times New Roman" w:cs="Times New Roman"/>
          <w:bCs/>
          <w:snapToGrid/>
          <w:color w:val="000000"/>
          <w:szCs w:val="44"/>
          <w:lang w:val="en-US" w:eastAsia="zh-CN"/>
        </w:rPr>
      </w:pPr>
      <w:r>
        <w:rPr>
          <w:rFonts w:hint="eastAsia" w:ascii="Times New Roman" w:hAnsi="Times New Roman" w:cs="Times New Roman"/>
          <w:bCs/>
          <w:snapToGrid/>
          <w:color w:val="000000"/>
          <w:szCs w:val="44"/>
          <w:lang w:val="en-US" w:eastAsia="zh-CN"/>
        </w:rPr>
        <w:t>三、绩效评价结论</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default"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（一）综合评价结论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通过评价，菏泽市非道路移动机械远程定位监管平台政府采购项目最终得分80.80分，</w:t>
      </w:r>
      <w:r>
        <w:rPr>
          <w:rFonts w:hint="eastAsia" w:ascii="仿宋" w:hAnsi="仿宋" w:eastAsia="仿宋" w:cs="仿宋"/>
          <w:sz w:val="32"/>
          <w:szCs w:val="32"/>
          <w:lang w:val="zh-CN" w:eastAsia="zh-CN"/>
        </w:rPr>
        <w:t>等级为“</w:t>
      </w:r>
      <w:r>
        <w:rPr>
          <w:rFonts w:hint="eastAsia" w:ascii="仿宋" w:hAnsi="仿宋" w:eastAsia="仿宋" w:cs="仿宋"/>
          <w:sz w:val="32"/>
          <w:szCs w:val="32"/>
          <w:lang w:val="en-US" w:eastAsia="zh-CN"/>
        </w:rPr>
        <w:t>良</w:t>
      </w:r>
      <w:r>
        <w:rPr>
          <w:rFonts w:hint="eastAsia" w:ascii="仿宋" w:hAnsi="仿宋" w:eastAsia="仿宋" w:cs="仿宋"/>
          <w:sz w:val="32"/>
          <w:szCs w:val="32"/>
          <w:lang w:val="zh-CN" w:eastAsia="zh-CN"/>
        </w:rPr>
        <w:t>”。</w:t>
      </w:r>
      <w:r>
        <w:rPr>
          <w:rFonts w:hint="eastAsia" w:ascii="仿宋" w:hAnsi="仿宋" w:eastAsia="仿宋" w:cs="仿宋"/>
          <w:sz w:val="32"/>
          <w:szCs w:val="32"/>
          <w:lang w:val="en-US" w:eastAsia="zh-CN"/>
        </w:rPr>
        <w:t>综合得分情况见下表。</w:t>
      </w:r>
    </w:p>
    <w:p>
      <w:pPr>
        <w:pStyle w:val="20"/>
        <w:rPr>
          <w:lang w:val="zh-CN"/>
        </w:rPr>
      </w:pPr>
      <w:r>
        <w:rPr>
          <w:rFonts w:hint="eastAsia"/>
          <w:lang w:val="en-US" w:eastAsia="zh-CN"/>
        </w:rPr>
        <w:t>非道路移动机械远程定位监管平台政府采购项目</w:t>
      </w:r>
      <w:r>
        <w:rPr>
          <w:lang w:val="zh-CN"/>
        </w:rPr>
        <w:t>绩效评价综合得分表</w:t>
      </w:r>
    </w:p>
    <w:tbl>
      <w:tblPr>
        <w:tblStyle w:val="13"/>
        <w:tblW w:w="4934" w:type="pct"/>
        <w:jc w:val="center"/>
        <w:tblLayout w:type="autofit"/>
        <w:tblCellMar>
          <w:top w:w="0" w:type="dxa"/>
          <w:left w:w="108" w:type="dxa"/>
          <w:bottom w:w="0" w:type="dxa"/>
          <w:right w:w="108" w:type="dxa"/>
        </w:tblCellMar>
      </w:tblPr>
      <w:tblGrid>
        <w:gridCol w:w="1959"/>
        <w:gridCol w:w="1853"/>
        <w:gridCol w:w="2578"/>
        <w:gridCol w:w="2551"/>
      </w:tblGrid>
      <w:tr>
        <w:tblPrEx>
          <w:tblCellMar>
            <w:top w:w="0" w:type="dxa"/>
            <w:left w:w="108" w:type="dxa"/>
            <w:bottom w:w="0" w:type="dxa"/>
            <w:right w:w="108" w:type="dxa"/>
          </w:tblCellMar>
        </w:tblPrEx>
        <w:trPr>
          <w:trHeight w:val="536" w:hRule="exact"/>
          <w:tblHeader/>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一级指标</w:t>
            </w:r>
          </w:p>
        </w:tc>
        <w:tc>
          <w:tcPr>
            <w:tcW w:w="1036" w:type="pct"/>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权重</w:t>
            </w:r>
          </w:p>
        </w:tc>
        <w:tc>
          <w:tcPr>
            <w:tcW w:w="1441" w:type="pct"/>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得分</w:t>
            </w:r>
          </w:p>
        </w:tc>
        <w:tc>
          <w:tcPr>
            <w:tcW w:w="1426" w:type="pct"/>
            <w:tcBorders>
              <w:top w:val="single" w:color="000000" w:sz="4" w:space="0"/>
              <w:left w:val="single" w:color="000000" w:sz="4" w:space="0"/>
              <w:bottom w:val="single" w:color="000000" w:sz="4" w:space="0"/>
              <w:right w:val="single" w:color="000000" w:sz="4" w:space="0"/>
            </w:tcBorders>
            <w:shd w:val="clear" w:color="auto" w:fill="A4A4A4" w:themeFill="background1" w:themeFillShade="A5"/>
            <w:noWrap/>
            <w:vAlign w:val="center"/>
          </w:tcPr>
          <w:p>
            <w:pPr>
              <w:widowControl/>
              <w:jc w:val="center"/>
              <w:textAlignment w:val="bottom"/>
              <w:rPr>
                <w:rFonts w:ascii="Times New Roman" w:hAnsi="Times New Roman" w:eastAsia="仿宋_GB2312" w:cs="Times New Roman"/>
                <w:b/>
                <w:bCs/>
                <w:color w:val="000000"/>
                <w:sz w:val="22"/>
                <w:szCs w:val="22"/>
              </w:rPr>
            </w:pPr>
            <w:r>
              <w:rPr>
                <w:rFonts w:ascii="Times New Roman" w:hAnsi="Times New Roman" w:eastAsia="仿宋_GB2312" w:cs="Times New Roman"/>
                <w:b/>
                <w:bCs/>
                <w:color w:val="000000"/>
                <w:kern w:val="0"/>
                <w:sz w:val="22"/>
                <w:szCs w:val="22"/>
                <w:lang w:bidi="ar"/>
              </w:rPr>
              <w:t>得分率</w:t>
            </w:r>
          </w:p>
        </w:tc>
      </w:tr>
      <w:tr>
        <w:tblPrEx>
          <w:tblCellMar>
            <w:top w:w="0" w:type="dxa"/>
            <w:left w:w="108" w:type="dxa"/>
            <w:bottom w:w="0" w:type="dxa"/>
            <w:right w:w="108" w:type="dxa"/>
          </w:tblCellMar>
        </w:tblPrEx>
        <w:trPr>
          <w:trHeight w:val="567" w:hRule="exact"/>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color w:val="000000"/>
                <w:sz w:val="22"/>
                <w:szCs w:val="22"/>
              </w:rPr>
            </w:pPr>
            <w:r>
              <w:rPr>
                <w:rFonts w:ascii="Times New Roman" w:hAnsi="Times New Roman" w:eastAsia="仿宋_GB2312" w:cs="Times New Roman"/>
                <w:color w:val="000000"/>
                <w:kern w:val="0"/>
                <w:sz w:val="22"/>
                <w:szCs w:val="22"/>
                <w:lang w:bidi="ar"/>
              </w:rPr>
              <w:t>项目决策</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12.00</w:t>
            </w:r>
          </w:p>
        </w:tc>
        <w:tc>
          <w:tcPr>
            <w:tcW w:w="14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rtl w:val="0"/>
                <w:lang w:val="en-US" w:eastAsia="zh-CN" w:bidi="ar"/>
              </w:rPr>
              <w:t>9.00</w:t>
            </w:r>
          </w:p>
        </w:tc>
        <w:tc>
          <w:tcPr>
            <w:tcW w:w="1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rtl w:val="0"/>
                <w:lang w:val="en-US" w:eastAsia="zh-CN" w:bidi="ar"/>
              </w:rPr>
              <w:t>75.00%</w:t>
            </w:r>
          </w:p>
        </w:tc>
      </w:tr>
      <w:tr>
        <w:tblPrEx>
          <w:tblCellMar>
            <w:top w:w="0" w:type="dxa"/>
            <w:left w:w="108" w:type="dxa"/>
            <w:bottom w:w="0" w:type="dxa"/>
            <w:right w:w="108" w:type="dxa"/>
          </w:tblCellMar>
        </w:tblPrEx>
        <w:trPr>
          <w:trHeight w:val="567" w:hRule="exact"/>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color w:val="000000"/>
                <w:sz w:val="22"/>
                <w:szCs w:val="22"/>
              </w:rPr>
            </w:pPr>
            <w:r>
              <w:rPr>
                <w:rFonts w:ascii="Times New Roman" w:hAnsi="Times New Roman" w:eastAsia="仿宋_GB2312" w:cs="Times New Roman"/>
                <w:color w:val="000000"/>
                <w:kern w:val="0"/>
                <w:sz w:val="22"/>
                <w:szCs w:val="22"/>
                <w:lang w:bidi="ar"/>
              </w:rPr>
              <w:t>项目过程</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48.00</w:t>
            </w:r>
          </w:p>
        </w:tc>
        <w:tc>
          <w:tcPr>
            <w:tcW w:w="2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begin"/>
            </w:r>
            <w:r>
              <w:rPr>
                <w:rFonts w:hint="eastAsia" w:ascii="Times New Roman" w:hAnsi="Times New Roman" w:eastAsia="仿宋_GB2312" w:cs="Times New Roman"/>
                <w:i w:val="0"/>
                <w:iCs w:val="0"/>
                <w:snapToGrid w:val="0"/>
                <w:color w:val="auto"/>
                <w:kern w:val="0"/>
                <w:sz w:val="22"/>
                <w:szCs w:val="22"/>
                <w:u w:val="none"/>
                <w:lang w:val="en-US" w:eastAsia="zh-CN" w:bidi="ar"/>
              </w:rPr>
              <w:instrText xml:space="preserve"> = sum(G2:G24) \* MERGEFORMAT </w:instrText>
            </w: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separate"/>
            </w:r>
            <w:r>
              <w:rPr>
                <w:rFonts w:hint="eastAsia" w:ascii="Times New Roman" w:hAnsi="Times New Roman" w:eastAsia="仿宋_GB2312" w:cs="Times New Roman"/>
                <w:i w:val="0"/>
                <w:iCs w:val="0"/>
                <w:snapToGrid w:val="0"/>
                <w:color w:val="auto"/>
                <w:kern w:val="0"/>
                <w:sz w:val="22"/>
                <w:szCs w:val="22"/>
                <w:u w:val="none"/>
                <w:lang w:val="en-US" w:eastAsia="zh-CN" w:bidi="ar"/>
              </w:rPr>
              <w:t>36.6</w:t>
            </w: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end"/>
            </w:r>
            <w:r>
              <w:rPr>
                <w:rFonts w:hint="eastAsia" w:ascii="Times New Roman" w:hAnsi="Times New Roman" w:eastAsia="仿宋_GB2312" w:cs="Times New Roman"/>
                <w:i w:val="0"/>
                <w:iCs w:val="0"/>
                <w:snapToGrid w:val="0"/>
                <w:color w:val="auto"/>
                <w:kern w:val="0"/>
                <w:sz w:val="22"/>
                <w:szCs w:val="22"/>
                <w:u w:val="none"/>
                <w:lang w:val="en-US" w:eastAsia="zh-CN" w:bidi="ar"/>
              </w:rPr>
              <w:t>0</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76.25%</w:t>
            </w:r>
          </w:p>
        </w:tc>
      </w:tr>
      <w:tr>
        <w:tblPrEx>
          <w:tblCellMar>
            <w:top w:w="0" w:type="dxa"/>
            <w:left w:w="108" w:type="dxa"/>
            <w:bottom w:w="0" w:type="dxa"/>
            <w:right w:w="108" w:type="dxa"/>
          </w:tblCellMar>
        </w:tblPrEx>
        <w:trPr>
          <w:trHeight w:val="567" w:hRule="exact"/>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color w:val="000000"/>
                <w:sz w:val="22"/>
                <w:szCs w:val="22"/>
              </w:rPr>
            </w:pPr>
            <w:r>
              <w:rPr>
                <w:rFonts w:ascii="Times New Roman" w:hAnsi="Times New Roman" w:eastAsia="仿宋_GB2312" w:cs="Times New Roman"/>
                <w:color w:val="000000"/>
                <w:kern w:val="0"/>
                <w:sz w:val="22"/>
                <w:szCs w:val="22"/>
                <w:lang w:bidi="ar"/>
              </w:rPr>
              <w:t>项目产出</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20.00</w:t>
            </w:r>
          </w:p>
        </w:tc>
        <w:tc>
          <w:tcPr>
            <w:tcW w:w="2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18.40</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92.00%</w:t>
            </w:r>
          </w:p>
        </w:tc>
      </w:tr>
      <w:tr>
        <w:tblPrEx>
          <w:tblCellMar>
            <w:top w:w="0" w:type="dxa"/>
            <w:left w:w="108" w:type="dxa"/>
            <w:bottom w:w="0" w:type="dxa"/>
            <w:right w:w="108" w:type="dxa"/>
          </w:tblCellMar>
        </w:tblPrEx>
        <w:trPr>
          <w:trHeight w:val="567" w:hRule="exact"/>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Times New Roman" w:hAnsi="Times New Roman" w:eastAsia="仿宋_GB2312" w:cs="Times New Roman"/>
                <w:color w:val="000000"/>
                <w:sz w:val="22"/>
                <w:szCs w:val="22"/>
              </w:rPr>
            </w:pPr>
            <w:r>
              <w:rPr>
                <w:rFonts w:ascii="Times New Roman" w:hAnsi="Times New Roman" w:eastAsia="仿宋_GB2312" w:cs="Times New Roman"/>
                <w:color w:val="000000"/>
                <w:kern w:val="0"/>
                <w:sz w:val="22"/>
                <w:szCs w:val="22"/>
                <w:lang w:bidi="ar"/>
              </w:rPr>
              <w:t>项目效益</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20.00</w:t>
            </w:r>
          </w:p>
        </w:tc>
        <w:tc>
          <w:tcPr>
            <w:tcW w:w="2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begin"/>
            </w:r>
            <w:r>
              <w:rPr>
                <w:rFonts w:hint="eastAsia" w:ascii="Times New Roman" w:hAnsi="Times New Roman" w:eastAsia="仿宋_GB2312" w:cs="Times New Roman"/>
                <w:i w:val="0"/>
                <w:iCs w:val="0"/>
                <w:snapToGrid w:val="0"/>
                <w:color w:val="auto"/>
                <w:kern w:val="0"/>
                <w:sz w:val="22"/>
                <w:szCs w:val="22"/>
                <w:u w:val="none"/>
                <w:lang w:val="en-US" w:eastAsia="zh-CN" w:bidi="ar"/>
              </w:rPr>
              <w:instrText xml:space="preserve"> = sum(G2:G7) \* MERGEFORMAT </w:instrText>
            </w: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separate"/>
            </w:r>
            <w:r>
              <w:rPr>
                <w:rFonts w:hint="eastAsia" w:ascii="Times New Roman" w:hAnsi="Times New Roman" w:eastAsia="仿宋_GB2312" w:cs="Times New Roman"/>
                <w:i w:val="0"/>
                <w:iCs w:val="0"/>
                <w:snapToGrid w:val="0"/>
                <w:color w:val="auto"/>
                <w:kern w:val="0"/>
                <w:sz w:val="22"/>
                <w:szCs w:val="22"/>
                <w:u w:val="none"/>
                <w:lang w:val="en-US" w:eastAsia="zh-CN" w:bidi="ar"/>
              </w:rPr>
              <w:t>16.8</w:t>
            </w:r>
            <w:r>
              <w:rPr>
                <w:rFonts w:hint="eastAsia" w:ascii="Times New Roman" w:hAnsi="Times New Roman" w:eastAsia="仿宋_GB2312" w:cs="Times New Roman"/>
                <w:i w:val="0"/>
                <w:iCs w:val="0"/>
                <w:snapToGrid w:val="0"/>
                <w:color w:val="auto"/>
                <w:kern w:val="0"/>
                <w:sz w:val="22"/>
                <w:szCs w:val="22"/>
                <w:u w:val="none"/>
                <w:lang w:val="en-US" w:eastAsia="zh-CN" w:bidi="ar"/>
              </w:rPr>
              <w:fldChar w:fldCharType="end"/>
            </w:r>
            <w:r>
              <w:rPr>
                <w:rFonts w:hint="eastAsia" w:ascii="Times New Roman" w:hAnsi="Times New Roman" w:eastAsia="仿宋_GB2312" w:cs="Times New Roman"/>
                <w:i w:val="0"/>
                <w:iCs w:val="0"/>
                <w:snapToGrid w:val="0"/>
                <w:color w:val="auto"/>
                <w:kern w:val="0"/>
                <w:sz w:val="22"/>
                <w:szCs w:val="22"/>
                <w:u w:val="none"/>
                <w:lang w:val="en-US" w:eastAsia="zh-CN" w:bidi="ar"/>
              </w:rPr>
              <w:t>0</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84.00%</w:t>
            </w:r>
          </w:p>
        </w:tc>
      </w:tr>
      <w:tr>
        <w:tblPrEx>
          <w:tblCellMar>
            <w:top w:w="0" w:type="dxa"/>
            <w:left w:w="108" w:type="dxa"/>
            <w:bottom w:w="0" w:type="dxa"/>
            <w:right w:w="108" w:type="dxa"/>
          </w:tblCellMar>
        </w:tblPrEx>
        <w:trPr>
          <w:trHeight w:val="567" w:hRule="exact"/>
          <w:jc w:val="center"/>
        </w:trPr>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hint="eastAsia" w:ascii="Times New Roman" w:hAnsi="Times New Roman" w:eastAsia="仿宋_GB2312" w:cs="Times New Roman"/>
                <w:color w:val="000000"/>
                <w:kern w:val="0"/>
                <w:sz w:val="22"/>
                <w:szCs w:val="22"/>
                <w:lang w:val="en-US" w:eastAsia="zh-CN" w:bidi="ar"/>
              </w:rPr>
            </w:pPr>
            <w:r>
              <w:rPr>
                <w:rFonts w:hint="eastAsia" w:ascii="Times New Roman" w:hAnsi="Times New Roman" w:eastAsia="仿宋_GB2312" w:cs="Times New Roman"/>
                <w:color w:val="000000"/>
                <w:kern w:val="0"/>
                <w:sz w:val="22"/>
                <w:szCs w:val="22"/>
                <w:lang w:val="en-US" w:eastAsia="zh-CN" w:bidi="ar"/>
              </w:rPr>
              <w:t>合计</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eastAsia" w:ascii="Times New Roman" w:hAnsi="Times New Roman" w:eastAsia="仿宋_GB2312" w:cs="Times New Roman"/>
                <w:i w:val="0"/>
                <w:iCs w:val="0"/>
                <w:snapToGrid w:val="0"/>
                <w:color w:val="auto"/>
                <w:kern w:val="0"/>
                <w:sz w:val="22"/>
                <w:szCs w:val="22"/>
                <w:u w:val="none"/>
                <w:lang w:val="en-US" w:eastAsia="zh-CN" w:bidi="ar"/>
              </w:rPr>
              <w:t>100</w:t>
            </w:r>
          </w:p>
        </w:tc>
        <w:tc>
          <w:tcPr>
            <w:tcW w:w="14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begin"/>
            </w:r>
            <w:r>
              <w:rPr>
                <w:rFonts w:hint="default" w:ascii="Times New Roman" w:hAnsi="Times New Roman" w:eastAsia="仿宋_GB2312" w:cs="Times New Roman"/>
                <w:i w:val="0"/>
                <w:iCs w:val="0"/>
                <w:snapToGrid w:val="0"/>
                <w:color w:val="auto"/>
                <w:kern w:val="0"/>
                <w:sz w:val="22"/>
                <w:szCs w:val="22"/>
                <w:u w:val="none"/>
                <w:lang w:val="en-US" w:eastAsia="zh-CN" w:bidi="ar"/>
              </w:rPr>
              <w:instrText xml:space="preserve"> = sum(C2:C5) \* MERGEFORMAT </w:instrText>
            </w: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separate"/>
            </w:r>
            <w:r>
              <w:rPr>
                <w:rFonts w:hint="default" w:ascii="Times New Roman" w:hAnsi="Times New Roman" w:eastAsia="仿宋_GB2312" w:cs="Times New Roman"/>
                <w:i w:val="0"/>
                <w:iCs w:val="0"/>
                <w:snapToGrid w:val="0"/>
                <w:color w:val="auto"/>
                <w:kern w:val="0"/>
                <w:sz w:val="22"/>
                <w:szCs w:val="22"/>
                <w:u w:val="none"/>
                <w:lang w:val="en-US" w:eastAsia="zh-CN" w:bidi="ar"/>
              </w:rPr>
              <w:t>80.8</w:t>
            </w: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end"/>
            </w:r>
            <w:r>
              <w:rPr>
                <w:rFonts w:hint="eastAsia" w:ascii="Times New Roman" w:hAnsi="Times New Roman" w:eastAsia="仿宋_GB2312" w:cs="Times New Roman"/>
                <w:i w:val="0"/>
                <w:iCs w:val="0"/>
                <w:snapToGrid w:val="0"/>
                <w:color w:val="auto"/>
                <w:kern w:val="0"/>
                <w:sz w:val="22"/>
                <w:szCs w:val="22"/>
                <w:u w:val="none"/>
                <w:lang w:val="en-US" w:eastAsia="zh-CN" w:bidi="ar"/>
              </w:rPr>
              <w:t>0</w:t>
            </w:r>
          </w:p>
        </w:tc>
        <w:tc>
          <w:tcPr>
            <w:tcW w:w="1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snapToGrid w:val="0"/>
                <w:color w:val="auto"/>
                <w:kern w:val="0"/>
                <w:sz w:val="22"/>
                <w:szCs w:val="22"/>
                <w:u w:val="none"/>
                <w:lang w:val="en-US" w:eastAsia="zh-CN" w:bidi="ar"/>
              </w:rPr>
            </w:pP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begin"/>
            </w:r>
            <w:r>
              <w:rPr>
                <w:rFonts w:hint="default" w:ascii="Times New Roman" w:hAnsi="Times New Roman" w:eastAsia="仿宋_GB2312" w:cs="Times New Roman"/>
                <w:i w:val="0"/>
                <w:iCs w:val="0"/>
                <w:snapToGrid w:val="0"/>
                <w:color w:val="auto"/>
                <w:kern w:val="0"/>
                <w:sz w:val="22"/>
                <w:szCs w:val="22"/>
                <w:u w:val="none"/>
                <w:lang w:val="en-US" w:eastAsia="zh-CN" w:bidi="ar"/>
              </w:rPr>
              <w:instrText xml:space="preserve"> = sum(C2:C5) \* MERGEFORMAT </w:instrText>
            </w: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separate"/>
            </w:r>
            <w:r>
              <w:rPr>
                <w:rFonts w:hint="default" w:ascii="Times New Roman" w:hAnsi="Times New Roman" w:eastAsia="仿宋_GB2312" w:cs="Times New Roman"/>
                <w:i w:val="0"/>
                <w:iCs w:val="0"/>
                <w:snapToGrid w:val="0"/>
                <w:color w:val="auto"/>
                <w:kern w:val="0"/>
                <w:sz w:val="22"/>
                <w:szCs w:val="22"/>
                <w:u w:val="none"/>
                <w:lang w:val="en-US" w:eastAsia="zh-CN" w:bidi="ar"/>
              </w:rPr>
              <w:t>80.8</w:t>
            </w:r>
            <w:r>
              <w:rPr>
                <w:rFonts w:hint="default" w:ascii="Times New Roman" w:hAnsi="Times New Roman" w:eastAsia="仿宋_GB2312" w:cs="Times New Roman"/>
                <w:i w:val="0"/>
                <w:iCs w:val="0"/>
                <w:snapToGrid w:val="0"/>
                <w:color w:val="auto"/>
                <w:kern w:val="0"/>
                <w:sz w:val="22"/>
                <w:szCs w:val="22"/>
                <w:u w:val="none"/>
                <w:lang w:val="en-US" w:eastAsia="zh-CN" w:bidi="ar"/>
              </w:rPr>
              <w:fldChar w:fldCharType="end"/>
            </w:r>
            <w:r>
              <w:rPr>
                <w:rFonts w:hint="eastAsia" w:ascii="Times New Roman" w:hAnsi="Times New Roman" w:eastAsia="仿宋_GB2312" w:cs="Times New Roman"/>
                <w:i w:val="0"/>
                <w:iCs w:val="0"/>
                <w:snapToGrid w:val="0"/>
                <w:color w:val="auto"/>
                <w:kern w:val="0"/>
                <w:sz w:val="22"/>
                <w:szCs w:val="22"/>
                <w:u w:val="none"/>
                <w:lang w:val="en-US" w:eastAsia="zh-CN" w:bidi="ar"/>
              </w:rPr>
              <w:t>0%</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菏泽市非道路移动机械远程定位监管平台政府采购项目立项依据充分，符合相关发展规划及部门职责，项目立项程序规范，但存在预算编制不精准、个别指标设定不规范等问题。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该项目代理机构选择合规、合同管理合法准确、评审费支付及时、履约验收符合相关要求、但存在采购需求书面资料未留存、档案资料留存不全、岗位设置分工不明确等问题。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该项目按照相关要求完成了平台建设，但存在平台建设验收滞后等问题。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项目实施后促进了社会公众和相关经营者环保意识提升、改善了空气质量，促进了老旧非道路移动机械淘汰更新，但存在需求目标实现程度有待提高、后续运维期限设定合理性有待提高等问题。</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default" w:ascii="楷体" w:hAnsi="楷体" w:eastAsia="楷体" w:cs="楷体"/>
          <w:b w:val="0"/>
          <w:bCs w:val="0"/>
          <w:snapToGrid/>
          <w:color w:val="000000"/>
          <w:kern w:val="0"/>
          <w:sz w:val="32"/>
          <w:szCs w:val="32"/>
          <w:lang w:val="en-US" w:eastAsia="zh-CN"/>
        </w:rPr>
      </w:pPr>
      <w:r>
        <w:rPr>
          <w:rFonts w:hint="eastAsia" w:ascii="楷体" w:hAnsi="楷体" w:eastAsia="楷体" w:cs="楷体"/>
          <w:b w:val="0"/>
          <w:bCs w:val="0"/>
          <w:snapToGrid/>
          <w:color w:val="000000"/>
          <w:kern w:val="0"/>
          <w:sz w:val="32"/>
          <w:szCs w:val="32"/>
          <w:lang w:val="en-US" w:eastAsia="zh-CN"/>
        </w:rPr>
        <w:t>（二）项目效益分析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1.总体目标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tl w:val="0"/>
          <w:lang w:val="en-US" w:eastAsia="zh-CN"/>
        </w:rPr>
        <w:t>通过非道路移动机械位置信息监控设备向非道路移动机械位置监控平台实时传输机械位置信息、使用工况、工作时长等信息，并与非道路移动机械监管平台进行实时对接，实现对非道路移动机械的综合有效管控，满足监管部门的需求与精准执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2.效益分析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根据菏泽市非道路移动机械监管平台系统数据，菏泽市非道路移动机械摸底调查总数量35572台，编码登记总数量34777台，安装定位监控设备23657台，截至评价日，定位监控设备在线数10082台，在线率42.62%。从以上数据分析，非道路移动机械监管受限，距实现对非道路移动机械的综合有效管控，满足监管部门的管理需求与精准执法的需求目标尚有距离。</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default" w:ascii="楷体" w:hAnsi="楷体" w:eastAsia="楷体" w:cs="楷体"/>
          <w:b w:val="0"/>
          <w:bCs w:val="0"/>
          <w:snapToGrid/>
          <w:color w:val="000000"/>
          <w:kern w:val="0"/>
          <w:sz w:val="32"/>
          <w:szCs w:val="32"/>
          <w:rtl w:val="0"/>
          <w:lang w:val="en-US" w:eastAsia="zh-CN"/>
        </w:rPr>
      </w:pPr>
      <w:r>
        <w:rPr>
          <w:rFonts w:hint="eastAsia" w:ascii="楷体" w:hAnsi="楷体" w:eastAsia="楷体" w:cs="楷体"/>
          <w:b w:val="0"/>
          <w:bCs w:val="0"/>
          <w:snapToGrid/>
          <w:color w:val="000000"/>
          <w:kern w:val="0"/>
          <w:sz w:val="32"/>
          <w:szCs w:val="32"/>
          <w:rtl w:val="0"/>
          <w:lang w:val="en-US" w:eastAsia="zh-CN"/>
        </w:rPr>
        <w:t>（三）项目成本分析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菏泽市非道路移动机械远程定位监管平台政府采购项目预算资金625.00万元，项目实际支出518.40万元，包括定位管理终端费用实际支出503.40万元，平台建设实际支出15.00万元，没有超预算采购现象，成本控制较好。</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ascii="Times New Roman" w:hAnsi="Times New Roman" w:cs="Times New Roman"/>
          <w:bCs/>
          <w:snapToGrid/>
          <w:color w:val="000000"/>
          <w:szCs w:val="44"/>
          <w:lang w:val="en-US" w:eastAsia="zh-CN"/>
        </w:rPr>
      </w:pPr>
      <w:r>
        <w:rPr>
          <w:rFonts w:hint="eastAsia" w:ascii="Times New Roman" w:hAnsi="Times New Roman" w:cs="Times New Roman"/>
          <w:bCs/>
          <w:snapToGrid/>
          <w:color w:val="000000"/>
          <w:szCs w:val="44"/>
          <w:lang w:val="en-US" w:eastAsia="zh-CN"/>
        </w:rPr>
        <w:t>四、项目主要绩效、存在问题及原因分析</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rtl w:val="0"/>
          <w:lang w:val="en-US" w:eastAsia="zh-CN"/>
        </w:rPr>
      </w:pPr>
      <w:r>
        <w:rPr>
          <w:rFonts w:hint="eastAsia" w:ascii="楷体" w:hAnsi="楷体" w:eastAsia="楷体" w:cs="楷体"/>
          <w:b w:val="0"/>
          <w:bCs w:val="0"/>
          <w:snapToGrid/>
          <w:color w:val="000000"/>
          <w:kern w:val="0"/>
          <w:sz w:val="32"/>
          <w:szCs w:val="32"/>
          <w:rtl w:val="0"/>
          <w:lang w:val="en-US" w:eastAsia="zh-CN"/>
        </w:rPr>
        <w:t>（一）项目主要绩效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为贯彻落实《山东省打好柴油货车污染防治攻坚战作战方案》《山东省非道路移动机械排气污染防治规定》要求，市生态环境局先后召开非道路移动机械培训会、大气重点工作推进会、移动源污染防治工作推进会等多次会议，上述会议的召开，为非道路移动机械监管工作指明了工作方向，让我们认识到了当前环境空气质量改善的严峻形势，同时也为实施监管提供了技术支撑。</w:t>
      </w:r>
    </w:p>
    <w:p>
      <w:pPr>
        <w:keepNext w:val="0"/>
        <w:keepLines w:val="0"/>
        <w:pageBreakBefore w:val="0"/>
        <w:widowControl w:val="0"/>
        <w:tabs>
          <w:tab w:val="right" w:pos="8208"/>
        </w:tabs>
        <w:kinsoku/>
        <w:wordWrap/>
        <w:overflowPunct/>
        <w:topLinePunct w:val="0"/>
        <w:autoSpaceDE/>
        <w:autoSpaceDN/>
        <w:bidi w:val="0"/>
        <w:adjustRightInd/>
        <w:snapToGrid/>
        <w:spacing w:line="500" w:lineRule="exact"/>
        <w:ind w:firstLine="640" w:firstLineChars="200"/>
        <w:jc w:val="both"/>
        <w:textAlignment w:val="auto"/>
        <w:outlineLvl w:val="1"/>
        <w:rPr>
          <w:rFonts w:hint="eastAsia" w:ascii="楷体" w:hAnsi="楷体" w:eastAsia="楷体" w:cs="楷体"/>
          <w:b w:val="0"/>
          <w:bCs w:val="0"/>
          <w:snapToGrid/>
          <w:color w:val="000000"/>
          <w:kern w:val="0"/>
          <w:sz w:val="32"/>
          <w:szCs w:val="32"/>
          <w:rtl w:val="0"/>
          <w:lang w:val="en-US" w:eastAsia="zh-CN"/>
        </w:rPr>
      </w:pPr>
      <w:r>
        <w:rPr>
          <w:rFonts w:hint="eastAsia" w:ascii="楷体" w:hAnsi="楷体" w:eastAsia="楷体" w:cs="楷体"/>
          <w:b w:val="0"/>
          <w:bCs w:val="0"/>
          <w:snapToGrid/>
          <w:color w:val="000000"/>
          <w:kern w:val="0"/>
          <w:sz w:val="32"/>
          <w:szCs w:val="32"/>
          <w:rtl w:val="0"/>
          <w:lang w:val="en-US" w:eastAsia="zh-CN"/>
        </w:rPr>
        <w:t>（二）存在问题及原因分析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7" w:name="_Toc15339"/>
      <w:bookmarkStart w:id="8" w:name="_Toc6263"/>
      <w:r>
        <w:rPr>
          <w:rFonts w:hint="eastAsia" w:ascii="仿宋" w:hAnsi="仿宋" w:eastAsia="仿宋" w:cs="仿宋"/>
          <w:b/>
          <w:bCs/>
          <w:sz w:val="32"/>
          <w:szCs w:val="32"/>
          <w:rtl w:val="0"/>
          <w:lang w:val="en-US" w:eastAsia="zh-CN"/>
        </w:rPr>
        <w:t>1.预算编制的科学性、精准性有待进一步提升</w:t>
      </w:r>
      <w:bookmarkEnd w:id="7"/>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非道路移动机械远程定位监管及平台管理建设政府采购项目年初预算625.00万元，实际招标预算数625.00万元，包括定位管理终端费用576.00万元，平台建设49.00万元。项目实际支出518.40万元，定位管</w:t>
      </w:r>
      <w:bookmarkStart w:id="44" w:name="_GoBack"/>
      <w:bookmarkEnd w:id="44"/>
      <w:r>
        <w:rPr>
          <w:rFonts w:hint="eastAsia" w:ascii="仿宋" w:hAnsi="仿宋" w:eastAsia="仿宋" w:cs="仿宋"/>
          <w:sz w:val="32"/>
          <w:szCs w:val="32"/>
          <w:rtl w:val="0"/>
          <w:lang w:val="en-US" w:eastAsia="zh-CN"/>
        </w:rPr>
        <w:t>理终端费用实际支出503.40万元，平台建设实际支出15.00万元，平台建设实际支出费用与年初预算存在较大差距，预算编制的科学性、精准性有待进一步提升。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9" w:name="_Toc5501"/>
      <w:bookmarkStart w:id="10" w:name="_Toc2243"/>
      <w:r>
        <w:rPr>
          <w:rFonts w:hint="eastAsia" w:ascii="仿宋" w:hAnsi="仿宋" w:eastAsia="仿宋" w:cs="仿宋"/>
          <w:b/>
          <w:bCs/>
          <w:sz w:val="32"/>
          <w:szCs w:val="32"/>
          <w:rtl w:val="0"/>
          <w:lang w:val="en-US" w:eastAsia="zh-CN"/>
        </w:rPr>
        <w:t>2.政府采购需求管理有待进一步加强</w:t>
      </w:r>
      <w:bookmarkEnd w:id="9"/>
      <w:bookmarkEnd w:id="10"/>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依据《政府采购需求管理办法》第十一条，对1000万元以上的货物、服务采购项目，3000万元以上的工程采购项目；涉及公共利益、社会关注度较高的采购项目，包括政府向社会公众提供的公共服务项目等；技术复杂、专业性较强的项目，包括需定制开发的信息化建设项目、采购进口产品的项目等；主管预算单位或者采购人认为需要开展需求调查的其他采购项目，应当开展需求调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依据《政府采购需求管理办法》第三十四条，采购需求和采购实施计划的调查、确定、编制、审查等工作应当形成书面记录并存档。经座谈了解，项目实施进行了需求调查论证，但未形成书面记录。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11" w:name="_Toc12151"/>
      <w:bookmarkStart w:id="12" w:name="_Toc2224"/>
      <w:r>
        <w:rPr>
          <w:rFonts w:hint="eastAsia" w:ascii="仿宋" w:hAnsi="仿宋" w:eastAsia="仿宋" w:cs="仿宋"/>
          <w:b/>
          <w:bCs/>
          <w:sz w:val="32"/>
          <w:szCs w:val="32"/>
          <w:rtl w:val="0"/>
          <w:lang w:val="en-US" w:eastAsia="zh-CN"/>
        </w:rPr>
        <w:t>3.运维期限比省内同类项目运维期限年限短</w:t>
      </w:r>
      <w:bookmarkEnd w:id="11"/>
      <w:r>
        <w:rPr>
          <w:rFonts w:hint="eastAsia" w:ascii="仿宋" w:hAnsi="仿宋" w:eastAsia="仿宋" w:cs="仿宋"/>
          <w:b/>
          <w:bCs/>
          <w:sz w:val="32"/>
          <w:szCs w:val="32"/>
          <w:rtl w:val="0"/>
          <w:lang w:val="en-US" w:eastAsia="zh-CN"/>
        </w:rPr>
        <w:t>，增加了整体运维成本</w:t>
      </w:r>
      <w:bookmarkEnd w:id="12"/>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依据《政府会计准则第3号—固定资产》应用指南第一条关于固定资产折旧年限之政府固定资产折旧年限表中电子和通信测量设备折旧年限不低于5年。在不改变总预算的前提下，非道路移动机械远程定位监管平台政府采购项目由首次招标确定的5年终端质保调整为最终招标确定的2年免费质保采购需求缺乏依据支撑。在运维期结束后，购置设备固定资产折旧未计提完成，后续需再次投入运维费用，增加了项目整体运维成本。</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13" w:name="_Toc22976"/>
      <w:bookmarkStart w:id="14" w:name="_Toc8788"/>
      <w:r>
        <w:rPr>
          <w:rFonts w:hint="eastAsia" w:ascii="仿宋" w:hAnsi="仿宋" w:eastAsia="仿宋" w:cs="仿宋"/>
          <w:b/>
          <w:bCs/>
          <w:sz w:val="32"/>
          <w:szCs w:val="32"/>
          <w:rtl w:val="0"/>
          <w:lang w:val="en-US" w:eastAsia="zh-CN"/>
        </w:rPr>
        <w:t>4.需求目标（功能）实现程度有待提高，仍需进一步探索有效的监管手段</w:t>
      </w:r>
      <w:bookmarkEnd w:id="13"/>
      <w:bookmarkEnd w:id="14"/>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根据菏泽市非道路移动机械监管平台系统数据，菏泽市非道路移动机械摸底调查总数量35572台，编码登记总数量34777台，安装定位监控设备23657台，截至评价日，定位监控设备在线数10082台，在线率42.62%。非道路移动机械监管受限，距实现对非道路移动机械的综合有效管控，满足监管部门的管理需求与精准执法的需求目标尚有距离。</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ind w:left="0" w:leftChars="0" w:firstLine="640" w:firstLineChars="200"/>
        <w:jc w:val="left"/>
        <w:textAlignment w:val="auto"/>
        <w:rPr>
          <w:rFonts w:hint="eastAsia" w:ascii="Times New Roman" w:hAnsi="Times New Roman" w:cs="Times New Roman"/>
          <w:bCs/>
          <w:snapToGrid/>
          <w:color w:val="000000"/>
          <w:szCs w:val="44"/>
          <w:lang w:val="en-US" w:eastAsia="zh-CN"/>
        </w:rPr>
      </w:pPr>
      <w:r>
        <w:rPr>
          <w:rFonts w:hint="eastAsia" w:ascii="Times New Roman" w:hAnsi="Times New Roman" w:cs="Times New Roman"/>
          <w:bCs/>
          <w:snapToGrid/>
          <w:color w:val="000000"/>
          <w:szCs w:val="44"/>
          <w:lang w:val="en-US" w:eastAsia="zh-CN"/>
        </w:rPr>
        <w:t>五、有关建议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15" w:name="_Toc16666"/>
      <w:bookmarkStart w:id="16" w:name="_Toc17664"/>
      <w:bookmarkStart w:id="17" w:name="_Toc15849"/>
      <w:bookmarkStart w:id="18" w:name="_Toc24906"/>
      <w:bookmarkStart w:id="19" w:name="_Toc2603"/>
      <w:bookmarkStart w:id="20" w:name="_Toc8492"/>
      <w:bookmarkStart w:id="21" w:name="_Toc17238"/>
      <w:r>
        <w:rPr>
          <w:rFonts w:hint="eastAsia" w:ascii="仿宋" w:hAnsi="仿宋" w:eastAsia="仿宋" w:cs="仿宋"/>
          <w:b/>
          <w:bCs/>
          <w:sz w:val="32"/>
          <w:szCs w:val="32"/>
          <w:rtl w:val="0"/>
          <w:lang w:val="en-US" w:eastAsia="zh-CN"/>
        </w:rPr>
        <w:t>1.充分做好市场调研</w:t>
      </w:r>
      <w:r>
        <w:rPr>
          <w:rFonts w:hint="default" w:ascii="仿宋" w:hAnsi="仿宋" w:eastAsia="仿宋" w:cs="仿宋"/>
          <w:b/>
          <w:bCs/>
          <w:sz w:val="32"/>
          <w:szCs w:val="32"/>
          <w:rtl w:val="0"/>
          <w:lang w:val="en-US" w:eastAsia="zh-CN"/>
        </w:rPr>
        <w:t>，</w:t>
      </w:r>
      <w:r>
        <w:rPr>
          <w:rFonts w:hint="eastAsia" w:ascii="仿宋" w:hAnsi="仿宋" w:eastAsia="仿宋" w:cs="仿宋"/>
          <w:b/>
          <w:bCs/>
          <w:sz w:val="32"/>
          <w:szCs w:val="32"/>
          <w:rtl w:val="0"/>
          <w:lang w:val="en-US" w:eastAsia="zh-CN"/>
        </w:rPr>
        <w:t>为预算编制提供依据</w:t>
      </w:r>
      <w:bookmarkEnd w:id="15"/>
      <w:bookmarkEnd w:id="16"/>
      <w:bookmarkEnd w:id="17"/>
      <w:bookmarkEnd w:id="18"/>
      <w:bookmarkEnd w:id="19"/>
      <w:bookmarkEnd w:id="20"/>
      <w:bookmarkEnd w:id="21"/>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建议市生态环境局对非道路移动机械远程定位监管及平台管理建设项目应进行充分地市场调研，切实做到依据充分、程序规范、方法科学、编制及时、内容完整、项目细化、数据准确、测算合规，同时，逐步探索制定项目支出定额标准，为预算编制提供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22" w:name="_Toc599"/>
      <w:bookmarkStart w:id="23" w:name="_Toc17011"/>
      <w:bookmarkStart w:id="24" w:name="_Toc23129"/>
      <w:bookmarkStart w:id="25" w:name="_Toc29074"/>
      <w:bookmarkStart w:id="26" w:name="_Toc14862"/>
      <w:bookmarkStart w:id="27" w:name="_Toc31225"/>
      <w:bookmarkStart w:id="28" w:name="_Toc2132"/>
      <w:bookmarkStart w:id="29" w:name="_Toc20485"/>
      <w:r>
        <w:rPr>
          <w:rFonts w:hint="eastAsia" w:ascii="仿宋" w:hAnsi="仿宋" w:eastAsia="仿宋" w:cs="仿宋"/>
          <w:b/>
          <w:bCs/>
          <w:sz w:val="32"/>
          <w:szCs w:val="32"/>
          <w:rtl w:val="0"/>
          <w:lang w:val="en-US" w:eastAsia="zh-CN"/>
        </w:rPr>
        <w:t>2.开展需求调查，建立审查机制</w:t>
      </w:r>
      <w:bookmarkEnd w:id="22"/>
      <w:bookmarkEnd w:id="23"/>
      <w:bookmarkEnd w:id="24"/>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一是建议市生态环境局可以在确定采购需求前，通过咨询、论证、问卷调查等方式开展需求调查，了解相关产业发展、市场供给、同类采购项目历史成交信息，可能涉及的运行维护、升级更新、备品备件、耗材等后续采购等；二是建立审查机制，在采购活动开始前，针对采购需求管理中的重点风险事项，对采购需求和采购实施计划进行审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仿宋"/>
          <w:b/>
          <w:bCs/>
          <w:sz w:val="32"/>
          <w:szCs w:val="32"/>
          <w:rtl w:val="0"/>
          <w:lang w:val="en-US" w:eastAsia="zh-CN"/>
        </w:rPr>
      </w:pPr>
      <w:bookmarkStart w:id="30" w:name="_Toc6415"/>
      <w:bookmarkStart w:id="31" w:name="_Toc23811"/>
      <w:bookmarkStart w:id="32" w:name="_Toc3990"/>
      <w:bookmarkStart w:id="33" w:name="_Toc24683"/>
      <w:bookmarkStart w:id="34" w:name="_Toc2755"/>
      <w:bookmarkStart w:id="35" w:name="_Toc28902"/>
      <w:bookmarkStart w:id="36" w:name="_Toc3921"/>
      <w:r>
        <w:rPr>
          <w:rFonts w:hint="eastAsia" w:ascii="仿宋" w:hAnsi="仿宋" w:eastAsia="仿宋" w:cs="仿宋"/>
          <w:b/>
          <w:bCs/>
          <w:sz w:val="32"/>
          <w:szCs w:val="32"/>
          <w:rtl w:val="0"/>
          <w:lang w:val="en-US" w:eastAsia="zh-CN"/>
        </w:rPr>
        <w:t>3.建立全过程的管理链条，进一步</w:t>
      </w:r>
      <w:bookmarkEnd w:id="30"/>
      <w:bookmarkEnd w:id="31"/>
      <w:bookmarkEnd w:id="32"/>
      <w:bookmarkEnd w:id="33"/>
      <w:r>
        <w:rPr>
          <w:rFonts w:hint="eastAsia" w:ascii="仿宋" w:hAnsi="仿宋" w:eastAsia="仿宋" w:cs="仿宋"/>
          <w:b/>
          <w:bCs/>
          <w:sz w:val="32"/>
          <w:szCs w:val="32"/>
          <w:rtl w:val="0"/>
          <w:lang w:val="en-US" w:eastAsia="zh-CN"/>
        </w:rPr>
        <w:t>提升成本管控能力</w:t>
      </w:r>
      <w:bookmarkEnd w:id="34"/>
      <w:bookmarkEnd w:id="35"/>
      <w:bookmarkEnd w:id="36"/>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建议市生态环境局健全机制，将成本理念深入融入预算编制、执行、监督管理全过程，建立健全权责清晰、运行顺畅、务实高效的成本预算绩效管理机制，同时真正落实项目入库分析成本、预算编制细化成本、预算审核核定成本、预算执行控制成本、预算完成评价成本的全过程管理链条。</w:t>
      </w:r>
    </w:p>
    <w:bookmarkEnd w:id="25"/>
    <w:bookmarkEnd w:id="26"/>
    <w:bookmarkEnd w:id="27"/>
    <w:bookmarkEnd w:id="28"/>
    <w:bookmarkEnd w:id="29"/>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rtl w:val="0"/>
          <w:lang w:val="en-US" w:eastAsia="zh-CN"/>
        </w:rPr>
      </w:pPr>
      <w:bookmarkStart w:id="37" w:name="_Toc5469"/>
      <w:bookmarkStart w:id="38" w:name="_Toc25734"/>
      <w:bookmarkStart w:id="39" w:name="_Toc32289"/>
      <w:bookmarkStart w:id="40" w:name="_Toc26704"/>
      <w:bookmarkStart w:id="41" w:name="_Toc26390"/>
      <w:bookmarkStart w:id="42" w:name="_Toc14152"/>
      <w:bookmarkStart w:id="43" w:name="_Toc10920"/>
      <w:r>
        <w:rPr>
          <w:rFonts w:hint="eastAsia" w:ascii="仿宋" w:hAnsi="仿宋" w:eastAsia="仿宋" w:cs="仿宋"/>
          <w:b/>
          <w:bCs/>
          <w:sz w:val="32"/>
          <w:szCs w:val="32"/>
          <w:rtl w:val="0"/>
          <w:lang w:val="en-US" w:eastAsia="zh-CN"/>
        </w:rPr>
        <w:t>4.探索非道路移动机械监管新模式，最大化发挥项目效益</w:t>
      </w:r>
      <w:bookmarkEnd w:id="37"/>
      <w:bookmarkEnd w:id="38"/>
      <w:bookmarkEnd w:id="39"/>
      <w:bookmarkEnd w:id="40"/>
      <w:bookmarkEnd w:id="41"/>
      <w:bookmarkEnd w:id="42"/>
      <w:bookmarkEnd w:id="43"/>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rtl w:val="0"/>
          <w:lang w:val="en-US" w:eastAsia="zh-CN"/>
        </w:rPr>
      </w:pPr>
      <w:r>
        <w:rPr>
          <w:rFonts w:hint="eastAsia" w:ascii="仿宋" w:hAnsi="仿宋" w:eastAsia="仿宋" w:cs="仿宋"/>
          <w:sz w:val="32"/>
          <w:szCs w:val="32"/>
          <w:rtl w:val="0"/>
          <w:lang w:val="en-US" w:eastAsia="zh-CN"/>
        </w:rPr>
        <w:t>一是针对非道路移动机械个人用户间歇性流动、随意性大等问题，建议市生态环境局对非道路移动机械逐步探索“菏泽模式”。二是真正落实多部门常态化联合监督检查机制，进一步明确各部门的监管权责，形成监管合力，有效提升监管能力。三是根据菏泽非道路移动机械监管现状，积极协调省、市相关部门出台相关政策，有效提升区县定位在线率，最大化发挥项目效益。</w:t>
      </w:r>
    </w:p>
    <w:sectPr>
      <w:footerReference r:id="rId3" w:type="default"/>
      <w:pgSz w:w="11906" w:h="16838"/>
      <w:pgMar w:top="1701" w:right="1474" w:bottom="1701" w:left="1587" w:header="851" w:footer="1474"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suff w:val="nothing"/>
      <w:lvlText w:val="%1、"/>
      <w:lvlJc w:val="left"/>
      <w:pPr>
        <w:ind w:left="5675" w:hanging="425"/>
      </w:pPr>
      <w:rPr>
        <w:rFonts w:hint="eastAsia"/>
      </w:rPr>
    </w:lvl>
    <w:lvl w:ilvl="1" w:tentative="0">
      <w:start w:val="1"/>
      <w:numFmt w:val="chineseCountingThousand"/>
      <w:suff w:val="nothing"/>
      <w:lvlText w:val="（%2）"/>
      <w:lvlJc w:val="left"/>
      <w:pPr>
        <w:ind w:left="8127" w:hanging="567"/>
      </w:pPr>
      <w:rPr>
        <w:rFonts w:hint="eastAsia"/>
      </w:rPr>
    </w:lvl>
    <w:lvl w:ilvl="2" w:tentative="0">
      <w:start w:val="1"/>
      <w:numFmt w:val="decimal"/>
      <w:pStyle w:val="6"/>
      <w:suff w:val="nothing"/>
      <w:lvlText w:val="%3. "/>
      <w:lvlJc w:val="left"/>
      <w:pPr>
        <w:ind w:left="6243" w:hanging="567"/>
      </w:pPr>
      <w:rPr>
        <w:rFonts w:hint="eastAsia"/>
      </w:rPr>
    </w:lvl>
    <w:lvl w:ilvl="3" w:tentative="0">
      <w:start w:val="1"/>
      <w:numFmt w:val="decimal"/>
      <w:suff w:val="nothing"/>
      <w:lvlText w:val="（%4）"/>
      <w:lvlJc w:val="left"/>
      <w:pPr>
        <w:ind w:left="6242" w:hanging="425"/>
      </w:pPr>
      <w:rPr>
        <w:rFonts w:hint="eastAsia"/>
      </w:rPr>
    </w:lvl>
    <w:lvl w:ilvl="4" w:tentative="0">
      <w:start w:val="1"/>
      <w:numFmt w:val="decimal"/>
      <w:suff w:val="nothing"/>
      <w:lvlText w:val="%5）"/>
      <w:lvlJc w:val="left"/>
      <w:pPr>
        <w:ind w:left="6242" w:hanging="113"/>
      </w:pPr>
      <w:rPr>
        <w:rFonts w:hint="eastAsia"/>
      </w:rPr>
    </w:lvl>
    <w:lvl w:ilvl="5" w:tentative="0">
      <w:start w:val="1"/>
      <w:numFmt w:val="decimal"/>
      <w:suff w:val="nothing"/>
      <w:lvlText w:val="附件%6 "/>
      <w:lvlJc w:val="left"/>
      <w:pPr>
        <w:ind w:left="5250" w:firstLine="0"/>
      </w:pPr>
      <w:rPr>
        <w:rFonts w:hint="eastAsia"/>
      </w:rPr>
    </w:lvl>
    <w:lvl w:ilvl="6" w:tentative="0">
      <w:start w:val="1"/>
      <w:numFmt w:val="chineseCountingThousand"/>
      <w:suff w:val="nothing"/>
      <w:lvlText w:val="%7、"/>
      <w:lvlJc w:val="left"/>
      <w:pPr>
        <w:ind w:left="6242" w:hanging="567"/>
      </w:pPr>
      <w:rPr>
        <w:rFonts w:hint="eastAsia"/>
      </w:rPr>
    </w:lvl>
    <w:lvl w:ilvl="7" w:tentative="0">
      <w:start w:val="1"/>
      <w:numFmt w:val="chineseCountingThousand"/>
      <w:suff w:val="nothing"/>
      <w:lvlText w:val="（%8）"/>
      <w:lvlJc w:val="left"/>
      <w:pPr>
        <w:ind w:left="6242" w:hanging="567"/>
      </w:pPr>
      <w:rPr>
        <w:rFonts w:hint="eastAsia"/>
      </w:rPr>
    </w:lvl>
    <w:lvl w:ilvl="8" w:tentative="0">
      <w:start w:val="1"/>
      <w:numFmt w:val="decimal"/>
      <w:suff w:val="nothing"/>
      <w:lvlText w:val="%9. "/>
      <w:lvlJc w:val="left"/>
      <w:pPr>
        <w:ind w:left="624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61B1299"/>
    <w:rsid w:val="06351910"/>
    <w:rsid w:val="067610D2"/>
    <w:rsid w:val="0A4136DC"/>
    <w:rsid w:val="0A891503"/>
    <w:rsid w:val="0CF77A73"/>
    <w:rsid w:val="0D2C799D"/>
    <w:rsid w:val="0FE1557A"/>
    <w:rsid w:val="100A7BDC"/>
    <w:rsid w:val="142E449C"/>
    <w:rsid w:val="15A2564A"/>
    <w:rsid w:val="16AA2D18"/>
    <w:rsid w:val="1AD64829"/>
    <w:rsid w:val="1B697783"/>
    <w:rsid w:val="1B810E92"/>
    <w:rsid w:val="1F037166"/>
    <w:rsid w:val="2039253E"/>
    <w:rsid w:val="22BF67A0"/>
    <w:rsid w:val="23802D1B"/>
    <w:rsid w:val="24380937"/>
    <w:rsid w:val="27CE7742"/>
    <w:rsid w:val="2A3A138D"/>
    <w:rsid w:val="2B852ADC"/>
    <w:rsid w:val="2C005C55"/>
    <w:rsid w:val="34AF653B"/>
    <w:rsid w:val="3ADB364D"/>
    <w:rsid w:val="3CAE71FE"/>
    <w:rsid w:val="3F532D41"/>
    <w:rsid w:val="42204EB5"/>
    <w:rsid w:val="45EE7D8D"/>
    <w:rsid w:val="4A6322C3"/>
    <w:rsid w:val="4C6E0437"/>
    <w:rsid w:val="4D62704B"/>
    <w:rsid w:val="4E73291C"/>
    <w:rsid w:val="522462FB"/>
    <w:rsid w:val="52601456"/>
    <w:rsid w:val="54921C42"/>
    <w:rsid w:val="56006068"/>
    <w:rsid w:val="575B67D4"/>
    <w:rsid w:val="59D93E6F"/>
    <w:rsid w:val="5C924D42"/>
    <w:rsid w:val="5CE932F3"/>
    <w:rsid w:val="5D5F46F0"/>
    <w:rsid w:val="5EB10F16"/>
    <w:rsid w:val="6066274B"/>
    <w:rsid w:val="61D153CB"/>
    <w:rsid w:val="62EB2352"/>
    <w:rsid w:val="63AA57A7"/>
    <w:rsid w:val="64240821"/>
    <w:rsid w:val="64E37928"/>
    <w:rsid w:val="677A37D4"/>
    <w:rsid w:val="68302CED"/>
    <w:rsid w:val="68A64545"/>
    <w:rsid w:val="6B614ECF"/>
    <w:rsid w:val="6C5D26DE"/>
    <w:rsid w:val="6C6475C8"/>
    <w:rsid w:val="6F073FD6"/>
    <w:rsid w:val="75C13CDD"/>
    <w:rsid w:val="76530DD9"/>
    <w:rsid w:val="76822B5C"/>
    <w:rsid w:val="794908F9"/>
    <w:rsid w:val="7BCE0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2"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4"/>
    <w:next w:val="4"/>
    <w:qFormat/>
    <w:uiPriority w:val="9"/>
    <w:pPr>
      <w:keepNext/>
      <w:keepLines/>
      <w:spacing w:line="360" w:lineRule="auto"/>
      <w:ind w:firstLine="723" w:firstLineChars="200"/>
      <w:outlineLvl w:val="0"/>
    </w:pPr>
    <w:rPr>
      <w:rFonts w:eastAsia="黑体"/>
      <w:kern w:val="44"/>
      <w:sz w:val="32"/>
    </w:rPr>
  </w:style>
  <w:style w:type="paragraph" w:styleId="5">
    <w:name w:val="heading 2"/>
    <w:basedOn w:val="4"/>
    <w:next w:val="4"/>
    <w:unhideWhenUsed/>
    <w:qFormat/>
    <w:uiPriority w:val="9"/>
    <w:pPr>
      <w:keepNext/>
      <w:keepLines/>
      <w:spacing w:line="360" w:lineRule="auto"/>
      <w:ind w:firstLine="723" w:firstLineChars="200"/>
      <w:outlineLvl w:val="1"/>
    </w:pPr>
    <w:rPr>
      <w:rFonts w:ascii="Arial" w:hAnsi="Arial" w:eastAsia="楷体"/>
      <w:b/>
      <w:sz w:val="32"/>
    </w:rPr>
  </w:style>
  <w:style w:type="paragraph" w:styleId="6">
    <w:name w:val="heading 3"/>
    <w:basedOn w:val="1"/>
    <w:next w:val="1"/>
    <w:qFormat/>
    <w:uiPriority w:val="2"/>
    <w:pPr>
      <w:keepNext/>
      <w:keepLines/>
      <w:numPr>
        <w:ilvl w:val="2"/>
        <w:numId w:val="1"/>
      </w:numPr>
      <w:spacing w:before="120" w:after="60" w:line="500" w:lineRule="exact"/>
      <w:ind w:left="0" w:firstLine="1040" w:firstLineChars="200"/>
      <w:outlineLvl w:val="2"/>
    </w:pPr>
    <w:rPr>
      <w:rFonts w:eastAsia="仿宋_GB2312"/>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9"/>
      <w:szCs w:val="29"/>
      <w:lang w:val="en-US" w:eastAsia="en-US" w:bidi="ar-SA"/>
    </w:rPr>
  </w:style>
  <w:style w:type="paragraph" w:customStyle="1" w:styleId="4">
    <w:name w:val="闻政正文"/>
    <w:basedOn w:val="1"/>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10">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11">
    <w:name w:val="toc 2"/>
    <w:basedOn w:val="1"/>
    <w:next w:val="1"/>
    <w:unhideWhenUsed/>
    <w:qFormat/>
    <w:uiPriority w:val="39"/>
    <w:pPr>
      <w:ind w:left="420" w:leftChars="200"/>
    </w:pPr>
  </w:style>
  <w:style w:type="paragraph" w:styleId="12">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footnote reference"/>
    <w:basedOn w:val="15"/>
    <w:qFormat/>
    <w:uiPriority w:val="0"/>
    <w:rPr>
      <w:vertAlign w:val="superscript"/>
    </w:rPr>
  </w:style>
  <w:style w:type="paragraph" w:customStyle="1" w:styleId="18">
    <w:name w:val="_Style 3"/>
    <w:basedOn w:val="1"/>
    <w:next w:val="19"/>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9">
    <w:name w:val="List Paragraph"/>
    <w:basedOn w:val="1"/>
    <w:qFormat/>
    <w:uiPriority w:val="34"/>
    <w:pPr>
      <w:ind w:firstLine="420" w:firstLineChars="200"/>
    </w:pPr>
  </w:style>
  <w:style w:type="paragraph" w:customStyle="1" w:styleId="20">
    <w:name w:val="闻政图表名"/>
    <w:basedOn w:val="1"/>
    <w:qFormat/>
    <w:uiPriority w:val="4"/>
    <w:pPr>
      <w:spacing w:before="60" w:after="60"/>
      <w:jc w:val="center"/>
    </w:pPr>
    <w:rPr>
      <w:rFonts w:ascii="Times New Roman" w:hAnsi="Times New Roman" w:eastAsia="仿宋_GB2312" w:cs="Times New Roman"/>
      <w:b/>
      <w:kern w:val="0"/>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27</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6571857E49FF45A2BD33B633366E3700_13</vt:lpwstr>
  </property>
</Properties>
</file>