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菏泽市2022年度粮食风险基金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0" w:firstLineChars="0"/>
        <w:jc w:val="center"/>
        <w:textAlignment w:val="auto"/>
        <w:rPr>
          <w:rFonts w:hint="eastAsia" w:ascii="宋体" w:hAnsi="宋体" w:eastAsia="宋体" w:cs="楷体"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项目支出绩效评价报告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项目基本情况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（一）项目概况</w:t>
      </w:r>
    </w:p>
    <w:p>
      <w:pPr>
        <w:pStyle w:val="5"/>
        <w:bidi w:val="0"/>
      </w:pPr>
      <w:r>
        <w:t>1.</w:t>
      </w:r>
      <w:r>
        <w:rPr>
          <w:rFonts w:hint="eastAsia"/>
        </w:rPr>
        <w:t>项目背景</w:t>
      </w:r>
    </w:p>
    <w:p>
      <w:pPr>
        <w:spacing w:line="580" w:lineRule="exact"/>
        <w:ind w:firstLine="640" w:firstLineChars="200"/>
        <w:rPr>
          <w:rFonts w:hint="eastAsia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为确保粮食安全、提高粮食调控能力、保障突发事件粮食供应、维护社会稳定，国务院</w:t>
      </w:r>
      <w:r>
        <w:rPr>
          <w:rFonts w:ascii="仿宋" w:hAnsi="仿宋" w:eastAsia="仿宋" w:cs="仿宋"/>
          <w:sz w:val="32"/>
          <w:szCs w:val="32"/>
        </w:rPr>
        <w:t>2006</w:t>
      </w:r>
      <w:r>
        <w:rPr>
          <w:rFonts w:hint="eastAsia" w:ascii="仿宋" w:hAnsi="仿宋" w:eastAsia="仿宋" w:cs="仿宋"/>
          <w:sz w:val="32"/>
          <w:szCs w:val="32"/>
        </w:rPr>
        <w:t>年印发了《关于完善粮食流通体制改革政策措施的意见》</w:t>
      </w:r>
      <w:r>
        <w:rPr>
          <w:rFonts w:hint="eastAsia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提出了“产区保持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个月销量、销区保持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个月销量”的要求</w:t>
      </w:r>
      <w:r>
        <w:rPr>
          <w:rFonts w:hint="eastAsia" w:cs="仿宋"/>
          <w:sz w:val="32"/>
          <w:szCs w:val="32"/>
          <w:lang w:eastAsia="zh-CN"/>
        </w:rPr>
        <w:t>。</w:t>
      </w:r>
      <w:r>
        <w:rPr>
          <w:rFonts w:ascii="仿宋" w:hAnsi="仿宋" w:eastAsia="仿宋" w:cs="仿宋"/>
          <w:sz w:val="32"/>
          <w:szCs w:val="32"/>
        </w:rPr>
        <w:t>2019</w:t>
      </w:r>
      <w:r>
        <w:rPr>
          <w:rFonts w:hint="eastAsia" w:ascii="仿宋" w:hAnsi="仿宋" w:eastAsia="仿宋" w:cs="仿宋"/>
          <w:sz w:val="32"/>
          <w:szCs w:val="32"/>
        </w:rPr>
        <w:t>年山东省财政厅、山东省发展和改革委员会、山东省粮食和物资储备局等六部门联合印发了《山东省省级农业政策补贴和粮食风险基金管理暂行办法》（鲁财金〔</w:t>
      </w:r>
      <w:r>
        <w:rPr>
          <w:rFonts w:ascii="仿宋" w:hAnsi="仿宋" w:eastAsia="仿宋" w:cs="仿宋"/>
          <w:sz w:val="32"/>
          <w:szCs w:val="32"/>
        </w:rPr>
        <w:t>2019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ascii="仿宋" w:hAnsi="仿宋" w:eastAsia="仿宋" w:cs="仿宋"/>
          <w:sz w:val="32"/>
          <w:szCs w:val="32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r>
        <w:rPr>
          <w:rFonts w:hint="eastAsia" w:cs="仿宋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菏泽市先后制定了《菏泽市地方储备粮管理办法》《粮油资金管理办法》《市级储备粮油轮换风险准备金管理办法》等相关制度，对粮食风险基金的使用及地方储备粮油的具体管理作出了规定，建立健全在粮食购销、储备、资金管理等方面的监管制度和体制机制，力求通过政府宏观调控，保障粮食供求平衡和安全稳定。</w:t>
      </w:r>
    </w:p>
    <w:p>
      <w:pPr>
        <w:pStyle w:val="5"/>
        <w:bidi w:val="0"/>
      </w:pPr>
      <w:bookmarkStart w:id="0" w:name="_Toc23549"/>
      <w:bookmarkStart w:id="1" w:name="_Toc28990"/>
      <w:r>
        <w:t>2.</w:t>
      </w:r>
      <w:bookmarkEnd w:id="0"/>
      <w:bookmarkEnd w:id="1"/>
      <w:r>
        <w:rPr>
          <w:rFonts w:hint="eastAsia"/>
        </w:rPr>
        <w:t>项目资金拨付及使用情况</w:t>
      </w:r>
      <w:bookmarkStart w:id="2" w:name="_Toc5728"/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cs="仿宋"/>
          <w:sz w:val="32"/>
          <w:szCs w:val="32"/>
          <w:lang w:val="en-US" w:eastAsia="zh-CN"/>
        </w:rPr>
        <w:t>2022年，菏泽市安排</w:t>
      </w:r>
      <w:r>
        <w:rPr>
          <w:rFonts w:hint="eastAsia" w:ascii="仿宋" w:hAnsi="仿宋" w:eastAsia="仿宋" w:cs="仿宋"/>
          <w:sz w:val="32"/>
          <w:szCs w:val="32"/>
        </w:rPr>
        <w:t>预算资金2682.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9万元，</w:t>
      </w:r>
      <w:r>
        <w:rPr>
          <w:rFonts w:hint="eastAsia" w:cs="仿宋"/>
          <w:sz w:val="32"/>
          <w:szCs w:val="32"/>
          <w:lang w:val="en-US" w:eastAsia="zh-CN"/>
        </w:rPr>
        <w:t>其中，</w:t>
      </w:r>
      <w:r>
        <w:rPr>
          <w:rFonts w:hint="eastAsia" w:ascii="仿宋" w:hAnsi="仿宋" w:eastAsia="仿宋" w:cs="仿宋"/>
          <w:sz w:val="32"/>
          <w:szCs w:val="32"/>
        </w:rPr>
        <w:t>中央转移支付资金</w:t>
      </w:r>
      <w:r>
        <w:rPr>
          <w:rFonts w:ascii="仿宋" w:hAnsi="仿宋" w:eastAsia="仿宋" w:cs="仿宋"/>
          <w:sz w:val="32"/>
          <w:szCs w:val="32"/>
        </w:rPr>
        <w:t>1369</w:t>
      </w:r>
      <w:r>
        <w:rPr>
          <w:rFonts w:hint="eastAsia" w:ascii="仿宋" w:hAnsi="仿宋" w:eastAsia="仿宋" w:cs="仿宋"/>
          <w:sz w:val="32"/>
          <w:szCs w:val="32"/>
        </w:rPr>
        <w:t>万元、菏泽市市级财政资金</w:t>
      </w:r>
      <w:r>
        <w:rPr>
          <w:rFonts w:ascii="仿宋" w:hAnsi="仿宋" w:eastAsia="仿宋" w:cs="仿宋"/>
          <w:sz w:val="32"/>
          <w:szCs w:val="32"/>
        </w:rPr>
        <w:t>1313.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万元；主要用于储备粮（油）保管费、地方储备粮</w:t>
      </w:r>
      <w:r>
        <w:rPr>
          <w:rFonts w:hint="eastAsia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油</w:t>
      </w:r>
      <w:r>
        <w:rPr>
          <w:rFonts w:hint="eastAsia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贷款利息、轮换费用补贴和绿色仓储升级改造工程四个方面</w:t>
      </w:r>
      <w:r>
        <w:rPr>
          <w:rFonts w:hint="eastAsia" w:cs="仿宋"/>
          <w:sz w:val="32"/>
          <w:szCs w:val="32"/>
          <w:lang w:eastAsia="zh-CN"/>
        </w:rPr>
        <w:t>。</w:t>
      </w:r>
      <w:r>
        <w:rPr>
          <w:rFonts w:hint="eastAsia" w:cs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ascii="仿宋" w:hAnsi="仿宋" w:eastAsia="仿宋" w:cs="仿宋"/>
          <w:sz w:val="32"/>
          <w:szCs w:val="32"/>
        </w:rPr>
        <w:t>2682.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cs="仿宋"/>
          <w:sz w:val="32"/>
          <w:szCs w:val="32"/>
          <w:lang w:val="en-US" w:eastAsia="zh-CN"/>
        </w:rPr>
        <w:t>其中，</w:t>
      </w:r>
      <w:r>
        <w:rPr>
          <w:rFonts w:hint="eastAsia" w:ascii="仿宋" w:hAnsi="仿宋" w:eastAsia="仿宋" w:cs="仿宋"/>
          <w:sz w:val="32"/>
          <w:szCs w:val="32"/>
        </w:rPr>
        <w:t>粮油储备及轮换所需经费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1196.32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农发行贷款利息1035.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绿色仓储升级改造经费305万元，应急成品粮油储备费用补贴145.6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bookmarkEnd w:id="2"/>
    <w:p>
      <w:pPr>
        <w:pStyle w:val="5"/>
        <w:bidi w:val="0"/>
      </w:pPr>
      <w:bookmarkStart w:id="3" w:name="_Toc3409"/>
      <w:bookmarkStart w:id="4" w:name="_Toc22311"/>
      <w:bookmarkStart w:id="5" w:name="_Toc308493881"/>
      <w:r>
        <w:rPr>
          <w:rFonts w:hint="eastAsia"/>
        </w:rPr>
        <w:t>3.项目内容和实施情况</w:t>
      </w:r>
      <w:bookmarkEnd w:id="3"/>
      <w:bookmarkEnd w:id="4"/>
      <w:bookmarkEnd w:id="5"/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2022年度，菏泽市安排粮食风险基金预算资金2682.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9万元，完成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储备粮</w:t>
      </w:r>
      <w:r>
        <w:rPr>
          <w:rFonts w:hint="eastAsia" w:ascii="仿宋" w:hAnsi="仿宋" w:eastAsia="仿宋" w:cs="仿宋"/>
          <w:sz w:val="32"/>
          <w:szCs w:val="32"/>
        </w:rPr>
        <w:t>储备110396.40吨、成品粮储备3095吨、食用油储备900吨、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储备粮及成品粮</w:t>
      </w:r>
      <w:r>
        <w:rPr>
          <w:rFonts w:hint="eastAsia" w:ascii="仿宋" w:hAnsi="仿宋" w:eastAsia="仿宋" w:cs="仿宋"/>
          <w:sz w:val="32"/>
          <w:szCs w:val="32"/>
        </w:rPr>
        <w:t>轮换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15571.2吨、</w:t>
      </w:r>
      <w:r>
        <w:rPr>
          <w:rFonts w:hint="eastAsia" w:ascii="仿宋" w:hAnsi="仿宋" w:eastAsia="仿宋" w:cs="仿宋"/>
          <w:sz w:val="32"/>
          <w:szCs w:val="32"/>
        </w:rPr>
        <w:t>绿色仓储升级改造库容5.147万吨等任务，达到粮油储备质量合格、管理规范、粮食市场价格稳定的目的。</w:t>
      </w:r>
    </w:p>
    <w:p>
      <w:pPr>
        <w:pStyle w:val="5"/>
        <w:bidi w:val="0"/>
        <w:rPr>
          <w:rFonts w:hint="eastAsia" w:ascii="仿宋" w:hAnsi="仿宋" w:eastAsia="仿宋" w:cs="仿宋"/>
          <w:b/>
          <w:bCs/>
          <w:sz w:val="32"/>
          <w:szCs w:val="32"/>
          <w:lang w:val="zh-CN" w:eastAsia="zh-CN"/>
        </w:rPr>
      </w:pPr>
      <w:bookmarkStart w:id="6" w:name="_Toc3585"/>
      <w:bookmarkStart w:id="7" w:name="_Toc12216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 w:eastAsia="zh-CN"/>
        </w:rPr>
        <w:t>项目组织管理</w:t>
      </w:r>
      <w:bookmarkEnd w:id="6"/>
      <w:bookmarkEnd w:id="7"/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菏泽市财政局</w:t>
      </w:r>
      <w:r>
        <w:rPr>
          <w:rFonts w:hint="eastAsia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安排地方储备粮油的贷款利息、管理费用等财政补贴预算及支付，并负责地方储备粮油财务执行情况的监督检查工作。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菏泽市发改委</w:t>
      </w:r>
      <w:r>
        <w:rPr>
          <w:rFonts w:hint="eastAsia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会同菏泽市财政局按照上级要求，拟订全市地方储备粮油规模、总体布局和动用的宏观调控方案，报菏泽市人民政府批准。负责地方储备粮油的管理。负责研究提出本级储备粮油轮换计划并监督执行；对本级储备粮油的数量、质量和储存安全实施监督检查。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农发行菏泽市支行</w:t>
      </w:r>
      <w:r>
        <w:rPr>
          <w:rFonts w:hint="eastAsia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负责安排地方储备粮油的贷款及相应的信贷监管工作。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菏泽市储备粮油管理有限公司、菏泽市粮油中转储备库有限公司、菏泽华瑞面业有限公司、</w:t>
      </w:r>
      <w:r>
        <w:rPr>
          <w:rFonts w:hint="eastAsia" w:cs="仿宋"/>
          <w:sz w:val="32"/>
          <w:szCs w:val="32"/>
          <w:lang w:val="en-US" w:eastAsia="zh-CN"/>
        </w:rPr>
        <w:t>菏泽市粮油购销储运有限公司</w:t>
      </w:r>
      <w:r>
        <w:rPr>
          <w:rFonts w:hint="eastAsia" w:ascii="仿宋" w:hAnsi="仿宋" w:eastAsia="仿宋" w:cs="仿宋"/>
          <w:sz w:val="32"/>
          <w:szCs w:val="32"/>
        </w:rPr>
        <w:t>、菏泽市硕丰粮油收储有限公司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家市直国有企业</w:t>
      </w:r>
      <w:r>
        <w:rPr>
          <w:rFonts w:hint="eastAsia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负责地方储备粮油管理工作，并对地方储备粮油的数量、质量和储存安全负责。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（二）绩效目标</w:t>
      </w:r>
    </w:p>
    <w:p>
      <w:pPr>
        <w:pStyle w:val="5"/>
        <w:bidi w:val="0"/>
      </w:pPr>
      <w:r>
        <w:t>1.</w:t>
      </w:r>
      <w:r>
        <w:rPr>
          <w:rFonts w:hint="eastAsia"/>
        </w:rPr>
        <w:t>项目总目标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保证储备粮油数量真实、质量完好和储存安全，调节粮油供求总量，维护粮油市场稳定，应对重大自然灾害或者其他突发事件等情况，发挥储备粮油在国家宏观调控中的作用。</w:t>
      </w:r>
    </w:p>
    <w:p>
      <w:pPr>
        <w:pStyle w:val="5"/>
        <w:bidi w:val="0"/>
      </w:pPr>
      <w:r>
        <w:t>2.</w:t>
      </w:r>
      <w:r>
        <w:rPr>
          <w:rFonts w:hint="eastAsia"/>
        </w:rPr>
        <w:t>年度绩效目标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sz w:val="32"/>
          <w:szCs w:val="21"/>
        </w:rPr>
      </w:pPr>
      <w:r>
        <w:rPr>
          <w:rFonts w:ascii="仿宋" w:hAnsi="仿宋" w:eastAsia="仿宋" w:cs="仿宋"/>
          <w:sz w:val="32"/>
          <w:szCs w:val="21"/>
        </w:rPr>
        <w:t>2022</w:t>
      </w:r>
      <w:r>
        <w:rPr>
          <w:rFonts w:hint="eastAsia" w:ascii="仿宋" w:hAnsi="仿宋" w:eastAsia="仿宋" w:cs="仿宋"/>
          <w:sz w:val="32"/>
          <w:szCs w:val="21"/>
        </w:rPr>
        <w:t>年度，菏泽市安排粮食风险基金预算资金</w:t>
      </w:r>
      <w:r>
        <w:rPr>
          <w:rFonts w:ascii="仿宋" w:hAnsi="仿宋" w:eastAsia="仿宋" w:cs="仿宋"/>
          <w:sz w:val="32"/>
          <w:szCs w:val="21"/>
        </w:rPr>
        <w:t>2682.</w:t>
      </w:r>
      <w:r>
        <w:rPr>
          <w:rFonts w:hint="eastAsia" w:ascii="仿宋" w:hAnsi="仿宋" w:eastAsia="仿宋" w:cs="仿宋"/>
          <w:sz w:val="32"/>
          <w:szCs w:val="21"/>
          <w:lang w:val="en-US" w:eastAsia="zh-CN"/>
        </w:rPr>
        <w:t>4</w:t>
      </w:r>
      <w:r>
        <w:rPr>
          <w:rFonts w:ascii="仿宋" w:hAnsi="仿宋" w:eastAsia="仿宋" w:cs="仿宋"/>
          <w:sz w:val="32"/>
          <w:szCs w:val="21"/>
        </w:rPr>
        <w:t>9</w:t>
      </w:r>
      <w:r>
        <w:rPr>
          <w:rFonts w:hint="eastAsia" w:ascii="仿宋" w:hAnsi="仿宋" w:eastAsia="仿宋" w:cs="仿宋"/>
          <w:sz w:val="32"/>
          <w:szCs w:val="21"/>
        </w:rPr>
        <w:t>万元，完</w:t>
      </w:r>
      <w:r>
        <w:rPr>
          <w:rFonts w:hint="eastAsia" w:ascii="仿宋" w:hAnsi="仿宋" w:eastAsia="仿宋" w:cs="仿宋"/>
          <w:color w:val="auto"/>
          <w:sz w:val="32"/>
          <w:szCs w:val="21"/>
        </w:rPr>
        <w:t>成</w:t>
      </w:r>
      <w:r>
        <w:rPr>
          <w:rFonts w:hint="eastAsia" w:ascii="仿宋" w:hAnsi="仿宋" w:eastAsia="仿宋" w:cs="仿宋"/>
          <w:color w:val="auto"/>
          <w:sz w:val="32"/>
          <w:szCs w:val="21"/>
          <w:lang w:eastAsia="zh-CN"/>
        </w:rPr>
        <w:t>储备粮</w:t>
      </w:r>
      <w:r>
        <w:rPr>
          <w:rFonts w:ascii="仿宋" w:hAnsi="仿宋" w:eastAsia="仿宋" w:cs="仿宋"/>
          <w:sz w:val="32"/>
          <w:szCs w:val="21"/>
        </w:rPr>
        <w:t>110396.40</w:t>
      </w:r>
      <w:r>
        <w:rPr>
          <w:rFonts w:hint="eastAsia" w:ascii="仿宋" w:hAnsi="仿宋" w:eastAsia="仿宋" w:cs="仿宋"/>
          <w:sz w:val="32"/>
          <w:szCs w:val="21"/>
        </w:rPr>
        <w:t>吨、成品粮储备</w:t>
      </w:r>
      <w:r>
        <w:rPr>
          <w:rFonts w:ascii="仿宋" w:hAnsi="仿宋" w:eastAsia="仿宋" w:cs="仿宋"/>
          <w:sz w:val="32"/>
          <w:szCs w:val="21"/>
        </w:rPr>
        <w:t>3095</w:t>
      </w:r>
      <w:r>
        <w:rPr>
          <w:rFonts w:hint="eastAsia" w:ascii="仿宋" w:hAnsi="仿宋" w:eastAsia="仿宋" w:cs="仿宋"/>
          <w:sz w:val="32"/>
          <w:szCs w:val="21"/>
        </w:rPr>
        <w:t>吨、食用油储备</w:t>
      </w:r>
      <w:r>
        <w:rPr>
          <w:rFonts w:ascii="仿宋" w:hAnsi="仿宋" w:eastAsia="仿宋" w:cs="仿宋"/>
          <w:sz w:val="32"/>
          <w:szCs w:val="21"/>
        </w:rPr>
        <w:t>900</w:t>
      </w:r>
      <w:r>
        <w:rPr>
          <w:rFonts w:hint="eastAsia" w:ascii="仿宋" w:hAnsi="仿宋" w:eastAsia="仿宋" w:cs="仿宋"/>
          <w:sz w:val="32"/>
          <w:szCs w:val="21"/>
        </w:rPr>
        <w:t>吨、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储备粮及成品粮</w:t>
      </w:r>
      <w:r>
        <w:rPr>
          <w:rFonts w:hint="eastAsia" w:ascii="仿宋" w:hAnsi="仿宋" w:eastAsia="仿宋" w:cs="仿宋"/>
          <w:sz w:val="32"/>
          <w:szCs w:val="32"/>
        </w:rPr>
        <w:t>轮换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15571.2吨、</w:t>
      </w:r>
      <w:r>
        <w:rPr>
          <w:rFonts w:hint="eastAsia" w:ascii="仿宋" w:hAnsi="仿宋" w:eastAsia="仿宋" w:cs="仿宋"/>
          <w:sz w:val="32"/>
          <w:szCs w:val="21"/>
        </w:rPr>
        <w:t>绿色仓储升级改造库容</w:t>
      </w:r>
      <w:r>
        <w:rPr>
          <w:rFonts w:ascii="仿宋" w:hAnsi="仿宋" w:eastAsia="仿宋" w:cs="仿宋"/>
          <w:sz w:val="32"/>
          <w:szCs w:val="21"/>
        </w:rPr>
        <w:t>5.147</w:t>
      </w:r>
      <w:r>
        <w:rPr>
          <w:rFonts w:hint="eastAsia" w:ascii="仿宋" w:hAnsi="仿宋" w:eastAsia="仿宋" w:cs="仿宋"/>
          <w:sz w:val="32"/>
          <w:szCs w:val="21"/>
        </w:rPr>
        <w:t>万吨等任务，达到粮油储备质量合格、管理规范、粮食市场价格稳定的目的。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黑体" w:hAnsi="黑体" w:eastAsia="黑体" w:cs="黑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2"/>
          <w:szCs w:val="32"/>
          <w:lang w:val="en-US" w:eastAsia="zh-CN" w:bidi="ar-SA"/>
        </w:rPr>
        <w:t>二、评价基本情况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（一）绩效评价目的、对象和范围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1.评价目的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全面评价粮食风险基金项目目标实现情况和制度建设情况；重点评价专项资金使用规范性、项目产出与计划的相符性、效益的实现与预期的相符程度。</w:t>
      </w:r>
    </w:p>
    <w:p>
      <w:pPr>
        <w:pStyle w:val="5"/>
        <w:bidi w:val="0"/>
        <w:rPr>
          <w:lang w:val="en-US"/>
        </w:rPr>
      </w:pPr>
      <w:bookmarkStart w:id="8" w:name="_Toc23246"/>
      <w:bookmarkStart w:id="9" w:name="_Toc13880"/>
      <w:bookmarkStart w:id="10" w:name="_Toc14403"/>
      <w:bookmarkStart w:id="11" w:name="_Toc5945"/>
      <w:bookmarkStart w:id="12" w:name="_Toc22068"/>
      <w:r>
        <w:rPr>
          <w:rFonts w:hint="eastAsia"/>
          <w:lang w:val="en-US" w:eastAsia="zh-CN"/>
        </w:rPr>
        <w:t>2.</w:t>
      </w:r>
      <w:r>
        <w:rPr>
          <w:rFonts w:hint="eastAsia"/>
          <w:lang w:val="en-US"/>
        </w:rPr>
        <w:t>评价对象</w:t>
      </w:r>
      <w:bookmarkEnd w:id="8"/>
      <w:bookmarkEnd w:id="9"/>
      <w:bookmarkEnd w:id="10"/>
      <w:bookmarkEnd w:id="11"/>
      <w:bookmarkEnd w:id="12"/>
    </w:p>
    <w:p>
      <w:pPr>
        <w:bidi w:val="0"/>
      </w:pPr>
      <w:r>
        <w:rPr>
          <w:rFonts w:hint="eastAsia"/>
        </w:rPr>
        <w:t>评价对象为菏泽市</w:t>
      </w:r>
      <w:r>
        <w:t>2022</w:t>
      </w:r>
      <w:r>
        <w:rPr>
          <w:rFonts w:hint="eastAsia"/>
        </w:rPr>
        <w:t>年度市级粮食风险基金</w:t>
      </w:r>
      <w:r>
        <w:t>2682.</w:t>
      </w:r>
      <w:r>
        <w:rPr>
          <w:rFonts w:hint="eastAsia"/>
          <w:lang w:val="en-US" w:eastAsia="zh-CN"/>
        </w:rPr>
        <w:t>4</w:t>
      </w:r>
      <w:r>
        <w:t>9</w:t>
      </w:r>
      <w:r>
        <w:rPr>
          <w:rFonts w:hint="eastAsia"/>
        </w:rPr>
        <w:t>万元。</w:t>
      </w:r>
    </w:p>
    <w:p>
      <w:pPr>
        <w:pStyle w:val="5"/>
        <w:bidi w:val="0"/>
        <w:rPr>
          <w:lang w:val="en-US"/>
        </w:rPr>
      </w:pPr>
      <w:bookmarkStart w:id="13" w:name="_Toc23001"/>
      <w:bookmarkStart w:id="14" w:name="_Toc15337"/>
      <w:bookmarkStart w:id="15" w:name="_Toc6080"/>
      <w:bookmarkStart w:id="16" w:name="_Toc18200"/>
      <w:bookmarkStart w:id="17" w:name="_Toc30184"/>
      <w:r>
        <w:rPr>
          <w:rFonts w:hint="eastAsia"/>
          <w:lang w:val="en-US" w:eastAsia="zh-CN"/>
        </w:rPr>
        <w:t>3.</w:t>
      </w:r>
      <w:r>
        <w:rPr>
          <w:rFonts w:hint="eastAsia"/>
          <w:lang w:val="en-US"/>
        </w:rPr>
        <w:t>评价范围</w:t>
      </w:r>
      <w:bookmarkEnd w:id="13"/>
      <w:bookmarkEnd w:id="14"/>
      <w:bookmarkEnd w:id="15"/>
      <w:bookmarkEnd w:id="16"/>
      <w:bookmarkEnd w:id="17"/>
    </w:p>
    <w:p>
      <w:pPr>
        <w:bidi w:val="0"/>
        <w:rPr>
          <w:rFonts w:hint="eastAsia"/>
        </w:rPr>
      </w:pPr>
      <w:r>
        <w:rPr>
          <w:rFonts w:hint="eastAsia"/>
        </w:rPr>
        <w:t>评价范围包括</w:t>
      </w:r>
      <w:r>
        <w:t>5</w:t>
      </w:r>
      <w:r>
        <w:rPr>
          <w:rFonts w:hint="eastAsia"/>
        </w:rPr>
        <w:t>个市直粮油承储企业，分别是菏泽市储备管理公司、中转储备库公司、华瑞面业、购销储运公司、硕丰公司及其所属粮库。评价基准日为</w:t>
      </w:r>
      <w:r>
        <w:t>2022</w:t>
      </w:r>
      <w:r>
        <w:rPr>
          <w:rFonts w:hint="eastAsia"/>
        </w:rPr>
        <w:t>年</w:t>
      </w:r>
      <w:r>
        <w:t>1</w:t>
      </w:r>
      <w:r>
        <w:rPr>
          <w:rFonts w:hint="eastAsia"/>
        </w:rPr>
        <w:t>月</w:t>
      </w:r>
      <w:r>
        <w:t>1</w:t>
      </w:r>
      <w:r>
        <w:rPr>
          <w:rFonts w:hint="eastAsia"/>
        </w:rPr>
        <w:t>日至</w:t>
      </w:r>
      <w:r>
        <w:t>2022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</w:t>
      </w:r>
      <w:r>
        <w:t>31</w:t>
      </w:r>
      <w:r>
        <w:rPr>
          <w:rFonts w:hint="eastAsia"/>
        </w:rPr>
        <w:t>日。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（二）绩效评价指标体系</w:t>
      </w:r>
    </w:p>
    <w:p>
      <w:pPr>
        <w:ind w:firstLine="640"/>
        <w:rPr>
          <w:szCs w:val="32"/>
        </w:rPr>
      </w:pPr>
      <w:r>
        <w:rPr>
          <w:rFonts w:hint="eastAsia"/>
          <w:szCs w:val="32"/>
        </w:rPr>
        <w:t>菏泽市市级粮食风险基金专项资金支出绩效评价指标体系分为决策、过程、产出和效益</w:t>
      </w:r>
      <w:r>
        <w:rPr>
          <w:szCs w:val="32"/>
        </w:rPr>
        <w:t>4</w:t>
      </w:r>
      <w:r>
        <w:rPr>
          <w:rFonts w:hint="eastAsia"/>
          <w:szCs w:val="32"/>
        </w:rPr>
        <w:t>大类，分别占</w:t>
      </w:r>
      <w:r>
        <w:rPr>
          <w:szCs w:val="32"/>
        </w:rPr>
        <w:t>10%</w:t>
      </w:r>
      <w:r>
        <w:rPr>
          <w:rFonts w:hint="eastAsia"/>
          <w:szCs w:val="32"/>
        </w:rPr>
        <w:t>、</w:t>
      </w:r>
      <w:r>
        <w:rPr>
          <w:szCs w:val="32"/>
        </w:rPr>
        <w:t>25%</w:t>
      </w:r>
      <w:r>
        <w:rPr>
          <w:rFonts w:hint="eastAsia"/>
          <w:szCs w:val="32"/>
        </w:rPr>
        <w:t>、</w:t>
      </w:r>
      <w:r>
        <w:rPr>
          <w:szCs w:val="32"/>
        </w:rPr>
        <w:t>35%</w:t>
      </w:r>
      <w:r>
        <w:rPr>
          <w:rFonts w:hint="eastAsia"/>
          <w:szCs w:val="32"/>
        </w:rPr>
        <w:t>和</w:t>
      </w:r>
      <w:r>
        <w:rPr>
          <w:szCs w:val="32"/>
        </w:rPr>
        <w:t>30%</w:t>
      </w:r>
      <w:r>
        <w:rPr>
          <w:rFonts w:hint="eastAsia"/>
          <w:szCs w:val="32"/>
        </w:rPr>
        <w:t>的权重。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三、绩效评价结论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Times New Roman" w:hAnsi="Times New Roman" w:eastAsia="黑体"/>
          <w:sz w:val="24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24"/>
          <w:szCs w:val="32"/>
          <w:lang w:val="en-US" w:eastAsia="zh-CN"/>
        </w:rPr>
        <w:t>项目综合绩效评价得分情况表</w:t>
      </w:r>
    </w:p>
    <w:tbl>
      <w:tblPr>
        <w:tblStyle w:val="13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810"/>
        <w:gridCol w:w="1972"/>
        <w:gridCol w:w="21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tblHeader/>
          <w:jc w:val="center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指标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权重（%）</w:t>
            </w:r>
          </w:p>
        </w:tc>
        <w:tc>
          <w:tcPr>
            <w:tcW w:w="1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得分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得分率（%）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</w:rPr>
              <w:t>决策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10.00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9.00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90.00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</w:rPr>
              <w:t>过程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25.00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20.00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</w:rPr>
              <w:t>产出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35.00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28.00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u w:val="none"/>
              </w:rPr>
              <w:t>效益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30.00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28.00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93.33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合计</w:t>
            </w:r>
          </w:p>
        </w:tc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100.00</w:t>
            </w:r>
          </w:p>
        </w:tc>
        <w:tc>
          <w:tcPr>
            <w:tcW w:w="1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85.00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85.00</w:t>
            </w:r>
          </w:p>
        </w:tc>
      </w:tr>
    </w:tbl>
    <w:p>
      <w:pPr>
        <w:ind w:firstLine="640"/>
        <w:rPr>
          <w:rFonts w:hint="eastAsia"/>
          <w:szCs w:val="32"/>
        </w:rPr>
      </w:pPr>
      <w:r>
        <w:rPr>
          <w:rFonts w:hint="eastAsia"/>
          <w:szCs w:val="32"/>
        </w:rPr>
        <w:t>成本效益分析：</w:t>
      </w:r>
      <w:r>
        <w:rPr>
          <w:rFonts w:hint="eastAsia"/>
          <w:szCs w:val="32"/>
          <w:lang w:val="en-US" w:eastAsia="zh-CN"/>
        </w:rPr>
        <w:t>该项目</w:t>
      </w:r>
      <w:r>
        <w:rPr>
          <w:rFonts w:hint="eastAsia"/>
          <w:szCs w:val="32"/>
        </w:rPr>
        <w:t>预算资金与实际产出相符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</w:rPr>
        <w:t>资金支出与粮食存储业务实施内容相关度较高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</w:rPr>
        <w:t>但个别储备粮代储企业实际存储成本低于财政补贴标准，成本控制措施有待进一步加强。</w:t>
      </w:r>
    </w:p>
    <w:p>
      <w:pPr>
        <w:ind w:firstLine="640"/>
        <w:rPr>
          <w:szCs w:val="32"/>
        </w:rPr>
      </w:pPr>
      <w:r>
        <w:rPr>
          <w:rFonts w:hint="eastAsia"/>
          <w:szCs w:val="32"/>
        </w:rPr>
        <w:t>总体上看，该项目资金拨付及时，管理制度较为健全，项目计划进度安排科学合理、约束有效，</w:t>
      </w:r>
      <w:r>
        <w:rPr>
          <w:rFonts w:hint="eastAsia"/>
          <w:szCs w:val="32"/>
          <w:lang w:val="en-US" w:eastAsia="zh-CN"/>
        </w:rPr>
        <w:t>资金到位</w:t>
      </w:r>
      <w:r>
        <w:rPr>
          <w:rFonts w:hint="eastAsia"/>
          <w:szCs w:val="32"/>
        </w:rPr>
        <w:t>及时。同时，评价也发现项目还存在</w:t>
      </w:r>
      <w:r>
        <w:rPr>
          <w:rFonts w:hint="eastAsia"/>
          <w:szCs w:val="32"/>
          <w:lang w:val="en-US" w:eastAsia="zh-CN"/>
        </w:rPr>
        <w:t>绩效指标</w:t>
      </w:r>
      <w:r>
        <w:rPr>
          <w:rFonts w:hint="eastAsia"/>
          <w:szCs w:val="32"/>
        </w:rPr>
        <w:t>量化程度不够</w:t>
      </w:r>
      <w:r>
        <w:rPr>
          <w:rFonts w:hint="eastAsia"/>
          <w:szCs w:val="32"/>
          <w:lang w:eastAsia="zh-CN"/>
        </w:rPr>
        <w:t>、</w:t>
      </w:r>
      <w:r>
        <w:rPr>
          <w:rFonts w:hint="eastAsia"/>
          <w:szCs w:val="32"/>
        </w:rPr>
        <w:t>资金使用合规性不足</w:t>
      </w:r>
      <w:r>
        <w:rPr>
          <w:rFonts w:hint="eastAsia"/>
          <w:szCs w:val="32"/>
          <w:lang w:eastAsia="zh-CN"/>
        </w:rPr>
        <w:t>、</w:t>
      </w:r>
      <w:r>
        <w:rPr>
          <w:rFonts w:hint="eastAsia"/>
          <w:szCs w:val="32"/>
        </w:rPr>
        <w:t>存在个别企业未按要求完成储备计划</w:t>
      </w:r>
      <w:r>
        <w:rPr>
          <w:rFonts w:hint="eastAsia"/>
          <w:szCs w:val="32"/>
          <w:lang w:eastAsia="zh-CN"/>
        </w:rPr>
        <w:t>、</w:t>
      </w:r>
      <w:r>
        <w:rPr>
          <w:rFonts w:hint="eastAsia"/>
          <w:szCs w:val="32"/>
        </w:rPr>
        <w:t>绿色仓储升级改造工程个别项目未按时完成</w:t>
      </w:r>
      <w:r>
        <w:rPr>
          <w:rFonts w:hint="eastAsia"/>
          <w:szCs w:val="32"/>
          <w:lang w:eastAsia="zh-CN"/>
        </w:rPr>
        <w:t>、</w:t>
      </w:r>
      <w:r>
        <w:rPr>
          <w:rFonts w:hint="eastAsia"/>
          <w:szCs w:val="32"/>
        </w:rPr>
        <w:t>项目相关企业未制定设备及时更新相关措施</w:t>
      </w:r>
      <w:r>
        <w:rPr>
          <w:rFonts w:hint="eastAsia"/>
          <w:szCs w:val="32"/>
          <w:lang w:val="en-US" w:eastAsia="zh-CN"/>
        </w:rPr>
        <w:t>等问题</w:t>
      </w:r>
      <w:r>
        <w:rPr>
          <w:rFonts w:hint="eastAsia"/>
          <w:szCs w:val="32"/>
        </w:rPr>
        <w:t>。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四、项目主要绩效、存在问题及原因分析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（一）项目主要绩效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18" w:name="_Toc18901"/>
      <w:r>
        <w:rPr>
          <w:rFonts w:hint="eastAsia"/>
          <w:lang w:val="en-US" w:eastAsia="zh-CN"/>
        </w:rPr>
        <w:t>1.建章立制，强化组织保障</w:t>
      </w:r>
      <w:bookmarkEnd w:id="18"/>
    </w:p>
    <w:p>
      <w:pPr>
        <w:bidi w:val="0"/>
        <w:ind w:firstLine="420"/>
        <w:rPr>
          <w:rFonts w:hint="eastAsia"/>
          <w:szCs w:val="32"/>
        </w:rPr>
      </w:pPr>
      <w:r>
        <w:rPr>
          <w:rFonts w:hint="eastAsia"/>
          <w:szCs w:val="32"/>
        </w:rPr>
        <w:t>菏泽</w:t>
      </w:r>
      <w:bookmarkStart w:id="78" w:name="_GoBack"/>
      <w:bookmarkEnd w:id="78"/>
      <w:r>
        <w:rPr>
          <w:rFonts w:hint="eastAsia"/>
          <w:szCs w:val="32"/>
        </w:rPr>
        <w:t>市出台了《菏泽市地方储备粮管理办法》等管理制度，管理</w:t>
      </w:r>
      <w:r>
        <w:rPr>
          <w:rFonts w:hint="eastAsia" w:ascii="仿宋" w:eastAsia="仿宋"/>
          <w:szCs w:val="32"/>
          <w:lang w:val="en-US" w:eastAsia="zh-CN"/>
        </w:rPr>
        <w:t>体系</w:t>
      </w:r>
      <w:r>
        <w:rPr>
          <w:rFonts w:hint="eastAsia"/>
          <w:szCs w:val="32"/>
        </w:rPr>
        <w:t>健全</w:t>
      </w:r>
      <w:r>
        <w:rPr>
          <w:rFonts w:hint="eastAsia" w:ascii="仿宋" w:eastAsia="仿宋"/>
          <w:szCs w:val="32"/>
          <w:lang w:val="en-US" w:eastAsia="zh-CN"/>
        </w:rPr>
        <w:t>完善</w:t>
      </w:r>
      <w:r>
        <w:rPr>
          <w:rFonts w:hint="eastAsia"/>
          <w:szCs w:val="32"/>
        </w:rPr>
        <w:t>；在粮食管理方面</w:t>
      </w:r>
      <w:r>
        <w:rPr>
          <w:rFonts w:hint="eastAsia" w:ascii="仿宋" w:eastAsia="仿宋"/>
          <w:szCs w:val="32"/>
          <w:lang w:val="en-US" w:eastAsia="zh-CN"/>
        </w:rPr>
        <w:t>相关部门</w:t>
      </w:r>
      <w:r>
        <w:rPr>
          <w:rFonts w:hint="eastAsia"/>
          <w:szCs w:val="32"/>
        </w:rPr>
        <w:t>分工明确，积极沟通协调，统筹工作推进，有效保障了项目的顺利实施。</w:t>
      </w:r>
    </w:p>
    <w:p>
      <w:pPr>
        <w:pStyle w:val="5"/>
        <w:bidi w:val="0"/>
        <w:ind w:firstLine="723"/>
        <w:rPr>
          <w:rFonts w:hint="eastAsia"/>
          <w:b/>
          <w:lang w:val="en-US" w:eastAsia="zh-CN"/>
        </w:rPr>
      </w:pPr>
      <w:bookmarkStart w:id="19" w:name="_Toc16903"/>
      <w:r>
        <w:rPr>
          <w:rFonts w:hint="eastAsia"/>
          <w:b/>
          <w:lang w:val="en-US" w:eastAsia="zh-CN"/>
        </w:rPr>
        <w:t>2.利用科技设备，科学监测粮情</w:t>
      </w:r>
      <w:bookmarkEnd w:id="19"/>
    </w:p>
    <w:p>
      <w:pPr>
        <w:bidi w:val="0"/>
        <w:ind w:firstLine="420"/>
        <w:rPr>
          <w:rFonts w:hint="eastAsia"/>
          <w:szCs w:val="32"/>
          <w:lang w:val="en-US"/>
        </w:rPr>
      </w:pPr>
      <w:r>
        <w:rPr>
          <w:rFonts w:hint="eastAsia"/>
          <w:szCs w:val="32"/>
        </w:rPr>
        <w:t>各粮油储备库利用全程监控设备、自动恒温设备以及电子温感监测器等科技设备，实时监控储备粮在储期间粮食状况，进一步提高储备粮储存安全性，降低储备粮损耗率。</w:t>
      </w:r>
    </w:p>
    <w:p>
      <w:pPr>
        <w:pStyle w:val="5"/>
        <w:bidi w:val="0"/>
        <w:ind w:firstLine="723"/>
        <w:rPr>
          <w:rFonts w:hint="eastAsia"/>
          <w:b/>
          <w:lang w:val="en-US" w:eastAsia="zh-CN"/>
        </w:rPr>
      </w:pPr>
      <w:bookmarkStart w:id="20" w:name="_Toc12612"/>
      <w:r>
        <w:rPr>
          <w:rFonts w:hint="eastAsia"/>
          <w:b/>
          <w:lang w:val="en-US" w:eastAsia="zh-CN"/>
        </w:rPr>
        <w:t>3.强化应急措施，保障粮食价格稳定</w:t>
      </w:r>
      <w:bookmarkEnd w:id="20"/>
    </w:p>
    <w:p>
      <w:pPr>
        <w:bidi w:val="0"/>
        <w:ind w:firstLine="420"/>
        <w:rPr>
          <w:rFonts w:hint="eastAsia"/>
          <w:szCs w:val="32"/>
        </w:rPr>
      </w:pPr>
      <w:r>
        <w:rPr>
          <w:rFonts w:hint="eastAsia"/>
          <w:szCs w:val="32"/>
        </w:rPr>
        <w:t>在确保市政府调控粮食市场供给的主动性下，满足重大自然灾害、重大疫情等突发事件应急需求，在社会民心稳定方面发挥重大作用。确保粮油市场价格稳定，在市区粮食出现紧张状况时，能及时按政府部署，提供应急粮食，保障粮油供给和价格稳定。</w:t>
      </w:r>
    </w:p>
    <w:p>
      <w:pPr>
        <w:pStyle w:val="5"/>
        <w:bidi w:val="0"/>
        <w:ind w:firstLine="723"/>
        <w:rPr>
          <w:rFonts w:hint="eastAsia"/>
          <w:b/>
          <w:lang w:val="en-US" w:eastAsia="zh-CN"/>
        </w:rPr>
      </w:pPr>
      <w:bookmarkStart w:id="21" w:name="_Toc27328"/>
      <w:r>
        <w:rPr>
          <w:rFonts w:hint="eastAsia"/>
          <w:b/>
          <w:lang w:val="en-US" w:eastAsia="zh-CN"/>
        </w:rPr>
        <w:t>4.改善基础条件，大力</w:t>
      </w:r>
      <w:r>
        <w:rPr>
          <w:rFonts w:hint="eastAsia"/>
          <w:b/>
          <w:lang w:val="zh-CN" w:eastAsia="zh-CN"/>
        </w:rPr>
        <w:t>实施绿色仓储升级改造</w:t>
      </w:r>
      <w:r>
        <w:rPr>
          <w:rFonts w:hint="eastAsia"/>
          <w:b/>
          <w:lang w:val="en-US" w:eastAsia="zh-CN"/>
        </w:rPr>
        <w:t>工程</w:t>
      </w:r>
      <w:bookmarkEnd w:id="21"/>
    </w:p>
    <w:p>
      <w:pPr>
        <w:bidi w:val="0"/>
        <w:ind w:firstLine="420"/>
        <w:rPr>
          <w:szCs w:val="32"/>
        </w:rPr>
      </w:pPr>
      <w:r>
        <w:rPr>
          <w:rFonts w:hint="eastAsia"/>
          <w:szCs w:val="32"/>
        </w:rPr>
        <w:t>按照“政府储备粮食绿色仓储全覆盖”要求，对</w:t>
      </w:r>
      <w:r>
        <w:rPr>
          <w:rFonts w:hint="eastAsia" w:ascii="仿宋" w:eastAsia="仿宋"/>
          <w:szCs w:val="32"/>
          <w:lang w:val="en-US" w:eastAsia="zh-CN"/>
        </w:rPr>
        <w:t>菏泽</w:t>
      </w:r>
      <w:r>
        <w:rPr>
          <w:rFonts w:hint="eastAsia"/>
          <w:szCs w:val="32"/>
        </w:rPr>
        <w:t>华瑞</w:t>
      </w:r>
      <w:r>
        <w:rPr>
          <w:rFonts w:hint="eastAsia" w:ascii="仿宋" w:eastAsia="仿宋"/>
          <w:szCs w:val="32"/>
          <w:lang w:val="en-US" w:eastAsia="zh-CN"/>
        </w:rPr>
        <w:t>粮食储备有限公司</w:t>
      </w:r>
      <w:r>
        <w:rPr>
          <w:rFonts w:hint="eastAsia"/>
          <w:szCs w:val="32"/>
        </w:rPr>
        <w:t>等</w:t>
      </w:r>
      <w:r>
        <w:rPr>
          <w:szCs w:val="32"/>
        </w:rPr>
        <w:t>3</w:t>
      </w:r>
      <w:r>
        <w:rPr>
          <w:rFonts w:hint="eastAsia"/>
          <w:szCs w:val="32"/>
        </w:rPr>
        <w:t>家公司储备粮库仓房进行全面升级改造，大大改善菏泽市仓储企业粮食储存条件。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（二）存在问题及原因分析</w:t>
      </w:r>
    </w:p>
    <w:p>
      <w:pPr>
        <w:pStyle w:val="5"/>
        <w:bidi w:val="0"/>
        <w:rPr>
          <w:rFonts w:hint="eastAsia"/>
          <w:lang w:val="en-US" w:eastAsia="zh-CN"/>
        </w:rPr>
      </w:pPr>
      <w:bookmarkStart w:id="22" w:name="_Toc30875"/>
      <w:bookmarkStart w:id="23" w:name="_Toc20536"/>
      <w:r>
        <w:rPr>
          <w:rFonts w:hint="eastAsia"/>
          <w:lang w:val="en-US" w:eastAsia="zh-CN"/>
        </w:rPr>
        <w:t>1.部分计划未完成</w:t>
      </w:r>
      <w:bookmarkEnd w:id="22"/>
      <w:bookmarkEnd w:id="23"/>
    </w:p>
    <w:p>
      <w:pPr>
        <w:ind w:firstLine="640"/>
        <w:outlineLvl w:val="9"/>
        <w:rPr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一是储备粮计划未完成</w:t>
      </w:r>
      <w:r>
        <w:rPr>
          <w:rFonts w:hint="eastAsia" w:cs="仿宋"/>
          <w:szCs w:val="32"/>
          <w:lang w:val="en-US" w:eastAsia="zh-CN"/>
        </w:rPr>
        <w:t>，</w:t>
      </w:r>
      <w:bookmarkStart w:id="24" w:name="_Toc8244"/>
      <w:bookmarkStart w:id="25" w:name="_Toc6399"/>
      <w:bookmarkStart w:id="26" w:name="_Toc29567"/>
      <w:bookmarkStart w:id="27" w:name="_Toc11307"/>
      <w:bookmarkStart w:id="28" w:name="_Toc4982"/>
      <w:bookmarkStart w:id="29" w:name="_Toc27042"/>
      <w:bookmarkStart w:id="30" w:name="_Toc8750"/>
      <w:bookmarkStart w:id="31" w:name="_Toc17893"/>
      <w:r>
        <w:rPr>
          <w:rFonts w:hint="eastAsia" w:ascii="仿宋" w:eastAsia="仿宋"/>
          <w:szCs w:val="32"/>
          <w:lang w:val="en-US" w:eastAsia="zh-CN"/>
        </w:rPr>
        <w:t>绿色仓储升级改造工程未完成。</w:t>
      </w:r>
      <w:r>
        <w:rPr>
          <w:rFonts w:hint="eastAsia"/>
          <w:szCs w:val="32"/>
        </w:rPr>
        <w:t>截</w:t>
      </w:r>
      <w:r>
        <w:rPr>
          <w:rFonts w:hint="eastAsia" w:ascii="仿宋" w:eastAsia="仿宋"/>
          <w:szCs w:val="32"/>
          <w:lang w:val="en-US" w:eastAsia="zh-CN"/>
        </w:rPr>
        <w:t>至</w:t>
      </w:r>
      <w:r>
        <w:rPr>
          <w:rFonts w:hint="eastAsia"/>
          <w:szCs w:val="32"/>
        </w:rPr>
        <w:t>评价日，粮油购销储运公司第二标段工程</w:t>
      </w:r>
      <w:r>
        <w:rPr>
          <w:rFonts w:hint="eastAsia" w:ascii="仿宋" w:eastAsia="仿宋"/>
          <w:szCs w:val="32"/>
          <w:lang w:val="en-US" w:eastAsia="zh-CN"/>
        </w:rPr>
        <w:t>未按期完成</w:t>
      </w:r>
      <w:r>
        <w:rPr>
          <w:rFonts w:hint="eastAsia"/>
          <w:szCs w:val="32"/>
        </w:rPr>
        <w:t>，其他工程</w:t>
      </w:r>
      <w:r>
        <w:rPr>
          <w:rFonts w:hint="eastAsia" w:ascii="仿宋" w:eastAsia="仿宋"/>
          <w:szCs w:val="32"/>
          <w:lang w:val="en-US" w:eastAsia="zh-CN"/>
        </w:rPr>
        <w:t>虽已完成但未</w:t>
      </w:r>
      <w:r>
        <w:rPr>
          <w:rFonts w:hint="eastAsia"/>
          <w:szCs w:val="32"/>
        </w:rPr>
        <w:t>验收。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p>
      <w:pPr>
        <w:pStyle w:val="5"/>
        <w:bidi w:val="0"/>
        <w:rPr>
          <w:rFonts w:hint="eastAsia"/>
          <w:b/>
          <w:lang w:val="zh-CN" w:eastAsia="zh-CN"/>
        </w:rPr>
      </w:pPr>
      <w:bookmarkStart w:id="32" w:name="_Toc3570"/>
      <w:bookmarkStart w:id="33" w:name="_Toc11580"/>
      <w:r>
        <w:rPr>
          <w:rFonts w:hint="eastAsia"/>
          <w:b/>
          <w:lang w:val="en-US" w:eastAsia="zh-CN"/>
        </w:rPr>
        <w:t>2.</w:t>
      </w:r>
      <w:r>
        <w:rPr>
          <w:rFonts w:hint="eastAsia"/>
          <w:b/>
          <w:lang w:val="zh-CN" w:eastAsia="zh-CN"/>
        </w:rPr>
        <w:t>承储企业履行主体责任不力</w:t>
      </w:r>
      <w:bookmarkEnd w:id="32"/>
      <w:bookmarkEnd w:id="33"/>
    </w:p>
    <w:p>
      <w:pPr>
        <w:ind w:firstLine="640"/>
        <w:rPr>
          <w:szCs w:val="32"/>
        </w:rPr>
      </w:pPr>
      <w:r>
        <w:rPr>
          <w:rFonts w:hint="eastAsia"/>
          <w:szCs w:val="32"/>
        </w:rPr>
        <w:t>一是个别承储企业转嫁储粮任务。硕丰公司和储备粮管理公司</w:t>
      </w:r>
      <w:r>
        <w:rPr>
          <w:rFonts w:hint="eastAsia" w:ascii="仿宋" w:eastAsia="仿宋"/>
          <w:szCs w:val="32"/>
          <w:lang w:val="en-US" w:eastAsia="zh-CN"/>
        </w:rPr>
        <w:t>属</w:t>
      </w:r>
      <w:r>
        <w:rPr>
          <w:rFonts w:hint="eastAsia"/>
          <w:szCs w:val="32"/>
        </w:rPr>
        <w:t>菏泽市</w:t>
      </w:r>
      <w:r>
        <w:rPr>
          <w:rFonts w:hint="eastAsia" w:ascii="仿宋" w:eastAsia="仿宋"/>
          <w:szCs w:val="32"/>
          <w:lang w:val="en-US" w:eastAsia="zh-CN"/>
        </w:rPr>
        <w:t>储备</w:t>
      </w:r>
      <w:r>
        <w:rPr>
          <w:rFonts w:hint="eastAsia"/>
          <w:szCs w:val="32"/>
        </w:rPr>
        <w:t>粮</w:t>
      </w:r>
      <w:r>
        <w:rPr>
          <w:rFonts w:hint="eastAsia" w:ascii="仿宋" w:eastAsia="仿宋"/>
          <w:szCs w:val="32"/>
          <w:lang w:val="en-US" w:eastAsia="zh-CN"/>
        </w:rPr>
        <w:t>承储</w:t>
      </w:r>
      <w:r>
        <w:rPr>
          <w:rFonts w:hint="eastAsia"/>
          <w:szCs w:val="32"/>
        </w:rPr>
        <w:t>企业，</w:t>
      </w:r>
      <w:r>
        <w:rPr>
          <w:rFonts w:hint="eastAsia" w:ascii="仿宋" w:eastAsia="仿宋"/>
          <w:szCs w:val="32"/>
          <w:lang w:val="en-US" w:eastAsia="zh-CN"/>
        </w:rPr>
        <w:t>因自</w:t>
      </w:r>
      <w:r>
        <w:rPr>
          <w:rFonts w:hint="eastAsia"/>
          <w:szCs w:val="32"/>
        </w:rPr>
        <w:t>身仓库容量不足将由自身承担的承储任务委托给其他企业承担，转嫁了</w:t>
      </w:r>
      <w:r>
        <w:rPr>
          <w:rFonts w:hint="eastAsia" w:ascii="仿宋" w:eastAsia="仿宋"/>
          <w:szCs w:val="32"/>
          <w:lang w:val="en-US" w:eastAsia="zh-CN"/>
        </w:rPr>
        <w:t>储备粮</w:t>
      </w:r>
      <w:r>
        <w:rPr>
          <w:rFonts w:hint="eastAsia"/>
          <w:szCs w:val="32"/>
        </w:rPr>
        <w:t>主体责任，存在管理</w:t>
      </w:r>
      <w:r>
        <w:rPr>
          <w:rFonts w:hint="eastAsia" w:ascii="仿宋" w:eastAsia="仿宋"/>
          <w:szCs w:val="32"/>
          <w:lang w:val="en-US" w:eastAsia="zh-CN"/>
        </w:rPr>
        <w:t>风险</w:t>
      </w:r>
      <w:r>
        <w:rPr>
          <w:rFonts w:hint="eastAsia"/>
          <w:szCs w:val="32"/>
        </w:rPr>
        <w:t>。</w:t>
      </w:r>
    </w:p>
    <w:p>
      <w:pPr>
        <w:ind w:firstLine="640"/>
        <w:rPr>
          <w:rFonts w:hint="eastAsia"/>
          <w:szCs w:val="32"/>
        </w:rPr>
      </w:pPr>
      <w:r>
        <w:rPr>
          <w:rFonts w:hint="eastAsia"/>
          <w:szCs w:val="32"/>
        </w:rPr>
        <w:t>二是个别承储企业执行补贴成本不到位。硕丰公司与华瑞面业签订代储协议，在费用补贴方面</w:t>
      </w:r>
      <w:r>
        <w:rPr>
          <w:rFonts w:hint="eastAsia" w:ascii="仿宋" w:eastAsia="仿宋"/>
          <w:szCs w:val="32"/>
          <w:lang w:val="en-US" w:eastAsia="zh-CN"/>
        </w:rPr>
        <w:t>却</w:t>
      </w:r>
      <w:r>
        <w:rPr>
          <w:rFonts w:hint="eastAsia"/>
          <w:szCs w:val="32"/>
        </w:rPr>
        <w:t>未能</w:t>
      </w:r>
      <w:r>
        <w:rPr>
          <w:rFonts w:hint="eastAsia" w:ascii="仿宋" w:eastAsia="仿宋"/>
          <w:szCs w:val="32"/>
          <w:lang w:val="en-US" w:eastAsia="zh-CN"/>
        </w:rPr>
        <w:t>足额支付补贴费用</w:t>
      </w:r>
      <w:r>
        <w:rPr>
          <w:rFonts w:hint="eastAsia"/>
          <w:szCs w:val="32"/>
        </w:rPr>
        <w:t>，造成每吨</w:t>
      </w:r>
      <w:r>
        <w:rPr>
          <w:szCs w:val="32"/>
        </w:rPr>
        <w:t>20</w:t>
      </w:r>
      <w:r>
        <w:rPr>
          <w:rFonts w:hint="eastAsia"/>
          <w:szCs w:val="32"/>
        </w:rPr>
        <w:t>元的差额，</w:t>
      </w:r>
      <w:r>
        <w:rPr>
          <w:rFonts w:hint="eastAsia" w:ascii="仿宋" w:eastAsia="仿宋"/>
          <w:szCs w:val="32"/>
          <w:lang w:val="en-US" w:eastAsia="zh-CN"/>
        </w:rPr>
        <w:t>涉及资金</w:t>
      </w:r>
      <w:r>
        <w:rPr>
          <w:szCs w:val="32"/>
        </w:rPr>
        <w:t>80.79</w:t>
      </w:r>
      <w:r>
        <w:rPr>
          <w:rFonts w:hint="eastAsia"/>
          <w:szCs w:val="32"/>
        </w:rPr>
        <w:t>万元。</w:t>
      </w:r>
      <w:bookmarkStart w:id="34" w:name="_Toc30012"/>
      <w:bookmarkStart w:id="35" w:name="_Toc20948"/>
      <w:bookmarkStart w:id="36" w:name="_Toc26783"/>
      <w:bookmarkStart w:id="37" w:name="_Toc24801"/>
      <w:bookmarkStart w:id="38" w:name="_Toc16030"/>
      <w:bookmarkStart w:id="39" w:name="_Toc26960"/>
      <w:bookmarkStart w:id="40" w:name="_Toc29162"/>
      <w:bookmarkStart w:id="41" w:name="_Toc8421"/>
      <w:bookmarkStart w:id="42" w:name="_Toc21515"/>
    </w:p>
    <w:p>
      <w:pPr>
        <w:ind w:firstLine="640"/>
        <w:rPr>
          <w:szCs w:val="32"/>
        </w:rPr>
      </w:pPr>
      <w:r>
        <w:rPr>
          <w:rFonts w:hint="eastAsia"/>
          <w:szCs w:val="32"/>
        </w:rPr>
        <w:t>三是个别承储企业选定代储企业把关不严。《山东省地方储备粮管理办法》明文规定，地方粮食储备企业不能存在混合经营的情况</w:t>
      </w:r>
      <w:r>
        <w:rPr>
          <w:rFonts w:hint="eastAsia" w:eastAsia="仿宋"/>
          <w:szCs w:val="32"/>
          <w:lang w:eastAsia="zh-CN"/>
        </w:rPr>
        <w:t>。</w:t>
      </w:r>
      <w:r>
        <w:rPr>
          <w:rFonts w:hint="eastAsia"/>
          <w:szCs w:val="32"/>
        </w:rPr>
        <w:t>华瑞面业本身经营</w:t>
      </w:r>
      <w:r>
        <w:rPr>
          <w:rFonts w:hint="eastAsia" w:eastAsia="仿宋"/>
          <w:szCs w:val="32"/>
          <w:lang w:eastAsia="zh-CN"/>
        </w:rPr>
        <w:t>成品粮</w:t>
      </w:r>
      <w:r>
        <w:rPr>
          <w:rFonts w:hint="eastAsia"/>
          <w:szCs w:val="32"/>
        </w:rPr>
        <w:t>业务，存在混合经营的情形，而硕丰公司选择华瑞面业为代储企业，违反了上述管理办法。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>
      <w:pPr>
        <w:pStyle w:val="5"/>
        <w:bidi w:val="0"/>
        <w:rPr>
          <w:lang w:val="zh-CN" w:eastAsia="zh-CN"/>
        </w:rPr>
      </w:pPr>
      <w:bookmarkStart w:id="43" w:name="_Toc22262"/>
      <w:bookmarkStart w:id="44" w:name="_Toc29814"/>
      <w:r>
        <w:rPr>
          <w:rFonts w:hint="eastAsia"/>
          <w:lang w:val="en-US" w:eastAsia="zh-CN"/>
        </w:rPr>
        <w:t>3.</w:t>
      </w:r>
      <w:r>
        <w:rPr>
          <w:rFonts w:hint="eastAsia"/>
          <w:lang w:val="zh-CN" w:eastAsia="zh-CN"/>
        </w:rPr>
        <w:t>储备企业日常管理制度执行不严</w:t>
      </w:r>
      <w:bookmarkEnd w:id="43"/>
      <w:bookmarkEnd w:id="44"/>
    </w:p>
    <w:p>
      <w:pPr>
        <w:ind w:firstLine="640"/>
        <w:rPr>
          <w:rFonts w:hint="default" w:eastAsia="仿宋"/>
          <w:szCs w:val="32"/>
          <w:lang w:val="en-US" w:eastAsia="zh-CN"/>
        </w:rPr>
      </w:pPr>
      <w:r>
        <w:rPr>
          <w:rFonts w:hint="eastAsia"/>
          <w:szCs w:val="32"/>
        </w:rPr>
        <w:t>经现场调查发现，储备企业普遍存在</w:t>
      </w:r>
      <w:r>
        <w:rPr>
          <w:rFonts w:hint="eastAsia" w:ascii="仿宋" w:eastAsia="仿宋"/>
          <w:szCs w:val="32"/>
          <w:lang w:val="en-US" w:eastAsia="zh-CN"/>
        </w:rPr>
        <w:t>日常管理制度执行不严格</w:t>
      </w:r>
      <w:r>
        <w:rPr>
          <w:rFonts w:hint="eastAsia"/>
          <w:szCs w:val="32"/>
        </w:rPr>
        <w:t>，</w:t>
      </w:r>
      <w:r>
        <w:rPr>
          <w:rFonts w:hint="eastAsia" w:ascii="仿宋" w:eastAsia="仿宋"/>
          <w:szCs w:val="32"/>
          <w:lang w:val="en-US" w:eastAsia="zh-CN"/>
        </w:rPr>
        <w:t>用于储备粮管理的</w:t>
      </w:r>
      <w:r>
        <w:rPr>
          <w:rFonts w:hint="eastAsia"/>
          <w:szCs w:val="32"/>
        </w:rPr>
        <w:t>“地方储备粮专卡”填</w:t>
      </w:r>
      <w:r>
        <w:rPr>
          <w:rFonts w:hint="eastAsia" w:ascii="仿宋" w:eastAsia="仿宋"/>
          <w:szCs w:val="32"/>
          <w:lang w:val="en-US" w:eastAsia="zh-CN"/>
        </w:rPr>
        <w:t>写不规范，</w:t>
      </w:r>
      <w:r>
        <w:rPr>
          <w:rFonts w:hint="eastAsia"/>
          <w:szCs w:val="32"/>
        </w:rPr>
        <w:t>要素不齐全</w:t>
      </w:r>
      <w:r>
        <w:rPr>
          <w:rFonts w:hint="eastAsia" w:eastAsia="仿宋"/>
          <w:szCs w:val="32"/>
          <w:lang w:eastAsia="zh-CN"/>
        </w:rPr>
        <w:t>。</w:t>
      </w:r>
      <w:bookmarkStart w:id="45" w:name="_Toc19932"/>
    </w:p>
    <w:bookmarkEnd w:id="45"/>
    <w:p>
      <w:pPr>
        <w:pStyle w:val="5"/>
        <w:bidi w:val="0"/>
        <w:rPr>
          <w:rFonts w:ascii="楷体" w:hAnsi="楷体" w:eastAsia="楷体" w:cs="楷体"/>
          <w:kern w:val="0"/>
          <w:szCs w:val="32"/>
          <w:lang w:val="zh-CN" w:eastAsia="zh-CN" w:bidi="ar-SA"/>
        </w:rPr>
      </w:pPr>
      <w:bookmarkStart w:id="46" w:name="_Toc21221"/>
      <w:bookmarkStart w:id="47" w:name="_Toc26303"/>
      <w:bookmarkStart w:id="48" w:name="_Toc3112"/>
      <w:bookmarkStart w:id="49" w:name="_Toc23597"/>
      <w:bookmarkStart w:id="50" w:name="_Toc27660"/>
      <w:bookmarkStart w:id="51" w:name="_Toc17482"/>
      <w:bookmarkStart w:id="52" w:name="_Toc5067"/>
      <w:bookmarkStart w:id="53" w:name="_Toc28336"/>
      <w:r>
        <w:rPr>
          <w:rFonts w:hint="eastAsia"/>
          <w:lang w:val="en-US" w:eastAsia="zh-CN"/>
        </w:rPr>
        <w:t>4.项目</w:t>
      </w:r>
      <w:r>
        <w:rPr>
          <w:rFonts w:hint="eastAsia"/>
          <w:lang w:val="zh-CN" w:eastAsia="zh-CN"/>
        </w:rPr>
        <w:t>管理制度有待</w:t>
      </w:r>
      <w:r>
        <w:rPr>
          <w:rFonts w:hint="eastAsia"/>
          <w:lang w:val="en-US" w:eastAsia="zh-CN"/>
        </w:rPr>
        <w:t>完善</w:t>
      </w:r>
      <w:r>
        <w:rPr>
          <w:rFonts w:hint="eastAsia"/>
          <w:lang w:val="zh-CN" w:eastAsia="zh-CN"/>
        </w:rPr>
        <w:t>，项目可持续机制不</w:t>
      </w:r>
      <w:r>
        <w:rPr>
          <w:rFonts w:hint="eastAsia"/>
          <w:lang w:val="en-US" w:eastAsia="zh-CN"/>
        </w:rPr>
        <w:t>够</w:t>
      </w:r>
      <w:r>
        <w:rPr>
          <w:rFonts w:hint="eastAsia"/>
          <w:lang w:val="zh-CN" w:eastAsia="zh-CN"/>
        </w:rPr>
        <w:t>健全</w:t>
      </w:r>
      <w:bookmarkEnd w:id="46"/>
      <w:bookmarkEnd w:id="47"/>
    </w:p>
    <w:p>
      <w:pPr>
        <w:bidi w:val="0"/>
        <w:rPr>
          <w:rFonts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" w:cs="仿宋"/>
          <w:kern w:val="2"/>
          <w:sz w:val="32"/>
          <w:szCs w:val="32"/>
          <w:lang w:val="en-US" w:eastAsia="zh-CN" w:bidi="ar-SA"/>
        </w:rPr>
        <w:t>一是经现场调研与资料查阅，项目实施单位的财务和业务管理制度基本健全，但缺少储备粮损耗处理管理制度，未建立健全储备粮承储企业政策执行情况绩效评价制度。二是项目相关企业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未制定设备及时更新的相关措施，项目缺少后续运维机制。</w:t>
      </w:r>
    </w:p>
    <w:bookmarkEnd w:id="48"/>
    <w:bookmarkEnd w:id="49"/>
    <w:bookmarkEnd w:id="50"/>
    <w:bookmarkEnd w:id="51"/>
    <w:bookmarkEnd w:id="52"/>
    <w:bookmarkEnd w:id="53"/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五、有关建议</w:t>
      </w:r>
    </w:p>
    <w:p>
      <w:pPr>
        <w:keepNext/>
        <w:keepLines/>
        <w:widowControl w:val="0"/>
        <w:spacing w:line="580" w:lineRule="exact"/>
        <w:ind w:firstLine="640" w:firstLineChars="200"/>
        <w:jc w:val="both"/>
        <w:outlineLvl w:val="1"/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</w:pPr>
      <w:bookmarkStart w:id="54" w:name="_Toc15765"/>
      <w:bookmarkStart w:id="55" w:name="_Toc22140"/>
      <w:bookmarkStart w:id="56" w:name="_Toc793"/>
      <w:r>
        <w:rPr>
          <w:rFonts w:hint="eastAsia" w:ascii="楷体" w:hAnsi="楷体" w:eastAsia="楷体" w:cs="楷体"/>
          <w:kern w:val="0"/>
          <w:sz w:val="32"/>
          <w:szCs w:val="32"/>
          <w:lang w:val="zh-CN" w:eastAsia="zh-CN" w:bidi="ar-SA"/>
        </w:rPr>
        <w:t>（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  <w:t>一</w:t>
      </w:r>
      <w:r>
        <w:rPr>
          <w:rFonts w:hint="eastAsia" w:ascii="楷体" w:hAnsi="楷体" w:eastAsia="楷体" w:cs="楷体"/>
          <w:kern w:val="0"/>
          <w:sz w:val="32"/>
          <w:szCs w:val="32"/>
          <w:lang w:val="zh-CN" w:eastAsia="zh-CN" w:bidi="ar-SA"/>
        </w:rPr>
        <w:t>）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  <w:t>严格标准，尽快补齐未完成的储备粮计划</w:t>
      </w:r>
      <w:bookmarkEnd w:id="54"/>
    </w:p>
    <w:bookmarkEnd w:id="55"/>
    <w:p>
      <w:pPr>
        <w:ind w:firstLine="640"/>
        <w:rPr>
          <w:rFonts w:hint="eastAsia"/>
          <w:szCs w:val="32"/>
        </w:rPr>
      </w:pPr>
      <w:r>
        <w:rPr>
          <w:rFonts w:hint="eastAsia"/>
          <w:szCs w:val="32"/>
        </w:rPr>
        <w:t>建议</w:t>
      </w:r>
      <w:r>
        <w:rPr>
          <w:rFonts w:hint="eastAsia" w:ascii="仿宋" w:eastAsia="仿宋"/>
          <w:szCs w:val="32"/>
          <w:lang w:val="en-US" w:eastAsia="zh-CN"/>
        </w:rPr>
        <w:t>菏泽市发改委</w:t>
      </w:r>
      <w:r>
        <w:rPr>
          <w:rFonts w:hint="eastAsia"/>
          <w:szCs w:val="32"/>
        </w:rPr>
        <w:t>督促硕丰公司</w:t>
      </w:r>
      <w:r>
        <w:rPr>
          <w:rFonts w:hint="eastAsia" w:eastAsia="仿宋"/>
          <w:szCs w:val="32"/>
          <w:lang w:eastAsia="zh-CN"/>
        </w:rPr>
        <w:t>，</w:t>
      </w:r>
      <w:r>
        <w:rPr>
          <w:rFonts w:hint="eastAsia"/>
          <w:szCs w:val="32"/>
        </w:rPr>
        <w:t>在菏泽市2023年度粮食收获期</w:t>
      </w:r>
      <w:r>
        <w:rPr>
          <w:rFonts w:hint="eastAsia" w:eastAsia="仿宋"/>
          <w:szCs w:val="32"/>
          <w:lang w:eastAsia="zh-CN"/>
        </w:rPr>
        <w:t>，</w:t>
      </w:r>
      <w:r>
        <w:rPr>
          <w:rFonts w:hint="eastAsia" w:ascii="仿宋" w:eastAsia="仿宋"/>
          <w:szCs w:val="32"/>
          <w:lang w:val="en-US" w:eastAsia="zh-CN"/>
        </w:rPr>
        <w:t>尽快</w:t>
      </w:r>
      <w:r>
        <w:rPr>
          <w:rFonts w:hint="eastAsia"/>
          <w:szCs w:val="32"/>
        </w:rPr>
        <w:t>完成</w:t>
      </w:r>
      <w:r>
        <w:rPr>
          <w:rFonts w:hint="eastAsia" w:eastAsia="仿宋"/>
          <w:szCs w:val="32"/>
          <w:lang w:eastAsia="zh-CN"/>
        </w:rPr>
        <w:t>储备粮</w:t>
      </w:r>
      <w:r>
        <w:rPr>
          <w:rFonts w:hint="eastAsia"/>
          <w:szCs w:val="32"/>
        </w:rPr>
        <w:t>计划任务，</w:t>
      </w:r>
      <w:r>
        <w:rPr>
          <w:rFonts w:hint="eastAsia" w:ascii="仿宋" w:eastAsia="仿宋"/>
          <w:szCs w:val="32"/>
          <w:lang w:val="en-US" w:eastAsia="zh-CN"/>
        </w:rPr>
        <w:t>保证储备粮足额储存</w:t>
      </w:r>
      <w:r>
        <w:rPr>
          <w:rFonts w:hint="eastAsia"/>
          <w:szCs w:val="32"/>
        </w:rPr>
        <w:t>。</w:t>
      </w:r>
    </w:p>
    <w:p>
      <w:pPr>
        <w:keepNext/>
        <w:keepLines/>
        <w:widowControl w:val="0"/>
        <w:bidi w:val="0"/>
        <w:spacing w:line="580" w:lineRule="exact"/>
        <w:ind w:firstLine="640" w:firstLineChars="200"/>
        <w:jc w:val="both"/>
        <w:outlineLvl w:val="1"/>
        <w:rPr>
          <w:rFonts w:hint="default" w:ascii="楷体" w:hAnsi="楷体" w:eastAsia="楷体" w:cs="楷体"/>
          <w:kern w:val="0"/>
          <w:sz w:val="32"/>
          <w:szCs w:val="32"/>
          <w:lang w:val="en-US" w:eastAsia="zh-CN" w:bidi="ar-SA"/>
        </w:rPr>
      </w:pPr>
      <w:bookmarkStart w:id="57" w:name="_Toc22383"/>
      <w:r>
        <w:rPr>
          <w:rFonts w:hint="eastAsia" w:ascii="楷体" w:hAnsi="楷体" w:eastAsia="楷体" w:cs="楷体"/>
          <w:kern w:val="0"/>
          <w:sz w:val="32"/>
          <w:szCs w:val="32"/>
          <w:lang w:val="zh-CN" w:eastAsia="zh-CN" w:bidi="ar-SA"/>
        </w:rPr>
        <w:t>（</w:t>
      </w:r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  <w:t>二）多措并举，加快推进绿色仓储升级改造</w:t>
      </w:r>
      <w:bookmarkEnd w:id="57"/>
    </w:p>
    <w:p>
      <w:pPr>
        <w:ind w:firstLine="640"/>
        <w:rPr>
          <w:szCs w:val="32"/>
        </w:rPr>
      </w:pPr>
      <w:r>
        <w:rPr>
          <w:rFonts w:hint="eastAsia" w:ascii="仿宋" w:eastAsia="仿宋"/>
          <w:szCs w:val="32"/>
          <w:lang w:val="en-US" w:eastAsia="zh-CN"/>
        </w:rPr>
        <w:t>一方面，督促施工企业</w:t>
      </w:r>
      <w:r>
        <w:rPr>
          <w:rFonts w:hint="eastAsia"/>
          <w:szCs w:val="32"/>
        </w:rPr>
        <w:t>加快工程进度，</w:t>
      </w:r>
      <w:r>
        <w:rPr>
          <w:rFonts w:hint="eastAsia" w:ascii="仿宋" w:eastAsia="仿宋"/>
          <w:szCs w:val="32"/>
          <w:lang w:val="en-US" w:eastAsia="zh-CN"/>
        </w:rPr>
        <w:t>科学组织施工，</w:t>
      </w:r>
      <w:r>
        <w:rPr>
          <w:rFonts w:hint="eastAsia"/>
          <w:szCs w:val="32"/>
        </w:rPr>
        <w:t>尽快组织验收，使新增仓容量</w:t>
      </w:r>
      <w:r>
        <w:rPr>
          <w:rFonts w:hint="eastAsia" w:ascii="仿宋" w:eastAsia="仿宋"/>
          <w:szCs w:val="32"/>
          <w:lang w:val="en-US" w:eastAsia="zh-CN"/>
        </w:rPr>
        <w:t>及早</w:t>
      </w:r>
      <w:r>
        <w:rPr>
          <w:rFonts w:hint="eastAsia"/>
          <w:szCs w:val="32"/>
        </w:rPr>
        <w:t>发挥作用</w:t>
      </w:r>
      <w:r>
        <w:rPr>
          <w:rFonts w:hint="eastAsia" w:eastAsia="仿宋"/>
          <w:szCs w:val="32"/>
          <w:lang w:eastAsia="zh-CN"/>
        </w:rPr>
        <w:t>。</w:t>
      </w:r>
      <w:r>
        <w:rPr>
          <w:rFonts w:hint="eastAsia" w:ascii="仿宋" w:eastAsia="仿宋"/>
          <w:szCs w:val="32"/>
          <w:lang w:val="en-US" w:eastAsia="zh-CN"/>
        </w:rPr>
        <w:t>另一方面，</w:t>
      </w:r>
      <w:r>
        <w:rPr>
          <w:rFonts w:hint="eastAsia"/>
          <w:szCs w:val="32"/>
        </w:rPr>
        <w:t>建议</w:t>
      </w:r>
      <w:r>
        <w:rPr>
          <w:rFonts w:hint="eastAsia" w:ascii="仿宋" w:eastAsia="仿宋"/>
          <w:szCs w:val="32"/>
          <w:lang w:val="en-US" w:eastAsia="zh-CN"/>
        </w:rPr>
        <w:t>菏泽市发改委</w:t>
      </w:r>
      <w:r>
        <w:rPr>
          <w:rFonts w:hint="eastAsia"/>
          <w:szCs w:val="32"/>
        </w:rPr>
        <w:t>研究制定菏泽市粮食仓储设施建设和维修改造计划，</w:t>
      </w:r>
      <w:r>
        <w:rPr>
          <w:rFonts w:hint="eastAsia" w:ascii="仿宋" w:eastAsia="仿宋"/>
          <w:szCs w:val="32"/>
          <w:lang w:val="en-US" w:eastAsia="zh-CN"/>
        </w:rPr>
        <w:t>实现绿色仓储升级改造全覆盖</w:t>
      </w:r>
      <w:r>
        <w:rPr>
          <w:rFonts w:hint="eastAsia"/>
          <w:szCs w:val="32"/>
        </w:rPr>
        <w:t>，全面提升地方粮食仓储能力。</w:t>
      </w:r>
      <w:r>
        <w:rPr>
          <w:rFonts w:hint="eastAsia" w:ascii="仿宋" w:eastAsia="仿宋"/>
          <w:szCs w:val="32"/>
          <w:lang w:val="en-US" w:eastAsia="zh-CN"/>
        </w:rPr>
        <w:t>同时</w:t>
      </w:r>
      <w:r>
        <w:rPr>
          <w:rFonts w:hint="eastAsia"/>
          <w:szCs w:val="32"/>
        </w:rPr>
        <w:t>，积极推广</w:t>
      </w:r>
      <w:r>
        <w:rPr>
          <w:rFonts w:hint="eastAsia" w:ascii="仿宋" w:eastAsia="仿宋"/>
          <w:szCs w:val="32"/>
          <w:lang w:val="en-US" w:eastAsia="zh-CN"/>
        </w:rPr>
        <w:t>应用</w:t>
      </w:r>
      <w:r>
        <w:rPr>
          <w:rFonts w:hint="eastAsia"/>
          <w:szCs w:val="32"/>
        </w:rPr>
        <w:t>储粮新工艺新技术，加强粮库智能化升级改造，不断提高储粮科技含量，实现仓储工作的智能化、机械化、规范化，全面提高仓储管理工作水平。</w:t>
      </w:r>
    </w:p>
    <w:p>
      <w:pPr>
        <w:keepNext/>
        <w:keepLines/>
        <w:widowControl w:val="0"/>
        <w:spacing w:line="580" w:lineRule="exact"/>
        <w:ind w:firstLine="640" w:firstLineChars="200"/>
        <w:jc w:val="both"/>
        <w:outlineLvl w:val="1"/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</w:pPr>
      <w:bookmarkStart w:id="58" w:name="_Toc7363"/>
      <w:bookmarkStart w:id="59" w:name="_Toc28207"/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  <w:t>（三）压实责任，防范储备粮管理风险</w:t>
      </w:r>
      <w:bookmarkEnd w:id="58"/>
      <w:bookmarkEnd w:id="59"/>
    </w:p>
    <w:p>
      <w:pPr>
        <w:ind w:firstLine="640"/>
        <w:rPr>
          <w:szCs w:val="32"/>
        </w:rPr>
      </w:pPr>
      <w:r>
        <w:rPr>
          <w:rFonts w:hint="eastAsia" w:ascii="仿宋" w:eastAsia="仿宋"/>
          <w:szCs w:val="32"/>
          <w:lang w:val="en-US" w:eastAsia="zh-CN"/>
        </w:rPr>
        <w:t>一是尽快选定承储企业。</w:t>
      </w:r>
      <w:r>
        <w:rPr>
          <w:rFonts w:hint="eastAsia"/>
          <w:szCs w:val="32"/>
        </w:rPr>
        <w:t>针对仓储容量不足的客观</w:t>
      </w:r>
      <w:r>
        <w:rPr>
          <w:rFonts w:hint="eastAsia" w:ascii="仿宋" w:eastAsia="仿宋"/>
          <w:szCs w:val="32"/>
          <w:lang w:val="en-US" w:eastAsia="zh-CN"/>
        </w:rPr>
        <w:t>实际</w:t>
      </w:r>
      <w:r>
        <w:rPr>
          <w:rFonts w:hint="eastAsia"/>
          <w:szCs w:val="32"/>
        </w:rPr>
        <w:t>，建议</w:t>
      </w:r>
      <w:r>
        <w:rPr>
          <w:rFonts w:hint="eastAsia" w:ascii="仿宋" w:eastAsia="仿宋"/>
          <w:szCs w:val="32"/>
          <w:lang w:val="en-US" w:eastAsia="zh-CN"/>
        </w:rPr>
        <w:t>菏泽市发改委抓紧时间研究解决措施，</w:t>
      </w:r>
      <w:r>
        <w:rPr>
          <w:rFonts w:hint="eastAsia"/>
          <w:szCs w:val="32"/>
        </w:rPr>
        <w:t>尽快选定符合条件的承储企业，签订承储协议</w:t>
      </w:r>
      <w:r>
        <w:rPr>
          <w:rFonts w:hint="eastAsia" w:eastAsia="仿宋"/>
          <w:szCs w:val="32"/>
          <w:lang w:eastAsia="zh-CN"/>
        </w:rPr>
        <w:t>，</w:t>
      </w:r>
      <w:r>
        <w:rPr>
          <w:rFonts w:hint="eastAsia" w:ascii="仿宋" w:eastAsia="仿宋"/>
          <w:szCs w:val="32"/>
          <w:lang w:val="en-US" w:eastAsia="zh-CN"/>
        </w:rPr>
        <w:t>使</w:t>
      </w:r>
      <w:r>
        <w:rPr>
          <w:rFonts w:hint="eastAsia"/>
          <w:szCs w:val="32"/>
        </w:rPr>
        <w:t>委托代储变为直接储存管理。</w:t>
      </w:r>
      <w:bookmarkStart w:id="60" w:name="_Toc15081"/>
      <w:bookmarkStart w:id="61" w:name="_Toc18934"/>
      <w:bookmarkStart w:id="62" w:name="_Toc19235"/>
      <w:bookmarkStart w:id="63" w:name="_Toc28607"/>
      <w:bookmarkStart w:id="64" w:name="_Toc6108"/>
      <w:bookmarkStart w:id="65" w:name="_Toc31192"/>
      <w:bookmarkStart w:id="66" w:name="_Toc8645"/>
      <w:r>
        <w:rPr>
          <w:rFonts w:hint="eastAsia"/>
          <w:szCs w:val="32"/>
        </w:rPr>
        <w:t>二是</w:t>
      </w:r>
      <w:r>
        <w:rPr>
          <w:rFonts w:hint="eastAsia" w:ascii="仿宋" w:eastAsia="仿宋"/>
          <w:szCs w:val="32"/>
          <w:lang w:val="en-US" w:eastAsia="zh-CN"/>
        </w:rPr>
        <w:t>足额支付储备粮补贴费用。菏泽市</w:t>
      </w:r>
      <w:r>
        <w:rPr>
          <w:rFonts w:hint="eastAsia"/>
          <w:szCs w:val="32"/>
        </w:rPr>
        <w:t>发改委</w:t>
      </w:r>
      <w:r>
        <w:rPr>
          <w:rFonts w:hint="eastAsia" w:ascii="仿宋" w:eastAsia="仿宋"/>
          <w:szCs w:val="32"/>
          <w:lang w:val="en-US" w:eastAsia="zh-CN"/>
        </w:rPr>
        <w:t>应于</w:t>
      </w:r>
      <w:r>
        <w:rPr>
          <w:rFonts w:hint="eastAsia"/>
          <w:szCs w:val="32"/>
        </w:rPr>
        <w:t>2023年12月底</w:t>
      </w:r>
      <w:r>
        <w:rPr>
          <w:rFonts w:hint="eastAsia" w:ascii="仿宋" w:eastAsia="仿宋"/>
          <w:szCs w:val="32"/>
          <w:lang w:val="en-US" w:eastAsia="zh-CN"/>
        </w:rPr>
        <w:t>前，督促硕丰公司将储备粮补贴费用差额</w:t>
      </w:r>
      <w:r>
        <w:rPr>
          <w:szCs w:val="32"/>
        </w:rPr>
        <w:t>80.79</w:t>
      </w:r>
      <w:r>
        <w:rPr>
          <w:rFonts w:hint="eastAsia"/>
          <w:szCs w:val="32"/>
        </w:rPr>
        <w:t>万元</w:t>
      </w:r>
      <w:r>
        <w:rPr>
          <w:rFonts w:hint="eastAsia" w:ascii="仿宋" w:eastAsia="仿宋"/>
          <w:szCs w:val="32"/>
          <w:lang w:val="en-US" w:eastAsia="zh-CN"/>
        </w:rPr>
        <w:t>支付给</w:t>
      </w:r>
      <w:r>
        <w:rPr>
          <w:rFonts w:hint="eastAsia"/>
          <w:szCs w:val="32"/>
        </w:rPr>
        <w:t>代储企业，保证粮食储备补贴成本足额到位，发挥应有效益。三是</w:t>
      </w:r>
      <w:bookmarkEnd w:id="60"/>
      <w:bookmarkEnd w:id="61"/>
      <w:bookmarkEnd w:id="62"/>
      <w:bookmarkEnd w:id="63"/>
      <w:bookmarkEnd w:id="64"/>
      <w:bookmarkEnd w:id="65"/>
      <w:bookmarkEnd w:id="66"/>
      <w:r>
        <w:rPr>
          <w:rFonts w:hint="eastAsia" w:ascii="仿宋" w:eastAsia="仿宋"/>
          <w:szCs w:val="32"/>
          <w:lang w:val="en-US" w:eastAsia="zh-CN"/>
        </w:rPr>
        <w:t>强化日常管理，</w:t>
      </w:r>
      <w:r>
        <w:rPr>
          <w:rFonts w:hint="eastAsia"/>
          <w:szCs w:val="32"/>
        </w:rPr>
        <w:t>规范填制“地方储备粮专卡”，做到填制要素齐全，规范完整，不存漏项。</w:t>
      </w:r>
    </w:p>
    <w:bookmarkEnd w:id="56"/>
    <w:p>
      <w:pPr>
        <w:keepNext/>
        <w:keepLines/>
        <w:widowControl w:val="0"/>
        <w:spacing w:line="580" w:lineRule="exact"/>
        <w:ind w:firstLine="640" w:firstLineChars="200"/>
        <w:jc w:val="both"/>
        <w:outlineLvl w:val="1"/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</w:pPr>
      <w:bookmarkStart w:id="67" w:name="_bookmark33"/>
      <w:bookmarkEnd w:id="67"/>
      <w:bookmarkStart w:id="68" w:name="_Toc11816"/>
      <w:bookmarkStart w:id="69" w:name="_Toc20275"/>
      <w:bookmarkStart w:id="70" w:name="_Toc32677"/>
      <w:bookmarkStart w:id="71" w:name="_Toc19114"/>
      <w:bookmarkStart w:id="72" w:name="_Toc8968"/>
      <w:bookmarkStart w:id="73" w:name="_Toc11038"/>
      <w:bookmarkStart w:id="74" w:name="_Toc23087"/>
      <w:bookmarkStart w:id="75" w:name="_Toc22765"/>
      <w:bookmarkStart w:id="76" w:name="_Toc27398"/>
      <w:bookmarkStart w:id="77" w:name="_Toc18262"/>
      <w:r>
        <w:rPr>
          <w:rFonts w:hint="eastAsia" w:ascii="楷体" w:hAnsi="楷体" w:eastAsia="楷体" w:cs="楷体"/>
          <w:kern w:val="0"/>
          <w:sz w:val="32"/>
          <w:szCs w:val="32"/>
          <w:lang w:val="en-US" w:eastAsia="zh-CN" w:bidi="ar-SA"/>
        </w:rPr>
        <w:t>（四）着眼长效，保障项目持续健康运行</w:t>
      </w:r>
      <w:bookmarkEnd w:id="68"/>
      <w:bookmarkEnd w:id="69"/>
    </w:p>
    <w:p>
      <w:pPr>
        <w:ind w:firstLine="640"/>
        <w:rPr>
          <w:rFonts w:hint="eastAsia"/>
          <w:szCs w:val="32"/>
          <w:lang w:eastAsia="zh-CN"/>
        </w:rPr>
      </w:pPr>
      <w:r>
        <w:rPr>
          <w:rFonts w:hint="eastAsia"/>
          <w:szCs w:val="32"/>
        </w:rPr>
        <w:t>建议项目单位建立标准化的项目管理体系，包括项目管理流程、标准模板、指南和规范，</w:t>
      </w:r>
      <w:r>
        <w:rPr>
          <w:rFonts w:hint="eastAsia" w:ascii="仿宋_GB2312" w:hAnsi="仿宋_GB2312"/>
          <w:szCs w:val="32"/>
          <w:lang w:val="en-US" w:eastAsia="zh-CN"/>
        </w:rPr>
        <w:t>以及</w:t>
      </w:r>
      <w:r>
        <w:rPr>
          <w:rFonts w:hint="eastAsia"/>
          <w:szCs w:val="32"/>
        </w:rPr>
        <w:t>设备更新措施</w:t>
      </w:r>
      <w:r>
        <w:rPr>
          <w:rFonts w:hint="eastAsia" w:eastAsia="仿宋"/>
          <w:szCs w:val="32"/>
          <w:lang w:eastAsia="zh-CN"/>
        </w:rPr>
        <w:t>，</w:t>
      </w:r>
      <w:r>
        <w:rPr>
          <w:rFonts w:hint="eastAsia"/>
          <w:szCs w:val="32"/>
        </w:rPr>
        <w:t>以确保项目的统一性和规范性，保障项目的长效运行。建议主管部门建立健全储备</w:t>
      </w:r>
      <w:r>
        <w:rPr>
          <w:rFonts w:hint="eastAsia" w:ascii="仿宋_GB2312" w:hAnsi="仿宋_GB2312"/>
          <w:szCs w:val="32"/>
        </w:rPr>
        <w:t>粮损耗处理管理制度</w:t>
      </w:r>
      <w:r>
        <w:rPr>
          <w:rFonts w:hint="eastAsia" w:ascii="仿宋_GB2312" w:hAnsi="仿宋_GB2312"/>
          <w:szCs w:val="32"/>
          <w:lang w:eastAsia="zh-CN"/>
        </w:rPr>
        <w:t>，</w:t>
      </w:r>
      <w:r>
        <w:rPr>
          <w:rFonts w:hint="eastAsia" w:ascii="仿宋_GB2312" w:hAnsi="仿宋_GB2312"/>
          <w:szCs w:val="32"/>
          <w:lang w:val="en-US" w:eastAsia="zh-CN"/>
        </w:rPr>
        <w:t>加强对</w:t>
      </w:r>
      <w:r>
        <w:rPr>
          <w:rFonts w:hint="eastAsia" w:ascii="仿宋_GB2312" w:hAnsi="仿宋_GB2312"/>
          <w:szCs w:val="32"/>
        </w:rPr>
        <w:t>储备粮承储企业政策执行情况</w:t>
      </w:r>
      <w:r>
        <w:rPr>
          <w:rFonts w:hint="eastAsia" w:ascii="仿宋_GB2312" w:hAnsi="仿宋_GB2312"/>
          <w:szCs w:val="32"/>
          <w:lang w:eastAsia="zh-CN"/>
        </w:rPr>
        <w:t>的</w:t>
      </w:r>
      <w:r>
        <w:rPr>
          <w:rFonts w:hint="eastAsia" w:ascii="仿宋_GB2312" w:hAnsi="仿宋_GB2312"/>
          <w:szCs w:val="32"/>
          <w:lang w:val="en-US" w:eastAsia="zh-CN"/>
        </w:rPr>
        <w:t>监督检查，促进项目健康发展</w:t>
      </w:r>
      <w:r>
        <w:rPr>
          <w:rFonts w:hint="eastAsia" w:ascii="仿宋_GB2312" w:hAnsi="仿宋_GB2312"/>
          <w:szCs w:val="32"/>
          <w:lang w:eastAsia="zh-CN"/>
        </w:rPr>
        <w:t>。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sectPr>
      <w:footerReference r:id="rId5" w:type="default"/>
      <w:pgSz w:w="11906" w:h="16838"/>
      <w:pgMar w:top="1701" w:right="1474" w:bottom="1701" w:left="1587" w:header="851" w:footer="1474" w:gutter="0"/>
      <w:paperSrc/>
      <w:pgNumType w:fmt="decimal" w:start="1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4427CE-2200-4933-BE25-A4D6F192B96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7680815-37A4-411B-96B0-C6144D64314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69131FE-0A73-467C-BB78-E332E654B1E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1FD8E39-CC6E-4E42-9C79-7E0FEAFE742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43718D5A-F174-4BC2-A10E-95E69D7618B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宋体" w:hAnsi="宋体" w:eastAsia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129BD0"/>
    <w:multiLevelType w:val="singleLevel"/>
    <w:tmpl w:val="E9129B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wM2NmNjc2ZDBkN2JjNmRlNzllNTUwMzQ2OWJhYjAifQ=="/>
  </w:docVars>
  <w:rsids>
    <w:rsidRoot w:val="00000000"/>
    <w:rsid w:val="005A0FB6"/>
    <w:rsid w:val="00DF11E3"/>
    <w:rsid w:val="00F505A0"/>
    <w:rsid w:val="011D585E"/>
    <w:rsid w:val="01541EA9"/>
    <w:rsid w:val="061B1299"/>
    <w:rsid w:val="06351910"/>
    <w:rsid w:val="067610D2"/>
    <w:rsid w:val="07676D33"/>
    <w:rsid w:val="0A4136DC"/>
    <w:rsid w:val="0A891503"/>
    <w:rsid w:val="0CF77A73"/>
    <w:rsid w:val="0D10137A"/>
    <w:rsid w:val="0D2C799D"/>
    <w:rsid w:val="108C6F6A"/>
    <w:rsid w:val="142E449C"/>
    <w:rsid w:val="15A2564A"/>
    <w:rsid w:val="16AA2D18"/>
    <w:rsid w:val="1AD64829"/>
    <w:rsid w:val="1B697783"/>
    <w:rsid w:val="1F037166"/>
    <w:rsid w:val="207E3B31"/>
    <w:rsid w:val="211E2B27"/>
    <w:rsid w:val="23802D1B"/>
    <w:rsid w:val="27CE7742"/>
    <w:rsid w:val="2C005C55"/>
    <w:rsid w:val="2E223872"/>
    <w:rsid w:val="2FD4480E"/>
    <w:rsid w:val="33EE72DE"/>
    <w:rsid w:val="35E328D9"/>
    <w:rsid w:val="3AD66EB0"/>
    <w:rsid w:val="3ADB364D"/>
    <w:rsid w:val="3CAE71FE"/>
    <w:rsid w:val="42204EB5"/>
    <w:rsid w:val="45655E0E"/>
    <w:rsid w:val="45EE7D8D"/>
    <w:rsid w:val="48152FCE"/>
    <w:rsid w:val="4A6322C3"/>
    <w:rsid w:val="4C303F46"/>
    <w:rsid w:val="4C6E0437"/>
    <w:rsid w:val="4D62704B"/>
    <w:rsid w:val="4E73291C"/>
    <w:rsid w:val="519769E0"/>
    <w:rsid w:val="522462FB"/>
    <w:rsid w:val="52601456"/>
    <w:rsid w:val="54921C42"/>
    <w:rsid w:val="56006068"/>
    <w:rsid w:val="575B67D4"/>
    <w:rsid w:val="591F4023"/>
    <w:rsid w:val="5AFA6BFD"/>
    <w:rsid w:val="5C924D42"/>
    <w:rsid w:val="5D5F46F0"/>
    <w:rsid w:val="61D153CB"/>
    <w:rsid w:val="61EB0267"/>
    <w:rsid w:val="62E0626E"/>
    <w:rsid w:val="62EB2352"/>
    <w:rsid w:val="63220635"/>
    <w:rsid w:val="63AA57A7"/>
    <w:rsid w:val="64E37928"/>
    <w:rsid w:val="677A37D4"/>
    <w:rsid w:val="68302CED"/>
    <w:rsid w:val="68A64545"/>
    <w:rsid w:val="6A935974"/>
    <w:rsid w:val="6B614ECF"/>
    <w:rsid w:val="6DE85A33"/>
    <w:rsid w:val="6F073FD6"/>
    <w:rsid w:val="753F0CFC"/>
    <w:rsid w:val="76822B5C"/>
    <w:rsid w:val="77043E82"/>
    <w:rsid w:val="794908F9"/>
    <w:rsid w:val="797D2DA2"/>
    <w:rsid w:val="7A6D1D3E"/>
    <w:rsid w:val="7B04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723" w:firstLineChars="200"/>
      <w:jc w:val="both"/>
    </w:pPr>
    <w:rPr>
      <w:rFonts w:ascii="仿宋" w:hAnsi="仿宋" w:eastAsia="仿宋" w:cs="仿宋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80" w:lineRule="exact"/>
      <w:ind w:firstLine="723" w:firstLineChars="200"/>
      <w:outlineLvl w:val="0"/>
    </w:pPr>
    <w:rPr>
      <w:rFonts w:eastAsia="黑体"/>
      <w:kern w:val="44"/>
      <w:sz w:val="32"/>
    </w:rPr>
  </w:style>
  <w:style w:type="paragraph" w:styleId="3">
    <w:name w:val="heading 2"/>
    <w:basedOn w:val="4"/>
    <w:next w:val="4"/>
    <w:unhideWhenUsed/>
    <w:qFormat/>
    <w:uiPriority w:val="9"/>
    <w:pPr>
      <w:keepNext/>
      <w:keepLines/>
      <w:spacing w:line="580" w:lineRule="exact"/>
      <w:ind w:firstLine="723" w:firstLineChars="200"/>
      <w:outlineLvl w:val="1"/>
    </w:pPr>
    <w:rPr>
      <w:rFonts w:ascii="Arial" w:hAnsi="Arial" w:eastAsia="楷体"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2"/>
    </w:pPr>
    <w:rPr>
      <w:rFonts w:ascii="仿宋" w:hAnsi="仿宋" w:cs="仿宋"/>
      <w:b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正文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 w:val="28"/>
      <w:szCs w:val="28"/>
      <w:lang w:val="zh-CN"/>
    </w:rPr>
  </w:style>
  <w:style w:type="paragraph" w:styleId="6">
    <w:name w:val="Body Text"/>
    <w:basedOn w:val="1"/>
    <w:next w:val="1"/>
    <w:qFormat/>
    <w:uiPriority w:val="1"/>
    <w:rPr>
      <w:rFonts w:ascii="仿宋_GB2312" w:hAnsi="仿宋_GB2312"/>
      <w:lang w:val="zh-CN" w:bidi="zh-CN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unhideWhenUsed/>
    <w:qFormat/>
    <w:uiPriority w:val="39"/>
    <w:pPr>
      <w:tabs>
        <w:tab w:val="right" w:leader="dot" w:pos="8296"/>
      </w:tabs>
    </w:pPr>
    <w:rPr>
      <w:rFonts w:ascii="仿宋" w:hAnsi="仿宋" w:eastAsia="仿宋"/>
      <w:b/>
      <w:bCs/>
      <w:w w:val="90"/>
      <w:sz w:val="32"/>
      <w:szCs w:val="32"/>
    </w:rPr>
  </w:style>
  <w:style w:type="paragraph" w:styleId="10">
    <w:name w:val="footnote text"/>
    <w:basedOn w:val="1"/>
    <w:qFormat/>
    <w:uiPriority w:val="0"/>
    <w:pPr>
      <w:widowControl/>
      <w:snapToGrid w:val="0"/>
      <w:spacing w:line="560" w:lineRule="exact"/>
      <w:ind w:firstLine="960" w:firstLineChars="200"/>
      <w:jc w:val="left"/>
    </w:pPr>
    <w:rPr>
      <w:rFonts w:ascii="宋体" w:hAnsi="宋体" w:eastAsia="仿宋_GB2312" w:cs="宋体"/>
      <w:kern w:val="0"/>
      <w:sz w:val="18"/>
      <w:szCs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Title"/>
    <w:basedOn w:val="1"/>
    <w:next w:val="1"/>
    <w:qFormat/>
    <w:uiPriority w:val="0"/>
    <w:pPr>
      <w:adjustRightInd w:val="0"/>
      <w:snapToGrid w:val="0"/>
      <w:spacing w:line="360" w:lineRule="auto"/>
      <w:ind w:firstLine="800" w:firstLineChars="200"/>
      <w:jc w:val="left"/>
      <w:outlineLvl w:val="0"/>
    </w:pPr>
    <w:rPr>
      <w:rFonts w:ascii="Arial" w:hAnsi="Arial" w:eastAsia="仿宋" w:cs="Times New Roman"/>
      <w:sz w:val="32"/>
      <w:szCs w:val="32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footnote reference"/>
    <w:basedOn w:val="15"/>
    <w:qFormat/>
    <w:uiPriority w:val="0"/>
    <w:rPr>
      <w:vertAlign w:val="superscript"/>
    </w:rPr>
  </w:style>
  <w:style w:type="paragraph" w:customStyle="1" w:styleId="18">
    <w:name w:val="_Style 3"/>
    <w:basedOn w:val="1"/>
    <w:next w:val="19"/>
    <w:unhideWhenUsed/>
    <w:qFormat/>
    <w:uiPriority w:val="99"/>
    <w:pPr>
      <w:spacing w:line="360" w:lineRule="auto"/>
      <w:ind w:firstLine="420" w:firstLineChars="200"/>
      <w:jc w:val="left"/>
    </w:pPr>
    <w:rPr>
      <w:rFonts w:ascii="Times New Roman" w:hAnsi="Times New Roman" w:eastAsia="仿宋"/>
      <w:sz w:val="32"/>
      <w:szCs w:val="24"/>
      <w:lang w:eastAsia="zh-TW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闻政封面项目信息"/>
    <w:basedOn w:val="1"/>
    <w:next w:val="21"/>
    <w:qFormat/>
    <w:uiPriority w:val="0"/>
    <w:pPr>
      <w:spacing w:before="120"/>
      <w:ind w:left="800" w:leftChars="800"/>
      <w:jc w:val="left"/>
    </w:pPr>
    <w:rPr>
      <w:rFonts w:ascii="Times New Roman" w:hAnsi="Times New Roman" w:eastAsia="黑体" w:cs="Times New Roman"/>
      <w:kern w:val="0"/>
      <w:sz w:val="28"/>
      <w:szCs w:val="28"/>
      <w:lang w:val="zh-CN"/>
    </w:rPr>
  </w:style>
  <w:style w:type="paragraph" w:customStyle="1" w:styleId="21">
    <w:name w:val="闻政封面完成时间"/>
    <w:basedOn w:val="20"/>
    <w:qFormat/>
    <w:uiPriority w:val="0"/>
    <w:pPr>
      <w:ind w:left="0" w:leftChars="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293</Words>
  <Characters>319</Characters>
  <Lines>0</Lines>
  <Paragraphs>0</Paragraphs>
  <TotalTime>154</TotalTime>
  <ScaleCrop>false</ScaleCrop>
  <LinksUpToDate>false</LinksUpToDate>
  <CharactersWithSpaces>335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2020-03-10T07:35:00Z</dcterms:created>
  <dc:creator>48933</dc:creator>
  <cp:lastModifiedBy>瑾王</cp:lastModifiedBy>
  <cp:lastPrinted>2023-12-13T08:53:00Z</cp:lastPrinted>
  <dcterms:modified xsi:type="dcterms:W3CDTF">2023-12-27T06:23:51Z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8DE3038A434742F7B5387C71F34C9F94_13</vt:lpwstr>
  </property>
</Properties>
</file>