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菏泽鲁西新区河道引调水工程项目</w:t>
      </w:r>
    </w:p>
    <w:p>
      <w:pPr>
        <w:adjustRightInd w:val="0"/>
        <w:snapToGrid w:val="0"/>
        <w:spacing w:line="0" w:lineRule="atLeast"/>
        <w:jc w:val="center"/>
        <w:rPr>
          <w:rFonts w:ascii="方正小标宋简体" w:hAnsi="方正小标宋简体" w:eastAsia="方正小标宋简体" w:cs="方正小标宋简体"/>
          <w:bCs/>
          <w:sz w:val="72"/>
          <w:szCs w:val="72"/>
          <w:lang w:val="zh-CN"/>
        </w:rPr>
      </w:pPr>
      <w:r>
        <w:rPr>
          <w:rFonts w:hint="eastAsia" w:ascii="方正小标宋简体" w:hAnsi="方正小标宋简体" w:eastAsia="方正小标宋简体" w:cs="方正小标宋简体"/>
          <w:bCs/>
          <w:sz w:val="44"/>
          <w:szCs w:val="44"/>
          <w:lang w:val="zh-CN"/>
        </w:rPr>
        <w:t>绩效评价报告</w:t>
      </w:r>
    </w:p>
    <w:p>
      <w:pPr>
        <w:adjustRightInd w:val="0"/>
        <w:snapToGrid w:val="0"/>
        <w:spacing w:line="560" w:lineRule="exact"/>
        <w:rPr>
          <w:rFonts w:ascii="黑体" w:hAnsi="黑体" w:eastAsia="黑体" w:cs="黑体"/>
          <w:bCs/>
          <w:sz w:val="32"/>
          <w:szCs w:val="32"/>
        </w:rPr>
      </w:pPr>
    </w:p>
    <w:p>
      <w:pPr>
        <w:numPr>
          <w:ilvl w:val="0"/>
          <w:numId w:val="1"/>
        </w:numPr>
        <w:adjustRightInd w:val="0"/>
        <w:snapToGrid w:val="0"/>
        <w:spacing w:line="560" w:lineRule="exact"/>
        <w:ind w:firstLine="640" w:firstLineChars="200"/>
        <w:outlineLvl w:val="0"/>
        <w:rPr>
          <w:rFonts w:ascii="黑体" w:hAnsi="黑体" w:eastAsia="黑体" w:cs="黑体"/>
          <w:bCs/>
          <w:sz w:val="32"/>
          <w:szCs w:val="32"/>
        </w:rPr>
      </w:pPr>
      <w:r>
        <w:rPr>
          <w:rFonts w:hint="eastAsia" w:ascii="黑体" w:hAnsi="黑体" w:eastAsia="黑体" w:cs="黑体"/>
          <w:sz w:val="32"/>
          <w:szCs w:val="32"/>
        </w:rPr>
        <w:t>项目</w:t>
      </w:r>
      <w:r>
        <w:rPr>
          <w:rFonts w:hint="eastAsia" w:ascii="黑体" w:hAnsi="黑体" w:eastAsia="黑体" w:cs="黑体"/>
          <w:bCs/>
          <w:sz w:val="32"/>
          <w:szCs w:val="32"/>
        </w:rPr>
        <w:t>基本情况</w:t>
      </w:r>
    </w:p>
    <w:p>
      <w:pPr>
        <w:pStyle w:val="2"/>
        <w:spacing w:line="560" w:lineRule="exact"/>
        <w:ind w:firstLine="640"/>
        <w:outlineLvl w:val="1"/>
      </w:pPr>
      <w:r>
        <w:rPr>
          <w:rFonts w:hint="eastAsia" w:ascii="楷体" w:hAnsi="楷体" w:eastAsia="楷体" w:cs="楷体"/>
        </w:rPr>
        <w:t>（一）项目概况</w:t>
      </w:r>
    </w:p>
    <w:p>
      <w:pPr>
        <w:adjustRightInd w:val="0"/>
        <w:snapToGrid w:val="0"/>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1.立项背景</w:t>
      </w:r>
    </w:p>
    <w:p>
      <w:pPr>
        <w:pStyle w:val="2"/>
        <w:spacing w:line="560" w:lineRule="exact"/>
        <w:ind w:firstLine="640"/>
        <w:jc w:val="both"/>
        <w:outlineLvl w:val="9"/>
        <w:rPr>
          <w:rFonts w:ascii="仿宋_GB2312" w:eastAsia="仿宋_GB2312"/>
        </w:rPr>
      </w:pPr>
      <w:r>
        <w:rPr>
          <w:rFonts w:hint="eastAsia" w:ascii="仿宋_GB2312" w:eastAsia="仿宋_GB2312"/>
        </w:rPr>
        <w:t>菏泽地区水资源严重短缺，水资源保障先天不足。受地理位置、大气环流等因素影响，降水量年际变化较大，降水区域分布不均。总体来讲菏泽西南部水资源较丰富，东北部水资源较匮乏，尤其是丰水期，由于缺少贯通两区域的引调水工程，使得西南部水资源极难输送到东北部地区。同时，由于地下水资源超采严重，菏泽市大部分地区被划为深层地下水禁采区，使鲁西新区等菏泽市东北区域水资源更加匮乏。再者，原有杨湖、张湾和史庄节制闸损毁较为严重，难以满足雨季汛期行洪需求。</w:t>
      </w:r>
      <w:r>
        <w:rPr>
          <w:rFonts w:hint="eastAsia" w:cs="Times New Roman"/>
          <w:szCs w:val="32"/>
        </w:rPr>
        <w:t>为解决鲁西新区等东北区域的水资源短缺问题和保障杨湖、张湾和史庄节制闸的行洪需求，</w:t>
      </w:r>
      <w:r>
        <w:rPr>
          <w:rFonts w:hint="eastAsia" w:cs="Times New Roman"/>
          <w:szCs w:val="32"/>
          <w:lang w:val="en-US" w:eastAsia="zh-CN"/>
        </w:rPr>
        <w:t>山东省人民政府把</w:t>
      </w:r>
      <w:r>
        <w:rPr>
          <w:rFonts w:hint="eastAsia" w:cs="Times New Roman"/>
          <w:szCs w:val="32"/>
        </w:rPr>
        <w:t>鲁西新区河道引调水工程</w:t>
      </w:r>
      <w:r>
        <w:rPr>
          <w:rFonts w:hint="eastAsia" w:cs="Times New Roman"/>
          <w:szCs w:val="32"/>
          <w:lang w:val="en-US" w:eastAsia="zh-CN"/>
        </w:rPr>
        <w:t>列入省重点水利工程建设项目，省级财政按照政策给予一定补助，该项补助由菏泽市人民政府发行专项债券，省级财政还本付息，其他资金由市级筹措</w:t>
      </w:r>
      <w:r>
        <w:rPr>
          <w:rFonts w:hint="eastAsia" w:cs="Times New Roman"/>
          <w:szCs w:val="32"/>
        </w:rPr>
        <w:t>。菏泽市河湖流域工程管理服务中心按照菏泽市人民政府赋予的职责分工，为该项目的实施单位。</w:t>
      </w:r>
    </w:p>
    <w:p>
      <w:pPr>
        <w:pStyle w:val="2"/>
        <w:spacing w:line="560" w:lineRule="exact"/>
        <w:ind w:firstLine="640"/>
        <w:outlineLvl w:val="2"/>
        <w:rPr>
          <w:rFonts w:ascii="仿宋_GB2312" w:hAnsi="仿宋_GB2312" w:eastAsia="仿宋_GB2312" w:cs="仿宋_GB2312"/>
          <w:b/>
          <w:bCs/>
        </w:rPr>
      </w:pPr>
      <w:r>
        <w:rPr>
          <w:rFonts w:hint="eastAsia" w:ascii="仿宋_GB2312" w:hAnsi="仿宋_GB2312" w:eastAsia="仿宋_GB2312" w:cs="仿宋_GB2312"/>
          <w:b/>
          <w:bCs/>
        </w:rPr>
        <w:t>2.实施内容</w:t>
      </w:r>
    </w:p>
    <w:p>
      <w:pPr>
        <w:pStyle w:val="2"/>
        <w:spacing w:line="560" w:lineRule="exact"/>
        <w:ind w:firstLine="640"/>
        <w:jc w:val="both"/>
        <w:outlineLvl w:val="9"/>
        <w:rPr>
          <w:rFonts w:ascii="仿宋_GB2312" w:eastAsia="仿宋_GB2312"/>
        </w:rPr>
      </w:pPr>
      <w:r>
        <w:rPr>
          <w:rFonts w:hint="eastAsia" w:ascii="仿宋_GB2312" w:eastAsia="仿宋_GB2312"/>
        </w:rPr>
        <w:t>项目主要建设内容：万福河</w:t>
      </w:r>
      <w:r>
        <w:rPr>
          <w:rFonts w:ascii="仿宋_GB2312" w:eastAsia="仿宋_GB2312"/>
        </w:rPr>
        <w:t>(日兰高速至裴河闸)河道综合治理工程</w:t>
      </w:r>
      <w:r>
        <w:rPr>
          <w:rFonts w:hint="eastAsia" w:ascii="仿宋_GB2312" w:eastAsia="仿宋_GB2312"/>
        </w:rPr>
        <w:t>、</w:t>
      </w:r>
      <w:r>
        <w:rPr>
          <w:rFonts w:ascii="仿宋_GB2312" w:eastAsia="仿宋_GB2312"/>
        </w:rPr>
        <w:t>张湾节制闸除险加固工程、杨湖节制闸除险加固工程、史庄节制闸除险加固工程。截至2022年12月31日，杨湖节制闸除险加固工程已完工待验收，其余工程形象进度均超过80%。</w:t>
      </w:r>
    </w:p>
    <w:p>
      <w:pPr>
        <w:adjustRightInd w:val="0"/>
        <w:snapToGrid w:val="0"/>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3.组织实施</w:t>
      </w:r>
    </w:p>
    <w:p>
      <w:pPr>
        <w:pStyle w:val="2"/>
        <w:spacing w:line="560" w:lineRule="exact"/>
        <w:ind w:firstLine="640"/>
        <w:jc w:val="both"/>
        <w:outlineLvl w:val="9"/>
        <w:rPr>
          <w:rFonts w:ascii="仿宋_GB2312" w:eastAsia="仿宋_GB2312"/>
        </w:rPr>
      </w:pPr>
      <w:r>
        <w:rPr>
          <w:rFonts w:hint="eastAsia" w:ascii="仿宋_GB2312" w:eastAsia="仿宋_GB2312"/>
        </w:rPr>
        <w:t>本项目主管部门为菏泽市水务局，实施单位为菏泽市河湖流域工程管理服务中心，工程资金拨付单位为菏泽市财政局。</w:t>
      </w:r>
    </w:p>
    <w:p>
      <w:pPr>
        <w:adjustRightInd w:val="0"/>
        <w:snapToGrid w:val="0"/>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4.资金投入和使用情况</w:t>
      </w:r>
    </w:p>
    <w:p>
      <w:pPr>
        <w:pStyle w:val="2"/>
        <w:spacing w:line="560" w:lineRule="exact"/>
        <w:ind w:firstLine="640"/>
        <w:jc w:val="both"/>
        <w:outlineLvl w:val="9"/>
        <w:rPr>
          <w:rFonts w:ascii="仿宋_GB2312" w:eastAsia="仿宋_GB2312"/>
        </w:rPr>
      </w:pPr>
      <w:r>
        <w:rPr>
          <w:rFonts w:hint="eastAsia" w:ascii="仿宋_GB2312" w:eastAsia="仿宋_GB2312"/>
        </w:rPr>
        <w:t>2</w:t>
      </w:r>
      <w:r>
        <w:rPr>
          <w:rFonts w:ascii="仿宋_GB2312" w:eastAsia="仿宋_GB2312"/>
        </w:rPr>
        <w:t>022</w:t>
      </w:r>
      <w:r>
        <w:rPr>
          <w:rFonts w:hint="eastAsia" w:ascii="仿宋_GB2312" w:eastAsia="仿宋_GB2312"/>
        </w:rPr>
        <w:t>年安排专项债券资金7</w:t>
      </w:r>
      <w:r>
        <w:rPr>
          <w:rFonts w:ascii="仿宋_GB2312" w:eastAsia="仿宋_GB2312"/>
        </w:rPr>
        <w:t>400</w:t>
      </w:r>
      <w:r>
        <w:rPr>
          <w:rFonts w:hint="eastAsia" w:ascii="仿宋_GB2312" w:eastAsia="仿宋_GB2312"/>
        </w:rPr>
        <w:t>万元，截至</w:t>
      </w:r>
      <w:r>
        <w:rPr>
          <w:rFonts w:ascii="仿宋_GB2312" w:eastAsia="仿宋_GB2312"/>
        </w:rPr>
        <w:t>2022年12月31日，已发行债券资金7400万元。</w:t>
      </w:r>
      <w:r>
        <w:rPr>
          <w:rFonts w:hint="eastAsia" w:ascii="仿宋_GB2312" w:eastAsia="仿宋_GB2312"/>
        </w:rPr>
        <w:t>截至</w:t>
      </w:r>
      <w:r>
        <w:rPr>
          <w:rFonts w:ascii="仿宋_GB2312" w:eastAsia="仿宋_GB2312"/>
        </w:rPr>
        <w:t>2022年12月31日，</w:t>
      </w:r>
      <w:r>
        <w:rPr>
          <w:rFonts w:hint="eastAsia" w:ascii="仿宋_GB2312" w:eastAsia="仿宋_GB2312"/>
        </w:rPr>
        <w:t>项目到位</w:t>
      </w:r>
      <w:r>
        <w:rPr>
          <w:rFonts w:ascii="仿宋_GB2312" w:eastAsia="仿宋_GB2312"/>
        </w:rPr>
        <w:t>专项债券资金7400万元，均拨付至施工方、监理咨询方等，预算执行率为100%</w:t>
      </w:r>
      <w:r>
        <w:rPr>
          <w:rFonts w:hint="eastAsia" w:ascii="仿宋_GB2312" w:eastAsia="仿宋_GB2312"/>
        </w:rPr>
        <w:t>。</w:t>
      </w:r>
    </w:p>
    <w:p>
      <w:pPr>
        <w:adjustRightInd w:val="0"/>
        <w:snapToGrid w:val="0"/>
        <w:spacing w:line="560" w:lineRule="exact"/>
        <w:ind w:firstLine="640" w:firstLineChars="200"/>
        <w:outlineLvl w:val="1"/>
        <w:rPr>
          <w:rFonts w:ascii="楷体" w:hAnsi="楷体" w:eastAsia="楷体" w:cs="楷体"/>
          <w:sz w:val="32"/>
          <w:szCs w:val="32"/>
        </w:rPr>
      </w:pPr>
      <w:r>
        <w:rPr>
          <w:rFonts w:hint="eastAsia" w:ascii="楷体" w:hAnsi="楷体" w:eastAsia="楷体" w:cs="楷体"/>
          <w:sz w:val="32"/>
          <w:szCs w:val="32"/>
        </w:rPr>
        <w:t>（二）绩效目标</w:t>
      </w:r>
    </w:p>
    <w:p>
      <w:pPr>
        <w:adjustRightInd w:val="0"/>
        <w:snapToGrid w:val="0"/>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1.总体绩效目标</w:t>
      </w:r>
    </w:p>
    <w:p>
      <w:pPr>
        <w:pStyle w:val="2"/>
        <w:spacing w:line="560" w:lineRule="exact"/>
        <w:ind w:firstLine="640"/>
        <w:jc w:val="both"/>
        <w:outlineLvl w:val="9"/>
        <w:rPr>
          <w:rFonts w:ascii="仿宋_GB2312" w:eastAsia="仿宋_GB2312"/>
        </w:rPr>
      </w:pPr>
      <w:r>
        <w:rPr>
          <w:rFonts w:hint="eastAsia" w:ascii="仿宋_GB2312" w:eastAsia="仿宋_GB2312"/>
        </w:rPr>
        <w:t>通过开展菏泽鲁西新区河道引调水工程，进一步均衡菏泽市区域生产和生活水资源分配，同时完善雨洪资源和灌溉尾水的收集调蓄再利用体系，提高水资源利用效率，推动区域经济可持续发展，提高河道管理管护水平，保障水利设施安全运行，确保河道行洪安全。</w:t>
      </w:r>
    </w:p>
    <w:p>
      <w:pPr>
        <w:adjustRightInd w:val="0"/>
        <w:snapToGrid w:val="0"/>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2.年度绩效目标</w:t>
      </w:r>
    </w:p>
    <w:p>
      <w:pPr>
        <w:pStyle w:val="2"/>
        <w:spacing w:line="560" w:lineRule="exact"/>
        <w:ind w:firstLine="640"/>
        <w:jc w:val="both"/>
        <w:outlineLvl w:val="9"/>
        <w:rPr>
          <w:rFonts w:ascii="仿宋_GB2312" w:eastAsia="仿宋_GB2312"/>
        </w:rPr>
      </w:pPr>
      <w:r>
        <w:rPr>
          <w:rFonts w:ascii="仿宋_GB2312" w:eastAsia="仿宋_GB2312"/>
        </w:rPr>
        <w:t>2022年度菏泽鲁西新区河道引调水工程计划利用7400万元专项债券资金完成杨湖闸除险加固工程，推进万福河（日兰高速至闸河）综合治理工程，东鱼河张湾节制闸除险加固工程、洙赵新河史庄节制闸除险加固工程主体工程建设，完成工程阶段验收，提高河道管理管护水平，减少地区洪涝损失。</w:t>
      </w:r>
    </w:p>
    <w:p>
      <w:pPr>
        <w:pStyle w:val="2"/>
        <w:spacing w:line="560" w:lineRule="exact"/>
        <w:ind w:firstLine="640"/>
        <w:rPr>
          <w:rFonts w:ascii="黑体" w:hAnsi="黑体" w:eastAsia="黑体" w:cs="黑体"/>
          <w:bCs/>
        </w:rPr>
      </w:pPr>
      <w:r>
        <w:rPr>
          <w:rFonts w:hint="eastAsia" w:ascii="黑体" w:hAnsi="黑体" w:eastAsia="黑体" w:cs="黑体"/>
          <w:bCs/>
        </w:rPr>
        <w:t>二、评价基本情况</w:t>
      </w:r>
    </w:p>
    <w:p>
      <w:pPr>
        <w:adjustRightInd w:val="0"/>
        <w:snapToGrid w:val="0"/>
        <w:spacing w:line="560" w:lineRule="exact"/>
        <w:ind w:firstLine="640" w:firstLineChars="200"/>
        <w:outlineLvl w:val="1"/>
        <w:rPr>
          <w:rFonts w:ascii="楷体" w:hAnsi="楷体" w:eastAsia="楷体" w:cs="楷体"/>
          <w:sz w:val="32"/>
          <w:szCs w:val="32"/>
        </w:rPr>
      </w:pPr>
      <w:r>
        <w:rPr>
          <w:rFonts w:hint="eastAsia" w:ascii="楷体" w:hAnsi="楷体" w:eastAsia="楷体" w:cs="楷体"/>
          <w:sz w:val="32"/>
          <w:szCs w:val="32"/>
        </w:rPr>
        <w:t>（一）绩效评价目的、对象和范围</w:t>
      </w:r>
    </w:p>
    <w:p>
      <w:pPr>
        <w:adjustRightInd w:val="0"/>
        <w:snapToGrid w:val="0"/>
        <w:spacing w:line="560" w:lineRule="exact"/>
        <w:ind w:firstLine="643" w:firstLineChars="200"/>
        <w:outlineLvl w:val="2"/>
        <w:rPr>
          <w:rFonts w:ascii="仿宋_GB2312" w:hAnsi="仿宋_GB2312" w:eastAsia="仿宋_GB2312" w:cs="仿宋_GB2312"/>
          <w:b/>
          <w:bCs/>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.评价目的</w:t>
      </w:r>
    </w:p>
    <w:p>
      <w:pPr>
        <w:pStyle w:val="2"/>
        <w:spacing w:line="560" w:lineRule="exact"/>
        <w:ind w:firstLine="640"/>
        <w:jc w:val="both"/>
        <w:outlineLvl w:val="9"/>
        <w:rPr>
          <w:rFonts w:ascii="仿宋_GB2312" w:eastAsia="仿宋_GB2312"/>
        </w:rPr>
      </w:pPr>
      <w:r>
        <w:rPr>
          <w:rFonts w:hint="eastAsia" w:ascii="仿宋_GB2312" w:eastAsia="仿宋_GB2312"/>
        </w:rPr>
        <w:t>本次项目绩效评价目的</w:t>
      </w:r>
      <w:r>
        <w:rPr>
          <w:rFonts w:hint="eastAsia" w:ascii="仿宋_GB2312" w:eastAsia="仿宋_GB2312"/>
          <w:lang w:val="en-US" w:eastAsia="zh-CN"/>
        </w:rPr>
        <w:t>是</w:t>
      </w:r>
      <w:r>
        <w:rPr>
          <w:rFonts w:ascii="仿宋_GB2312" w:eastAsia="仿宋_GB2312"/>
        </w:rPr>
        <w:t>对政府专项债券资金的相关性、效率、效益、成本、支撑能力和债务风险进行客观、公正的评价</w:t>
      </w:r>
      <w:r>
        <w:rPr>
          <w:rFonts w:hint="eastAsia" w:ascii="仿宋_GB2312" w:eastAsia="仿宋_GB2312"/>
        </w:rPr>
        <w:t>。</w:t>
      </w:r>
    </w:p>
    <w:p>
      <w:pPr>
        <w:adjustRightInd w:val="0"/>
        <w:snapToGrid w:val="0"/>
        <w:spacing w:line="560" w:lineRule="exact"/>
        <w:ind w:firstLine="643" w:firstLineChars="200"/>
        <w:outlineLvl w:val="2"/>
        <w:rPr>
          <w:rFonts w:ascii="仿宋_GB2312" w:hAnsi="仿宋_GB2312" w:eastAsia="仿宋_GB2312" w:cs="仿宋_GB2312"/>
          <w:b/>
          <w:bCs/>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.评价对象和范围</w:t>
      </w:r>
    </w:p>
    <w:p>
      <w:pPr>
        <w:pStyle w:val="2"/>
        <w:spacing w:line="560" w:lineRule="exact"/>
        <w:ind w:firstLine="640"/>
        <w:jc w:val="both"/>
        <w:outlineLvl w:val="9"/>
        <w:rPr>
          <w:rFonts w:ascii="仿宋_GB2312" w:eastAsia="仿宋_GB2312"/>
        </w:rPr>
      </w:pPr>
      <w:r>
        <w:rPr>
          <w:rFonts w:hint="eastAsia" w:ascii="仿宋_GB2312" w:eastAsia="仿宋_GB2312"/>
        </w:rPr>
        <w:t>本次项目绩效评价对象为2</w:t>
      </w:r>
      <w:r>
        <w:rPr>
          <w:rFonts w:ascii="仿宋_GB2312" w:eastAsia="仿宋_GB2312"/>
        </w:rPr>
        <w:t>022</w:t>
      </w:r>
      <w:r>
        <w:rPr>
          <w:rFonts w:hint="eastAsia" w:ascii="仿宋_GB2312" w:eastAsia="仿宋_GB2312"/>
        </w:rPr>
        <w:t>年度</w:t>
      </w:r>
      <w:r>
        <w:rPr>
          <w:rFonts w:ascii="仿宋_GB2312" w:eastAsia="仿宋_GB2312"/>
        </w:rPr>
        <w:t>菏泽鲁西新区河道引调水工程项目专项债券资金7400万元。</w:t>
      </w:r>
    </w:p>
    <w:p>
      <w:pPr>
        <w:adjustRightInd w:val="0"/>
        <w:snapToGrid w:val="0"/>
        <w:spacing w:line="560" w:lineRule="exact"/>
        <w:ind w:firstLine="640" w:firstLineChars="200"/>
        <w:outlineLvl w:val="1"/>
        <w:rPr>
          <w:rFonts w:ascii="楷体" w:hAnsi="楷体" w:eastAsia="楷体" w:cs="楷体"/>
          <w:sz w:val="32"/>
          <w:szCs w:val="32"/>
        </w:rPr>
      </w:pPr>
      <w:r>
        <w:rPr>
          <w:rFonts w:hint="eastAsia" w:ascii="楷体" w:hAnsi="楷体" w:eastAsia="楷体" w:cs="楷体"/>
          <w:sz w:val="32"/>
          <w:szCs w:val="32"/>
        </w:rPr>
        <w:t>（二）绩效评价指标体系</w:t>
      </w:r>
    </w:p>
    <w:p>
      <w:pPr>
        <w:pStyle w:val="2"/>
        <w:spacing w:line="560" w:lineRule="exact"/>
        <w:ind w:firstLine="640"/>
        <w:jc w:val="both"/>
        <w:outlineLvl w:val="9"/>
        <w:rPr>
          <w:rFonts w:ascii="仿宋_GB2312" w:eastAsia="仿宋_GB2312"/>
        </w:rPr>
      </w:pPr>
      <w:r>
        <w:rPr>
          <w:rFonts w:hint="eastAsia" w:ascii="仿宋_GB2312" w:eastAsia="仿宋_GB2312"/>
        </w:rPr>
        <w:t>本项目按照《山东省政府专项债券项目资金绩效管理办法》设置评价指标体系，从决策、过程、产出和效益四个方面，设置一级指标</w:t>
      </w:r>
      <w:r>
        <w:rPr>
          <w:rFonts w:ascii="仿宋_GB2312" w:eastAsia="仿宋_GB2312"/>
        </w:rPr>
        <w:t>4个、二级指标14个</w:t>
      </w:r>
      <w:r>
        <w:rPr>
          <w:rFonts w:hint="eastAsia" w:ascii="仿宋_GB2312" w:eastAsia="仿宋_GB2312"/>
        </w:rPr>
        <w:t>、</w:t>
      </w:r>
      <w:r>
        <w:rPr>
          <w:rFonts w:ascii="仿宋_GB2312" w:eastAsia="仿宋_GB2312"/>
        </w:rPr>
        <w:t>三级指标25个。</w:t>
      </w:r>
    </w:p>
    <w:p>
      <w:pPr>
        <w:pStyle w:val="2"/>
        <w:spacing w:line="560" w:lineRule="exact"/>
        <w:ind w:firstLine="640"/>
        <w:rPr>
          <w:rFonts w:ascii="黑体" w:hAnsi="黑体" w:eastAsia="黑体" w:cs="黑体"/>
        </w:rPr>
      </w:pPr>
      <w:r>
        <w:rPr>
          <w:rFonts w:hint="eastAsia" w:ascii="黑体" w:hAnsi="黑体" w:eastAsia="黑体" w:cs="黑体"/>
        </w:rPr>
        <w:t>三、绩效评价结论</w:t>
      </w:r>
    </w:p>
    <w:p>
      <w:pPr>
        <w:adjustRightInd w:val="0"/>
        <w:snapToGrid w:val="0"/>
        <w:spacing w:line="560" w:lineRule="exact"/>
        <w:ind w:firstLine="640" w:firstLineChars="200"/>
        <w:outlineLvl w:val="1"/>
        <w:rPr>
          <w:rFonts w:ascii="楷体" w:hAnsi="楷体" w:eastAsia="楷体" w:cs="楷体"/>
          <w:sz w:val="32"/>
          <w:szCs w:val="32"/>
        </w:rPr>
      </w:pPr>
      <w:bookmarkStart w:id="0" w:name="_Toc151992682"/>
      <w:r>
        <w:rPr>
          <w:rFonts w:hint="eastAsia" w:ascii="楷体" w:hAnsi="楷体" w:eastAsia="楷体" w:cs="楷体"/>
          <w:sz w:val="32"/>
          <w:szCs w:val="32"/>
        </w:rPr>
        <w:t>（一）综合评价结论</w:t>
      </w:r>
      <w:bookmarkEnd w:id="0"/>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2022年菏泽鲁西新区河道引调水工程项目绩效得分81.6分，绩效等级为“良”。具体情况详见下表。</w:t>
      </w:r>
    </w:p>
    <w:p>
      <w:pPr>
        <w:snapToGrid w:val="0"/>
        <w:spacing w:line="560" w:lineRule="exact"/>
        <w:jc w:val="center"/>
        <w:rPr>
          <w:rFonts w:ascii="Times New Roman" w:hAnsi="Times New Roman" w:eastAsia="黑体"/>
          <w:sz w:val="24"/>
          <w:szCs w:val="32"/>
        </w:rPr>
      </w:pPr>
      <w:r>
        <w:rPr>
          <w:rFonts w:hint="eastAsia" w:ascii="Times New Roman" w:hAnsi="Times New Roman" w:eastAsia="黑体"/>
          <w:sz w:val="24"/>
          <w:szCs w:val="32"/>
        </w:rPr>
        <w:t>项目综合绩效评价得分情况表</w:t>
      </w:r>
    </w:p>
    <w:tbl>
      <w:tblPr>
        <w:tblStyle w:val="10"/>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9"/>
        <w:gridCol w:w="2127"/>
        <w:gridCol w:w="2069"/>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0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评价指标</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权重（%）</w:t>
            </w:r>
          </w:p>
        </w:tc>
        <w:tc>
          <w:tcPr>
            <w:tcW w:w="20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评价得分</w:t>
            </w:r>
          </w:p>
        </w:tc>
        <w:tc>
          <w:tcPr>
            <w:tcW w:w="22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评价分值占比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1.决策</w:t>
            </w:r>
          </w:p>
        </w:tc>
        <w:tc>
          <w:tcPr>
            <w:tcW w:w="212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_GB2312" w:hAnsi="仿宋" w:eastAsia="仿宋_GB2312" w:cs="仿宋"/>
                <w:kern w:val="0"/>
                <w:sz w:val="30"/>
                <w:szCs w:val="30"/>
              </w:rPr>
            </w:pPr>
            <w:r>
              <w:rPr>
                <w:rFonts w:hint="eastAsia" w:ascii="仿宋_GB2312" w:hAnsi="宋体" w:eastAsia="仿宋_GB2312"/>
                <w:color w:val="000000"/>
                <w:kern w:val="0"/>
                <w:sz w:val="30"/>
                <w:szCs w:val="30"/>
              </w:rPr>
              <w:t>15</w:t>
            </w:r>
          </w:p>
        </w:tc>
        <w:tc>
          <w:tcPr>
            <w:tcW w:w="20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_GB2312" w:hAnsi="仿宋" w:eastAsia="仿宋_GB2312" w:cs="仿宋"/>
                <w:kern w:val="0"/>
                <w:sz w:val="30"/>
                <w:szCs w:val="30"/>
              </w:rPr>
            </w:pPr>
            <w:r>
              <w:rPr>
                <w:rFonts w:hint="eastAsia" w:ascii="仿宋_GB2312" w:hAnsi="宋体" w:eastAsia="仿宋_GB2312"/>
                <w:color w:val="000000"/>
                <w:kern w:val="0"/>
                <w:sz w:val="30"/>
                <w:szCs w:val="30"/>
              </w:rPr>
              <w:t>11.6</w:t>
            </w:r>
          </w:p>
        </w:tc>
        <w:tc>
          <w:tcPr>
            <w:tcW w:w="2239"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bottom"/>
              <w:rPr>
                <w:rFonts w:ascii="仿宋_GB2312" w:hAnsi="仿宋" w:eastAsia="仿宋_GB2312" w:cs="仿宋"/>
                <w:kern w:val="0"/>
                <w:sz w:val="30"/>
                <w:szCs w:val="30"/>
              </w:rPr>
            </w:pPr>
            <w:r>
              <w:rPr>
                <w:rFonts w:hint="eastAsia" w:ascii="仿宋_GB2312" w:hAnsi="宋体" w:eastAsia="仿宋_GB2312"/>
                <w:color w:val="000000"/>
                <w:kern w:val="0"/>
                <w:sz w:val="30"/>
                <w:szCs w:val="30"/>
              </w:rPr>
              <w:t>77.33%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2.过程</w:t>
            </w:r>
          </w:p>
        </w:tc>
        <w:tc>
          <w:tcPr>
            <w:tcW w:w="212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_GB2312" w:hAnsi="仿宋" w:eastAsia="仿宋_GB2312" w:cs="仿宋"/>
                <w:kern w:val="0"/>
                <w:sz w:val="30"/>
                <w:szCs w:val="30"/>
              </w:rPr>
            </w:pPr>
            <w:r>
              <w:rPr>
                <w:rFonts w:hint="eastAsia" w:ascii="仿宋_GB2312" w:hAnsi="宋体" w:eastAsia="仿宋_GB2312"/>
                <w:color w:val="000000"/>
                <w:kern w:val="0"/>
                <w:sz w:val="30"/>
                <w:szCs w:val="30"/>
              </w:rPr>
              <w:t>45</w:t>
            </w:r>
          </w:p>
        </w:tc>
        <w:tc>
          <w:tcPr>
            <w:tcW w:w="20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_GB2312" w:hAnsi="仿宋" w:eastAsia="仿宋_GB2312" w:cs="仿宋"/>
                <w:kern w:val="0"/>
                <w:sz w:val="30"/>
                <w:szCs w:val="30"/>
              </w:rPr>
            </w:pPr>
            <w:r>
              <w:rPr>
                <w:rFonts w:hint="eastAsia" w:ascii="仿宋_GB2312" w:hAnsi="宋体" w:eastAsia="仿宋_GB2312"/>
                <w:color w:val="000000"/>
                <w:kern w:val="0"/>
                <w:sz w:val="30"/>
                <w:szCs w:val="30"/>
              </w:rPr>
              <w:t>34</w:t>
            </w:r>
          </w:p>
        </w:tc>
        <w:tc>
          <w:tcPr>
            <w:tcW w:w="2239"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bottom"/>
              <w:rPr>
                <w:rFonts w:ascii="仿宋_GB2312" w:hAnsi="仿宋" w:eastAsia="仿宋_GB2312" w:cs="仿宋"/>
                <w:kern w:val="0"/>
                <w:sz w:val="30"/>
                <w:szCs w:val="30"/>
              </w:rPr>
            </w:pPr>
            <w:r>
              <w:rPr>
                <w:rFonts w:hint="eastAsia" w:ascii="仿宋_GB2312" w:hAnsi="宋体" w:eastAsia="仿宋_GB2312"/>
                <w:color w:val="000000"/>
                <w:kern w:val="0"/>
                <w:sz w:val="30"/>
                <w:szCs w:val="30"/>
              </w:rPr>
              <w:t>75.56%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3.产出</w:t>
            </w:r>
          </w:p>
        </w:tc>
        <w:tc>
          <w:tcPr>
            <w:tcW w:w="212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_GB2312" w:hAnsi="仿宋" w:eastAsia="仿宋_GB2312" w:cs="仿宋"/>
                <w:kern w:val="0"/>
                <w:sz w:val="30"/>
                <w:szCs w:val="30"/>
              </w:rPr>
            </w:pPr>
            <w:r>
              <w:rPr>
                <w:rFonts w:hint="eastAsia" w:ascii="仿宋_GB2312" w:hAnsi="宋体" w:eastAsia="仿宋_GB2312"/>
                <w:color w:val="000000"/>
                <w:kern w:val="0"/>
                <w:sz w:val="30"/>
                <w:szCs w:val="30"/>
              </w:rPr>
              <w:t>30</w:t>
            </w:r>
          </w:p>
        </w:tc>
        <w:tc>
          <w:tcPr>
            <w:tcW w:w="20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_GB2312" w:hAnsi="仿宋" w:eastAsia="仿宋_GB2312" w:cs="仿宋"/>
                <w:kern w:val="0"/>
                <w:sz w:val="30"/>
                <w:szCs w:val="30"/>
              </w:rPr>
            </w:pPr>
            <w:r>
              <w:rPr>
                <w:rFonts w:hint="eastAsia" w:ascii="仿宋_GB2312" w:hAnsi="宋体" w:eastAsia="仿宋_GB2312"/>
                <w:color w:val="000000"/>
                <w:kern w:val="0"/>
                <w:sz w:val="30"/>
                <w:szCs w:val="30"/>
              </w:rPr>
              <w:t>28</w:t>
            </w:r>
          </w:p>
        </w:tc>
        <w:tc>
          <w:tcPr>
            <w:tcW w:w="2239"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bottom"/>
              <w:rPr>
                <w:rFonts w:ascii="仿宋_GB2312" w:hAnsi="仿宋" w:eastAsia="仿宋_GB2312" w:cs="仿宋"/>
                <w:kern w:val="0"/>
                <w:sz w:val="30"/>
                <w:szCs w:val="30"/>
              </w:rPr>
            </w:pPr>
            <w:r>
              <w:rPr>
                <w:rFonts w:hint="eastAsia" w:ascii="仿宋_GB2312" w:hAnsi="宋体" w:eastAsia="仿宋_GB2312"/>
                <w:color w:val="000000"/>
                <w:kern w:val="0"/>
                <w:sz w:val="30"/>
                <w:szCs w:val="30"/>
              </w:rPr>
              <w:t>93.33%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4.效益</w:t>
            </w:r>
          </w:p>
        </w:tc>
        <w:tc>
          <w:tcPr>
            <w:tcW w:w="212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_GB2312" w:hAnsi="仿宋" w:eastAsia="仿宋_GB2312" w:cs="仿宋"/>
                <w:kern w:val="0"/>
                <w:sz w:val="30"/>
                <w:szCs w:val="30"/>
              </w:rPr>
            </w:pPr>
            <w:r>
              <w:rPr>
                <w:rFonts w:hint="eastAsia" w:ascii="仿宋_GB2312" w:hAnsi="宋体" w:eastAsia="仿宋_GB2312"/>
                <w:color w:val="000000"/>
                <w:kern w:val="0"/>
                <w:sz w:val="30"/>
                <w:szCs w:val="30"/>
              </w:rPr>
              <w:t>10</w:t>
            </w:r>
          </w:p>
        </w:tc>
        <w:tc>
          <w:tcPr>
            <w:tcW w:w="20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_GB2312" w:hAnsi="仿宋" w:eastAsia="仿宋_GB2312" w:cs="仿宋"/>
                <w:kern w:val="0"/>
                <w:sz w:val="30"/>
                <w:szCs w:val="30"/>
              </w:rPr>
            </w:pPr>
            <w:r>
              <w:rPr>
                <w:rFonts w:hint="eastAsia" w:ascii="仿宋_GB2312" w:hAnsi="宋体" w:eastAsia="仿宋_GB2312"/>
                <w:color w:val="000000"/>
                <w:kern w:val="0"/>
                <w:sz w:val="30"/>
                <w:szCs w:val="30"/>
              </w:rPr>
              <w:t>8</w:t>
            </w:r>
          </w:p>
        </w:tc>
        <w:tc>
          <w:tcPr>
            <w:tcW w:w="2239"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bottom"/>
              <w:rPr>
                <w:rFonts w:ascii="仿宋_GB2312" w:hAnsi="仿宋" w:eastAsia="仿宋_GB2312" w:cs="仿宋"/>
                <w:kern w:val="0"/>
                <w:sz w:val="30"/>
                <w:szCs w:val="30"/>
              </w:rPr>
            </w:pPr>
            <w:r>
              <w:rPr>
                <w:rFonts w:hint="eastAsia" w:ascii="仿宋_GB2312" w:hAnsi="宋体" w:eastAsia="仿宋_GB2312"/>
                <w:color w:val="000000"/>
                <w:kern w:val="0"/>
                <w:sz w:val="30"/>
                <w:szCs w:val="30"/>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 w:hAnsi="仿宋" w:eastAsia="仿宋" w:cs="仿宋"/>
                <w:kern w:val="0"/>
                <w:sz w:val="30"/>
                <w:szCs w:val="30"/>
              </w:rPr>
            </w:pPr>
            <w:r>
              <w:rPr>
                <w:rFonts w:hint="eastAsia" w:ascii="仿宋" w:hAnsi="仿宋" w:eastAsia="仿宋" w:cs="仿宋"/>
                <w:kern w:val="0"/>
                <w:sz w:val="30"/>
                <w:szCs w:val="30"/>
              </w:rPr>
              <w:t>综合绩效</w:t>
            </w:r>
          </w:p>
        </w:tc>
        <w:tc>
          <w:tcPr>
            <w:tcW w:w="212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_GB2312" w:hAnsi="仿宋" w:eastAsia="仿宋_GB2312" w:cs="仿宋"/>
                <w:kern w:val="0"/>
                <w:sz w:val="30"/>
                <w:szCs w:val="30"/>
              </w:rPr>
            </w:pPr>
            <w:r>
              <w:rPr>
                <w:rFonts w:hint="eastAsia" w:ascii="仿宋_GB2312" w:hAnsi="宋体" w:eastAsia="仿宋_GB2312"/>
                <w:b/>
                <w:bCs/>
                <w:color w:val="000000"/>
                <w:kern w:val="0"/>
                <w:sz w:val="30"/>
                <w:szCs w:val="30"/>
              </w:rPr>
              <w:t>100</w:t>
            </w:r>
          </w:p>
        </w:tc>
        <w:tc>
          <w:tcPr>
            <w:tcW w:w="20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560" w:lineRule="exact"/>
              <w:jc w:val="center"/>
              <w:rPr>
                <w:rFonts w:ascii="仿宋_GB2312" w:hAnsi="仿宋" w:eastAsia="仿宋_GB2312" w:cs="仿宋"/>
                <w:kern w:val="0"/>
                <w:sz w:val="30"/>
                <w:szCs w:val="30"/>
              </w:rPr>
            </w:pPr>
            <w:r>
              <w:rPr>
                <w:rFonts w:hint="eastAsia" w:ascii="仿宋_GB2312" w:hAnsi="宋体" w:eastAsia="仿宋_GB2312"/>
                <w:b/>
                <w:bCs/>
                <w:color w:val="000000"/>
                <w:kern w:val="0"/>
                <w:sz w:val="30"/>
                <w:szCs w:val="30"/>
              </w:rPr>
              <w:t>81.6</w:t>
            </w:r>
          </w:p>
        </w:tc>
        <w:tc>
          <w:tcPr>
            <w:tcW w:w="2239"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bottom"/>
              <w:rPr>
                <w:rFonts w:ascii="仿宋_GB2312" w:hAnsi="仿宋" w:eastAsia="仿宋_GB2312" w:cs="仿宋"/>
                <w:kern w:val="0"/>
                <w:sz w:val="30"/>
                <w:szCs w:val="30"/>
              </w:rPr>
            </w:pPr>
            <w:r>
              <w:rPr>
                <w:rFonts w:hint="eastAsia" w:ascii="仿宋_GB2312" w:hAnsi="宋体" w:eastAsia="仿宋_GB2312"/>
                <w:b/>
                <w:bCs/>
                <w:color w:val="000000"/>
                <w:kern w:val="0"/>
                <w:sz w:val="30"/>
                <w:szCs w:val="30"/>
              </w:rPr>
              <w:t>81.6%</w:t>
            </w:r>
          </w:p>
        </w:tc>
      </w:tr>
    </w:tbl>
    <w:p>
      <w:pPr>
        <w:adjustRightInd w:val="0"/>
        <w:snapToGrid w:val="0"/>
        <w:spacing w:line="560" w:lineRule="exact"/>
        <w:ind w:firstLine="640" w:firstLineChars="200"/>
        <w:outlineLvl w:val="1"/>
        <w:rPr>
          <w:rFonts w:ascii="楷体" w:hAnsi="楷体" w:eastAsia="楷体" w:cs="楷体"/>
          <w:sz w:val="32"/>
          <w:szCs w:val="32"/>
        </w:rPr>
      </w:pPr>
      <w:bookmarkStart w:id="1" w:name="_Toc151992683"/>
      <w:r>
        <w:rPr>
          <w:rFonts w:ascii="楷体" w:hAnsi="楷体" w:eastAsia="楷体" w:cs="楷体"/>
          <w:sz w:val="32"/>
          <w:szCs w:val="32"/>
        </w:rPr>
        <w:t>（二）</w:t>
      </w:r>
      <w:r>
        <w:rPr>
          <w:rFonts w:hint="eastAsia" w:ascii="楷体" w:hAnsi="楷体" w:eastAsia="楷体" w:cs="楷体"/>
          <w:sz w:val="32"/>
          <w:szCs w:val="32"/>
        </w:rPr>
        <w:t>成本效益分析</w:t>
      </w:r>
      <w:bookmarkEnd w:id="1"/>
    </w:p>
    <w:p>
      <w:pPr>
        <w:spacing w:line="560" w:lineRule="exact"/>
        <w:ind w:firstLine="643" w:firstLineChars="200"/>
        <w:outlineLvl w:val="2"/>
        <w:rPr>
          <w:rFonts w:ascii="仿宋_GB2312" w:hAnsi="仿宋" w:eastAsia="仿宋_GB2312"/>
          <w:b/>
          <w:bCs/>
          <w:sz w:val="32"/>
          <w:szCs w:val="32"/>
        </w:rPr>
      </w:pPr>
      <w:r>
        <w:rPr>
          <w:rFonts w:hint="eastAsia" w:ascii="仿宋_GB2312" w:hAnsi="仿宋" w:eastAsia="仿宋_GB2312"/>
          <w:b/>
          <w:bCs/>
          <w:sz w:val="32"/>
          <w:szCs w:val="32"/>
        </w:rPr>
        <w:t>1.产出分析</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截至2022年12月31日，杨湖</w:t>
      </w:r>
      <w:r>
        <w:rPr>
          <w:rFonts w:hint="eastAsia" w:ascii="仿宋_GB2312" w:eastAsia="仿宋_GB2312"/>
          <w:sz w:val="32"/>
          <w:szCs w:val="32"/>
        </w:rPr>
        <w:t>节制闸除险加固工程</w:t>
      </w:r>
      <w:r>
        <w:rPr>
          <w:rFonts w:hint="eastAsia" w:ascii="仿宋_GB2312" w:hAnsi="仿宋" w:eastAsia="仿宋_GB2312"/>
          <w:sz w:val="32"/>
          <w:szCs w:val="32"/>
        </w:rPr>
        <w:t>进度达到100%，</w:t>
      </w:r>
      <w:r>
        <w:rPr>
          <w:rFonts w:hint="eastAsia" w:ascii="仿宋_GB2312" w:eastAsia="仿宋_GB2312"/>
          <w:sz w:val="32"/>
          <w:szCs w:val="32"/>
        </w:rPr>
        <w:t>万福河（日兰高速至裴河闸）河道综合治理</w:t>
      </w:r>
      <w:r>
        <w:rPr>
          <w:rFonts w:hint="eastAsia" w:ascii="仿宋_GB2312" w:hAnsi="仿宋" w:eastAsia="仿宋_GB2312"/>
          <w:sz w:val="32"/>
          <w:szCs w:val="32"/>
        </w:rPr>
        <w:t>工程进度达到86.27%，张湾</w:t>
      </w:r>
      <w:r>
        <w:rPr>
          <w:rFonts w:hint="eastAsia" w:ascii="仿宋_GB2312" w:eastAsia="仿宋_GB2312"/>
          <w:sz w:val="32"/>
          <w:szCs w:val="32"/>
        </w:rPr>
        <w:t>节制闸除险加固</w:t>
      </w:r>
      <w:r>
        <w:rPr>
          <w:rFonts w:hint="eastAsia" w:ascii="仿宋_GB2312" w:hAnsi="仿宋" w:eastAsia="仿宋_GB2312"/>
          <w:sz w:val="32"/>
          <w:szCs w:val="32"/>
        </w:rPr>
        <w:t>工程进度达到82.3%，史庄节制闸除险加固工程进度达到</w:t>
      </w:r>
      <w:bookmarkStart w:id="24" w:name="_GoBack"/>
      <w:bookmarkEnd w:id="24"/>
      <w:r>
        <w:rPr>
          <w:rFonts w:hint="eastAsia" w:ascii="仿宋_GB2312" w:hAnsi="仿宋" w:eastAsia="仿宋_GB2312"/>
          <w:sz w:val="32"/>
          <w:szCs w:val="32"/>
        </w:rPr>
        <w:t>81.32%。根据提供的各工程的分部分项验收资料，分部分项验收合格。</w:t>
      </w:r>
    </w:p>
    <w:p>
      <w:pPr>
        <w:spacing w:line="560" w:lineRule="exact"/>
        <w:ind w:firstLine="643" w:firstLineChars="200"/>
        <w:outlineLvl w:val="2"/>
        <w:rPr>
          <w:rFonts w:ascii="仿宋_GB2312" w:hAnsi="仿宋" w:eastAsia="仿宋_GB2312"/>
          <w:b/>
          <w:bCs/>
          <w:sz w:val="32"/>
          <w:szCs w:val="32"/>
        </w:rPr>
      </w:pPr>
      <w:r>
        <w:rPr>
          <w:rFonts w:hint="eastAsia" w:ascii="仿宋_GB2312" w:hAnsi="仿宋" w:eastAsia="仿宋_GB2312"/>
          <w:b/>
          <w:bCs/>
          <w:sz w:val="32"/>
          <w:szCs w:val="32"/>
        </w:rPr>
        <w:t>2.</w:t>
      </w:r>
      <w:r>
        <w:rPr>
          <w:rFonts w:hint="eastAsia" w:ascii="仿宋_GB2312" w:hAnsi="仿宋" w:eastAsia="仿宋_GB2312" w:cs="宋体"/>
          <w:b/>
          <w:bCs/>
          <w:kern w:val="0"/>
          <w:sz w:val="32"/>
          <w:szCs w:val="32"/>
        </w:rPr>
        <w:t>专项债券资金成本控制情况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2022年安排专项债资金7400万元，实际到位7400万元，已全部投入使用，没有出现超支现象，成本控制较好。</w:t>
      </w:r>
    </w:p>
    <w:p>
      <w:pPr>
        <w:spacing w:line="560" w:lineRule="exact"/>
        <w:ind w:firstLine="643" w:firstLineChars="200"/>
        <w:outlineLvl w:val="2"/>
        <w:rPr>
          <w:rFonts w:ascii="仿宋_GB2312" w:hAnsi="仿宋" w:eastAsia="仿宋_GB2312"/>
          <w:b/>
          <w:bCs/>
          <w:sz w:val="32"/>
          <w:szCs w:val="32"/>
        </w:rPr>
      </w:pPr>
      <w:r>
        <w:rPr>
          <w:rFonts w:hint="eastAsia" w:ascii="仿宋_GB2312" w:hAnsi="仿宋" w:eastAsia="仿宋_GB2312"/>
          <w:b/>
          <w:bCs/>
          <w:sz w:val="32"/>
          <w:szCs w:val="32"/>
        </w:rPr>
        <w:t>3.效益分析</w:t>
      </w:r>
    </w:p>
    <w:p>
      <w:pPr>
        <w:spacing w:line="560" w:lineRule="exact"/>
        <w:ind w:firstLine="640" w:firstLineChars="200"/>
        <w:rPr>
          <w:rFonts w:ascii="仿宋_GB2312" w:eastAsia="仿宋_GB2312"/>
          <w:kern w:val="0"/>
          <w:sz w:val="32"/>
          <w:szCs w:val="32"/>
        </w:rPr>
      </w:pPr>
      <w:r>
        <w:rPr>
          <w:rFonts w:hint="eastAsia" w:ascii="仿宋_GB2312" w:eastAsia="仿宋_GB2312"/>
          <w:sz w:val="32"/>
          <w:szCs w:val="32"/>
        </w:rPr>
        <w:t>杨湖节制闸除险加固工程已完工但未验收，其余工程形象进度仅超过80%，已完工项目能有效发挥应用效益，有利于河道行洪安全，提高河道管理管护水平，缓解水资源短缺，其他项目效益暂不明显。</w:t>
      </w:r>
    </w:p>
    <w:p>
      <w:pPr>
        <w:adjustRightInd w:val="0"/>
        <w:snapToGrid w:val="0"/>
        <w:spacing w:line="560" w:lineRule="exact"/>
        <w:ind w:firstLine="640" w:firstLineChars="200"/>
        <w:outlineLvl w:val="0"/>
        <w:rPr>
          <w:rFonts w:ascii="黑体" w:hAnsi="黑体" w:eastAsia="黑体" w:cs="黑体"/>
          <w:bCs/>
          <w:sz w:val="32"/>
          <w:szCs w:val="32"/>
        </w:rPr>
      </w:pPr>
      <w:r>
        <w:rPr>
          <w:rFonts w:hint="eastAsia" w:ascii="黑体" w:hAnsi="黑体" w:eastAsia="黑体" w:cs="黑体"/>
          <w:bCs/>
          <w:sz w:val="32"/>
          <w:szCs w:val="32"/>
        </w:rPr>
        <w:t>四、项目主要绩效、存在问题及原因分析</w:t>
      </w:r>
    </w:p>
    <w:p>
      <w:pPr>
        <w:pStyle w:val="2"/>
        <w:spacing w:line="560" w:lineRule="exact"/>
        <w:ind w:firstLine="640"/>
        <w:outlineLvl w:val="1"/>
        <w:rPr>
          <w:rFonts w:ascii="楷体" w:hAnsi="楷体" w:eastAsia="楷体" w:cs="楷体"/>
          <w:bCs/>
        </w:rPr>
      </w:pPr>
      <w:r>
        <w:rPr>
          <w:rFonts w:hint="eastAsia" w:ascii="楷体" w:hAnsi="楷体" w:eastAsia="楷体" w:cs="楷体"/>
          <w:bCs/>
        </w:rPr>
        <w:t>（一）项目主要绩效</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项目单位重视做好各参建单位的协调工作，揉合各参建单位形成合力，为工程按计划施工奠定基础；</w:t>
      </w:r>
      <w:bookmarkStart w:id="2" w:name="_Toc142988240"/>
      <w:bookmarkStart w:id="3" w:name="_Toc148364258"/>
      <w:bookmarkStart w:id="4" w:name="_Toc143001190"/>
      <w:bookmarkStart w:id="5" w:name="_Toc143002959"/>
      <w:bookmarkStart w:id="6" w:name="_Toc142296083"/>
      <w:r>
        <w:rPr>
          <w:rFonts w:hint="eastAsia" w:ascii="仿宋_GB2312" w:eastAsia="仿宋_GB2312"/>
          <w:sz w:val="32"/>
          <w:szCs w:val="32"/>
        </w:rPr>
        <w:t>同时严格执行交底、互检、巡查、抽检制度，保障施工质量</w:t>
      </w:r>
      <w:bookmarkEnd w:id="2"/>
      <w:bookmarkEnd w:id="3"/>
      <w:bookmarkEnd w:id="4"/>
      <w:bookmarkEnd w:id="5"/>
      <w:bookmarkEnd w:id="6"/>
      <w:r>
        <w:rPr>
          <w:rFonts w:hint="eastAsia" w:ascii="仿宋_GB2312" w:eastAsia="仿宋_GB2312"/>
          <w:sz w:val="32"/>
          <w:szCs w:val="32"/>
        </w:rPr>
        <w:t>；对原堤防薄弱段进行加固，减轻河道的淤积速率，已完工程有效提升了河道防洪和除涝能力。</w:t>
      </w:r>
    </w:p>
    <w:p>
      <w:pPr>
        <w:adjustRightInd w:val="0"/>
        <w:snapToGrid w:val="0"/>
        <w:spacing w:line="560" w:lineRule="exact"/>
        <w:ind w:firstLine="640" w:firstLineChars="200"/>
        <w:outlineLvl w:val="1"/>
        <w:rPr>
          <w:rFonts w:ascii="楷体" w:hAnsi="楷体" w:eastAsia="楷体" w:cs="楷体"/>
          <w:bCs/>
          <w:sz w:val="32"/>
          <w:szCs w:val="32"/>
        </w:rPr>
      </w:pPr>
      <w:r>
        <w:rPr>
          <w:rFonts w:hint="eastAsia" w:ascii="楷体" w:hAnsi="楷体" w:eastAsia="楷体" w:cs="楷体"/>
          <w:bCs/>
          <w:sz w:val="32"/>
          <w:szCs w:val="32"/>
        </w:rPr>
        <w:t>（二）存在问题及原因分析</w:t>
      </w:r>
    </w:p>
    <w:p>
      <w:pPr>
        <w:spacing w:line="560" w:lineRule="exact"/>
        <w:ind w:firstLine="640" w:firstLineChars="200"/>
        <w:rPr>
          <w:rFonts w:hint="eastAsia" w:ascii="仿宋_GB2312" w:eastAsia="仿宋_GB2312"/>
          <w:sz w:val="32"/>
          <w:szCs w:val="32"/>
        </w:rPr>
      </w:pPr>
      <w:bookmarkStart w:id="7" w:name="_Toc151992661"/>
      <w:bookmarkStart w:id="8" w:name="_Toc142296087"/>
      <w:r>
        <w:rPr>
          <w:rFonts w:hint="eastAsia" w:ascii="仿宋_GB2312" w:hAnsi="楷体" w:eastAsia="仿宋_GB2312"/>
          <w:kern w:val="0"/>
          <w:sz w:val="32"/>
          <w:szCs w:val="32"/>
        </w:rPr>
        <w:t>1.未按合同约定支付工程监理服务费</w:t>
      </w:r>
      <w:bookmarkEnd w:id="7"/>
      <w:r>
        <w:rPr>
          <w:rFonts w:hint="eastAsia" w:ascii="仿宋_GB2312" w:hAnsi="楷体" w:eastAsia="仿宋_GB2312"/>
          <w:kern w:val="0"/>
          <w:sz w:val="32"/>
          <w:szCs w:val="32"/>
          <w:lang w:eastAsia="zh-CN"/>
        </w:rPr>
        <w:t>，</w:t>
      </w:r>
      <w:bookmarkEnd w:id="8"/>
      <w:bookmarkStart w:id="9" w:name="_Toc142296089"/>
      <w:r>
        <w:rPr>
          <w:rFonts w:hint="eastAsia" w:ascii="仿宋_GB2312" w:hAnsi="楷体" w:eastAsia="仿宋_GB2312"/>
          <w:kern w:val="0"/>
          <w:sz w:val="32"/>
          <w:szCs w:val="32"/>
          <w:lang w:val="en-US" w:eastAsia="zh-CN"/>
        </w:rPr>
        <w:t>存在</w:t>
      </w:r>
      <w:r>
        <w:rPr>
          <w:rFonts w:hint="eastAsia" w:ascii="仿宋_GB2312" w:eastAsia="仿宋_GB2312"/>
          <w:sz w:val="32"/>
          <w:szCs w:val="32"/>
        </w:rPr>
        <w:t>超前支付工程监理服务费</w:t>
      </w:r>
      <w:r>
        <w:rPr>
          <w:rFonts w:hint="eastAsia" w:ascii="仿宋_GB2312" w:eastAsia="仿宋_GB2312"/>
          <w:sz w:val="32"/>
          <w:szCs w:val="32"/>
          <w:lang w:val="en-US" w:eastAsia="zh-CN"/>
        </w:rPr>
        <w:t>现象</w:t>
      </w:r>
      <w:r>
        <w:rPr>
          <w:rFonts w:hint="eastAsia" w:ascii="仿宋_GB2312" w:eastAsia="仿宋_GB2312"/>
          <w:sz w:val="32"/>
          <w:szCs w:val="32"/>
        </w:rPr>
        <w:t>。</w:t>
      </w:r>
      <w:bookmarkStart w:id="10" w:name="_Toc151992662"/>
    </w:p>
    <w:p>
      <w:pPr>
        <w:spacing w:line="560" w:lineRule="exact"/>
        <w:ind w:firstLine="640" w:firstLineChars="200"/>
        <w:rPr>
          <w:rFonts w:hint="default" w:ascii="仿宋_GB2312" w:hAnsi="楷体" w:eastAsia="仿宋_GB2312"/>
          <w:kern w:val="0"/>
          <w:sz w:val="32"/>
          <w:szCs w:val="32"/>
          <w:lang w:val="en-US"/>
        </w:rPr>
      </w:pPr>
      <w:r>
        <w:rPr>
          <w:rFonts w:hint="eastAsia" w:ascii="仿宋_GB2312" w:hAnsi="楷体" w:eastAsia="仿宋_GB2312"/>
          <w:kern w:val="0"/>
          <w:sz w:val="32"/>
          <w:szCs w:val="32"/>
        </w:rPr>
        <w:t>2</w:t>
      </w:r>
      <w:r>
        <w:rPr>
          <w:rFonts w:ascii="仿宋_GB2312" w:hAnsi="楷体" w:eastAsia="仿宋_GB2312"/>
          <w:kern w:val="0"/>
          <w:sz w:val="32"/>
          <w:szCs w:val="32"/>
        </w:rPr>
        <w:t>.</w:t>
      </w:r>
      <w:r>
        <w:rPr>
          <w:rFonts w:hint="eastAsia" w:ascii="仿宋_GB2312" w:hAnsi="楷体" w:eastAsia="仿宋_GB2312"/>
          <w:kern w:val="0"/>
          <w:sz w:val="32"/>
          <w:szCs w:val="32"/>
        </w:rPr>
        <w:t>已实施项目存在</w:t>
      </w:r>
      <w:r>
        <w:rPr>
          <w:rFonts w:hint="eastAsia" w:ascii="仿宋_GB2312" w:hAnsi="楷体" w:eastAsia="仿宋_GB2312"/>
          <w:kern w:val="0"/>
          <w:sz w:val="32"/>
          <w:szCs w:val="32"/>
          <w:lang w:val="en-US" w:eastAsia="zh-CN"/>
        </w:rPr>
        <w:t>资金到位不及时</w:t>
      </w:r>
      <w:bookmarkEnd w:id="10"/>
      <w:r>
        <w:rPr>
          <w:rFonts w:hint="eastAsia" w:ascii="仿宋_GB2312" w:hAnsi="楷体" w:eastAsia="仿宋_GB2312"/>
          <w:kern w:val="0"/>
          <w:sz w:val="32"/>
          <w:szCs w:val="32"/>
          <w:lang w:val="en-US" w:eastAsia="zh-CN"/>
        </w:rPr>
        <w:t>现象。</w:t>
      </w:r>
    </w:p>
    <w:p>
      <w:pPr>
        <w:spacing w:line="560" w:lineRule="exact"/>
        <w:ind w:firstLine="640" w:firstLineChars="200"/>
        <w:rPr>
          <w:rFonts w:ascii="仿宋_GB2312" w:eastAsia="仿宋_GB2312"/>
          <w:color w:val="FF0000"/>
          <w:sz w:val="32"/>
          <w:szCs w:val="32"/>
        </w:rPr>
      </w:pPr>
      <w:bookmarkStart w:id="11" w:name="_Toc151992663"/>
      <w:r>
        <w:rPr>
          <w:rFonts w:hint="eastAsia" w:ascii="仿宋_GB2312" w:hAnsi="楷体" w:eastAsia="仿宋_GB2312"/>
          <w:kern w:val="0"/>
          <w:sz w:val="32"/>
          <w:szCs w:val="32"/>
        </w:rPr>
        <w:t>3</w:t>
      </w:r>
      <w:r>
        <w:rPr>
          <w:rFonts w:ascii="仿宋_GB2312" w:hAnsi="楷体" w:eastAsia="仿宋_GB2312"/>
          <w:kern w:val="0"/>
          <w:sz w:val="32"/>
          <w:szCs w:val="32"/>
        </w:rPr>
        <w:t>.</w:t>
      </w:r>
      <w:r>
        <w:rPr>
          <w:rFonts w:hint="eastAsia" w:ascii="仿宋_GB2312" w:hAnsi="楷体" w:eastAsia="仿宋_GB2312"/>
          <w:kern w:val="0"/>
          <w:sz w:val="32"/>
          <w:szCs w:val="32"/>
        </w:rPr>
        <w:t>项目过程管理有效性不足，存在部分管理风险</w:t>
      </w:r>
      <w:bookmarkEnd w:id="11"/>
      <w:r>
        <w:rPr>
          <w:rFonts w:hint="eastAsia" w:ascii="仿宋_GB2312" w:hAnsi="楷体" w:eastAsia="仿宋_GB2312"/>
          <w:kern w:val="0"/>
          <w:sz w:val="32"/>
          <w:szCs w:val="32"/>
          <w:lang w:eastAsia="zh-CN"/>
        </w:rPr>
        <w:t>。</w:t>
      </w:r>
      <w:r>
        <w:rPr>
          <w:rFonts w:hint="eastAsia" w:ascii="仿宋_GB2312" w:hAnsi="楷体" w:eastAsia="仿宋_GB2312"/>
          <w:kern w:val="0"/>
          <w:sz w:val="32"/>
          <w:szCs w:val="32"/>
          <w:lang w:val="en-US" w:eastAsia="zh-CN"/>
        </w:rPr>
        <w:t>一是</w:t>
      </w:r>
      <w:r>
        <w:rPr>
          <w:rFonts w:hint="eastAsia" w:ascii="仿宋_GB2312" w:eastAsia="仿宋_GB2312"/>
          <w:sz w:val="32"/>
          <w:szCs w:val="32"/>
        </w:rPr>
        <w:t>项目单位组织实施过程监管不严，部分资料数据不匹配。</w:t>
      </w:r>
      <w:r>
        <w:rPr>
          <w:rFonts w:hint="eastAsia" w:ascii="仿宋_GB2312" w:eastAsia="仿宋_GB2312"/>
          <w:sz w:val="32"/>
          <w:szCs w:val="32"/>
          <w:lang w:val="en-US" w:eastAsia="zh-CN"/>
        </w:rPr>
        <w:t>二是</w:t>
      </w:r>
      <w:r>
        <w:rPr>
          <w:rFonts w:hint="eastAsia" w:ascii="仿宋_GB2312" w:eastAsia="仿宋_GB2312"/>
          <w:sz w:val="32"/>
          <w:szCs w:val="32"/>
        </w:rPr>
        <w:t>可能会因为拆迁不到位影响项目整体工期</w:t>
      </w:r>
      <w:r>
        <w:rPr>
          <w:rFonts w:hint="eastAsia" w:ascii="仿宋_GB2312" w:eastAsia="仿宋_GB2312"/>
          <w:sz w:val="32"/>
          <w:szCs w:val="32"/>
          <w:lang w:val="en-US" w:eastAsia="zh-CN"/>
        </w:rPr>
        <w:t>进度</w:t>
      </w:r>
      <w:r>
        <w:rPr>
          <w:rFonts w:hint="eastAsia" w:ascii="仿宋_GB2312" w:eastAsia="仿宋_GB2312"/>
          <w:sz w:val="32"/>
          <w:szCs w:val="32"/>
        </w:rPr>
        <w:t>。</w:t>
      </w:r>
    </w:p>
    <w:p>
      <w:pPr>
        <w:spacing w:line="560" w:lineRule="exact"/>
        <w:ind w:firstLine="640" w:firstLineChars="200"/>
        <w:rPr>
          <w:rFonts w:hint="eastAsia" w:ascii="仿宋" w:hAnsi="仿宋" w:eastAsia="仿宋" w:cs="仿宋"/>
          <w:sz w:val="32"/>
          <w:szCs w:val="32"/>
        </w:rPr>
      </w:pPr>
      <w:bookmarkStart w:id="12" w:name="_Toc151992664"/>
      <w:r>
        <w:rPr>
          <w:rFonts w:hint="eastAsia" w:ascii="仿宋" w:hAnsi="仿宋" w:eastAsia="仿宋" w:cs="仿宋"/>
          <w:kern w:val="0"/>
          <w:sz w:val="32"/>
          <w:szCs w:val="32"/>
        </w:rPr>
        <w:t>4.</w:t>
      </w:r>
      <w:bookmarkEnd w:id="12"/>
      <w:r>
        <w:rPr>
          <w:rFonts w:hint="eastAsia" w:ascii="仿宋" w:hAnsi="仿宋" w:eastAsia="仿宋" w:cs="仿宋"/>
          <w:kern w:val="0"/>
          <w:sz w:val="32"/>
          <w:szCs w:val="32"/>
        </w:rPr>
        <w:t>部分工程成本超出财政审定预算</w:t>
      </w:r>
      <w:r>
        <w:rPr>
          <w:rFonts w:hint="eastAsia" w:ascii="仿宋" w:hAnsi="仿宋" w:eastAsia="仿宋" w:cs="仿宋"/>
          <w:sz w:val="32"/>
          <w:szCs w:val="32"/>
        </w:rPr>
        <w:t>。</w:t>
      </w:r>
    </w:p>
    <w:bookmarkEnd w:id="9"/>
    <w:p>
      <w:pPr>
        <w:adjustRightInd w:val="0"/>
        <w:snapToGrid w:val="0"/>
        <w:spacing w:line="560" w:lineRule="exact"/>
        <w:ind w:firstLine="640" w:firstLineChars="200"/>
        <w:outlineLvl w:val="0"/>
        <w:rPr>
          <w:rFonts w:ascii="黑体" w:hAnsi="黑体" w:eastAsia="黑体" w:cs="黑体"/>
          <w:bCs/>
          <w:sz w:val="32"/>
          <w:szCs w:val="32"/>
        </w:rPr>
      </w:pPr>
      <w:r>
        <w:rPr>
          <w:rFonts w:hint="eastAsia" w:ascii="黑体" w:hAnsi="黑体" w:eastAsia="黑体" w:cs="黑体"/>
          <w:bCs/>
          <w:sz w:val="32"/>
          <w:szCs w:val="32"/>
        </w:rPr>
        <w:t>五、有关建议</w:t>
      </w:r>
    </w:p>
    <w:p>
      <w:pPr>
        <w:spacing w:line="560" w:lineRule="exact"/>
        <w:ind w:firstLine="640" w:firstLineChars="200"/>
        <w:outlineLvl w:val="1"/>
        <w:rPr>
          <w:rFonts w:ascii="仿宋_GB2312" w:eastAsia="仿宋_GB2312"/>
          <w:sz w:val="32"/>
          <w:szCs w:val="32"/>
        </w:rPr>
      </w:pPr>
      <w:bookmarkStart w:id="13" w:name="_Toc148364266"/>
      <w:bookmarkStart w:id="14" w:name="_Toc142988249"/>
      <w:bookmarkStart w:id="15" w:name="_Toc143002968"/>
      <w:bookmarkStart w:id="16" w:name="_Toc143001199"/>
      <w:bookmarkStart w:id="17" w:name="_Toc151026577"/>
      <w:bookmarkStart w:id="18" w:name="_Toc151992668"/>
      <w:bookmarkStart w:id="19" w:name="_Toc142296095"/>
      <w:r>
        <w:rPr>
          <w:rFonts w:hint="eastAsia" w:ascii="楷体_GB2312" w:hAnsi="楷体" w:eastAsia="楷体_GB2312"/>
          <w:kern w:val="0"/>
          <w:sz w:val="32"/>
          <w:szCs w:val="32"/>
        </w:rPr>
        <w:t>（一）</w:t>
      </w:r>
      <w:bookmarkEnd w:id="13"/>
      <w:bookmarkEnd w:id="14"/>
      <w:bookmarkEnd w:id="15"/>
      <w:bookmarkEnd w:id="16"/>
      <w:bookmarkEnd w:id="17"/>
      <w:r>
        <w:rPr>
          <w:rFonts w:hint="eastAsia" w:ascii="楷体_GB2312" w:hAnsi="楷体" w:eastAsia="楷体_GB2312"/>
          <w:kern w:val="0"/>
          <w:sz w:val="32"/>
          <w:szCs w:val="32"/>
        </w:rPr>
        <w:t>加强项目付款进度审查，严格执行合同条款</w:t>
      </w:r>
      <w:bookmarkEnd w:id="18"/>
      <w:r>
        <w:rPr>
          <w:rFonts w:hint="eastAsia" w:ascii="楷体_GB2312" w:hAnsi="楷体" w:eastAsia="楷体_GB2312"/>
          <w:kern w:val="0"/>
          <w:sz w:val="32"/>
          <w:szCs w:val="32"/>
          <w:lang w:eastAsia="zh-CN"/>
        </w:rPr>
        <w:t>。</w:t>
      </w:r>
      <w:bookmarkEnd w:id="19"/>
      <w:r>
        <w:rPr>
          <w:rFonts w:hint="eastAsia" w:ascii="仿宋_GB2312" w:eastAsia="仿宋_GB2312"/>
          <w:sz w:val="32"/>
          <w:szCs w:val="32"/>
        </w:rPr>
        <w:t>建议项目单位加强项目付款进度审查，严格按照项目建设进度匹配合同约定付款进度，根据合同约定的付款进度对应拨付项目资金，保障项目资金有效使用，提高财政资金配置有效性。</w:t>
      </w:r>
    </w:p>
    <w:p>
      <w:pPr>
        <w:spacing w:line="560" w:lineRule="exact"/>
        <w:ind w:firstLine="640" w:firstLineChars="200"/>
        <w:rPr>
          <w:rFonts w:ascii="仿宋_GB2312" w:eastAsia="仿宋_GB2312"/>
          <w:sz w:val="32"/>
          <w:szCs w:val="32"/>
        </w:rPr>
      </w:pPr>
      <w:bookmarkStart w:id="20" w:name="_Toc151992669"/>
      <w:r>
        <w:rPr>
          <w:rFonts w:hint="eastAsia" w:ascii="仿宋" w:hAnsi="仿宋" w:eastAsia="仿宋" w:cs="仿宋"/>
          <w:kern w:val="0"/>
          <w:sz w:val="32"/>
          <w:szCs w:val="32"/>
        </w:rPr>
        <w:t>（二）</w:t>
      </w:r>
      <w:bookmarkEnd w:id="20"/>
      <w:r>
        <w:rPr>
          <w:rFonts w:hint="eastAsia" w:ascii="仿宋" w:hAnsi="仿宋" w:eastAsia="仿宋" w:cs="仿宋"/>
          <w:kern w:val="0"/>
          <w:sz w:val="32"/>
          <w:szCs w:val="32"/>
          <w:lang w:val="en-US" w:eastAsia="zh-CN"/>
        </w:rPr>
        <w:t>按时保障资金需求，</w:t>
      </w:r>
      <w:r>
        <w:rPr>
          <w:rFonts w:hint="eastAsia" w:ascii="仿宋_GB2312" w:eastAsia="仿宋_GB2312"/>
          <w:sz w:val="32"/>
          <w:szCs w:val="32"/>
        </w:rPr>
        <w:t>以免产生不必要的纠纷，进而影响项目建设进度和质量。</w:t>
      </w:r>
    </w:p>
    <w:p>
      <w:pPr>
        <w:spacing w:line="560" w:lineRule="exact"/>
        <w:ind w:firstLine="640" w:firstLineChars="200"/>
        <w:outlineLvl w:val="1"/>
        <w:rPr>
          <w:rFonts w:ascii="仿宋_GB2312" w:eastAsia="仿宋_GB2312"/>
          <w:sz w:val="32"/>
          <w:szCs w:val="32"/>
        </w:rPr>
      </w:pPr>
      <w:bookmarkStart w:id="21" w:name="_Toc151992670"/>
      <w:r>
        <w:rPr>
          <w:rFonts w:hint="eastAsia" w:ascii="楷体_GB2312" w:hAnsi="楷体" w:eastAsia="楷体_GB2312"/>
          <w:kern w:val="0"/>
          <w:sz w:val="32"/>
          <w:szCs w:val="32"/>
        </w:rPr>
        <w:t>（三）加强组织实施过程管理，保障项目顺利完工</w:t>
      </w:r>
      <w:bookmarkEnd w:id="21"/>
      <w:r>
        <w:rPr>
          <w:rFonts w:hint="eastAsia" w:ascii="楷体_GB2312" w:hAnsi="楷体" w:eastAsia="楷体_GB2312"/>
          <w:kern w:val="0"/>
          <w:sz w:val="32"/>
          <w:szCs w:val="32"/>
          <w:lang w:eastAsia="zh-CN"/>
        </w:rPr>
        <w:t>。</w:t>
      </w:r>
      <w:r>
        <w:rPr>
          <w:rFonts w:hint="eastAsia" w:ascii="仿宋_GB2312" w:eastAsia="仿宋_GB2312"/>
          <w:sz w:val="32"/>
          <w:szCs w:val="32"/>
        </w:rPr>
        <w:t>建议项目单位加强组织实施过程管理，严格按照项目管理要求履行监管职责，确保项目资料真实可靠；加强部门协调沟通，尽快解决土地征迁问题，加快项目进度。</w:t>
      </w:r>
    </w:p>
    <w:p>
      <w:pPr>
        <w:spacing w:line="560" w:lineRule="exact"/>
        <w:ind w:firstLine="640" w:firstLineChars="200"/>
        <w:outlineLvl w:val="1"/>
        <w:rPr>
          <w:rFonts w:ascii="仿宋_GB2312" w:eastAsia="仿宋_GB2312"/>
          <w:sz w:val="32"/>
          <w:szCs w:val="32"/>
        </w:rPr>
      </w:pPr>
      <w:bookmarkStart w:id="22" w:name="_Toc151992671"/>
      <w:r>
        <w:rPr>
          <w:rFonts w:hint="eastAsia" w:ascii="楷体_GB2312" w:hAnsi="楷体" w:eastAsia="楷体_GB2312"/>
          <w:kern w:val="0"/>
          <w:sz w:val="32"/>
          <w:szCs w:val="32"/>
        </w:rPr>
        <w:t>（四）</w:t>
      </w:r>
      <w:bookmarkEnd w:id="22"/>
      <w:bookmarkStart w:id="23" w:name="_Toc151992672"/>
      <w:r>
        <w:rPr>
          <w:rFonts w:hint="eastAsia" w:ascii="楷体_GB2312" w:hAnsi="楷体" w:eastAsia="楷体_GB2312"/>
          <w:kern w:val="0"/>
          <w:sz w:val="32"/>
          <w:szCs w:val="32"/>
        </w:rPr>
        <w:t>加强项目成本管理，严格控制项目成本</w:t>
      </w:r>
      <w:bookmarkEnd w:id="23"/>
      <w:r>
        <w:rPr>
          <w:rFonts w:hint="eastAsia" w:ascii="楷体_GB2312" w:hAnsi="楷体" w:eastAsia="楷体_GB2312"/>
          <w:kern w:val="0"/>
          <w:sz w:val="32"/>
          <w:szCs w:val="32"/>
          <w:lang w:eastAsia="zh-CN"/>
        </w:rPr>
        <w:t>。</w:t>
      </w:r>
      <w:r>
        <w:rPr>
          <w:rFonts w:hint="eastAsia" w:ascii="仿宋_GB2312" w:eastAsia="仿宋_GB2312"/>
          <w:sz w:val="32"/>
          <w:szCs w:val="32"/>
        </w:rPr>
        <w:t>建议项目单位加强项目成本管理，严格控制项目成本，严格按照财政审定预算执行项目成本，对于执行过程中发生偏差的项目，及时纠偏，调整资金支出计划，提高成本控制有效性，进而提高资金使用效益。</w:t>
      </w:r>
    </w:p>
    <w:p>
      <w:pPr>
        <w:adjustRightInd w:val="0"/>
        <w:snapToGrid w:val="0"/>
        <w:spacing w:line="560" w:lineRule="exact"/>
        <w:ind w:firstLine="640" w:firstLineChars="200"/>
        <w:rPr>
          <w:rFonts w:ascii="仿宋" w:hAnsi="仿宋" w:eastAsia="仿宋" w:cs="Arial"/>
          <w:bCs/>
          <w:sz w:val="32"/>
          <w:szCs w:val="32"/>
        </w:rPr>
      </w:pPr>
    </w:p>
    <w:sectPr>
      <w:footerReference r:id="rId3" w:type="default"/>
      <w:pgSz w:w="11906" w:h="16838"/>
      <w:pgMar w:top="1701" w:right="1474" w:bottom="1701" w:left="1587" w:header="851" w:footer="1474" w:gutter="0"/>
      <w:paperSrc/>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eastAsia="宋体"/>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129BD0"/>
    <w:multiLevelType w:val="singleLevel"/>
    <w:tmpl w:val="E9129BD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2NmNjc2ZDBkN2JjNmRlNzllNTUwMzQ2OWJhYjAifQ=="/>
  </w:docVars>
  <w:rsids>
    <w:rsidRoot w:val="00931801"/>
    <w:rsid w:val="00140D74"/>
    <w:rsid w:val="00197C91"/>
    <w:rsid w:val="001C2B70"/>
    <w:rsid w:val="0023235F"/>
    <w:rsid w:val="002A7118"/>
    <w:rsid w:val="004A11D6"/>
    <w:rsid w:val="004A466C"/>
    <w:rsid w:val="00726CA9"/>
    <w:rsid w:val="00756394"/>
    <w:rsid w:val="0079391A"/>
    <w:rsid w:val="00931801"/>
    <w:rsid w:val="009355DD"/>
    <w:rsid w:val="009374E1"/>
    <w:rsid w:val="00B51CD1"/>
    <w:rsid w:val="00B55259"/>
    <w:rsid w:val="00C266E2"/>
    <w:rsid w:val="00DE28AB"/>
    <w:rsid w:val="00DF11E3"/>
    <w:rsid w:val="00E0526E"/>
    <w:rsid w:val="00E8697C"/>
    <w:rsid w:val="00F4340B"/>
    <w:rsid w:val="00F505A0"/>
    <w:rsid w:val="061B1299"/>
    <w:rsid w:val="06351910"/>
    <w:rsid w:val="067610D2"/>
    <w:rsid w:val="07C879D4"/>
    <w:rsid w:val="0A4136DC"/>
    <w:rsid w:val="0A891503"/>
    <w:rsid w:val="0CF77A73"/>
    <w:rsid w:val="0D2C799D"/>
    <w:rsid w:val="142E449C"/>
    <w:rsid w:val="14AD6031"/>
    <w:rsid w:val="15A2564A"/>
    <w:rsid w:val="16AA2D18"/>
    <w:rsid w:val="1AD64829"/>
    <w:rsid w:val="1B697783"/>
    <w:rsid w:val="1F037166"/>
    <w:rsid w:val="23802D1B"/>
    <w:rsid w:val="27CE7742"/>
    <w:rsid w:val="2C005C55"/>
    <w:rsid w:val="3ADB364D"/>
    <w:rsid w:val="3CAE71FE"/>
    <w:rsid w:val="41260811"/>
    <w:rsid w:val="42204EB5"/>
    <w:rsid w:val="45EE7D8D"/>
    <w:rsid w:val="4A6322C3"/>
    <w:rsid w:val="4C6E0437"/>
    <w:rsid w:val="4D62704B"/>
    <w:rsid w:val="4E73291C"/>
    <w:rsid w:val="522462FB"/>
    <w:rsid w:val="52601456"/>
    <w:rsid w:val="54921C42"/>
    <w:rsid w:val="56006068"/>
    <w:rsid w:val="575B67D4"/>
    <w:rsid w:val="5C924D42"/>
    <w:rsid w:val="5D5F46F0"/>
    <w:rsid w:val="5DC37874"/>
    <w:rsid w:val="61D153CB"/>
    <w:rsid w:val="62EB2352"/>
    <w:rsid w:val="63AA57A7"/>
    <w:rsid w:val="64E37928"/>
    <w:rsid w:val="677A37D4"/>
    <w:rsid w:val="68302CED"/>
    <w:rsid w:val="68A64545"/>
    <w:rsid w:val="6B614ECF"/>
    <w:rsid w:val="6F073FD6"/>
    <w:rsid w:val="76822B5C"/>
    <w:rsid w:val="79490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qFormat/>
    <w:uiPriority w:val="9"/>
    <w:pPr>
      <w:keepNext/>
      <w:keepLines/>
      <w:spacing w:line="360" w:lineRule="auto"/>
      <w:ind w:firstLine="723" w:firstLineChars="200"/>
      <w:outlineLvl w:val="0"/>
    </w:pPr>
    <w:rPr>
      <w:rFonts w:eastAsia="黑体"/>
      <w:kern w:val="44"/>
      <w:sz w:val="32"/>
    </w:rPr>
  </w:style>
  <w:style w:type="paragraph" w:styleId="4">
    <w:name w:val="heading 2"/>
    <w:basedOn w:val="1"/>
    <w:next w:val="1"/>
    <w:unhideWhenUsed/>
    <w:qFormat/>
    <w:uiPriority w:val="9"/>
    <w:pPr>
      <w:keepNext/>
      <w:keepLines/>
      <w:spacing w:line="360" w:lineRule="auto"/>
      <w:ind w:firstLine="723" w:firstLineChars="200"/>
      <w:outlineLvl w:val="1"/>
    </w:pPr>
    <w:rPr>
      <w:rFonts w:ascii="Arial" w:hAnsi="Arial" w:eastAsia="楷体"/>
      <w:b/>
      <w:sz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adjustRightInd w:val="0"/>
      <w:snapToGrid w:val="0"/>
      <w:spacing w:line="360" w:lineRule="auto"/>
      <w:ind w:firstLine="800" w:firstLineChars="200"/>
      <w:jc w:val="left"/>
      <w:outlineLvl w:val="0"/>
    </w:pPr>
    <w:rPr>
      <w:rFonts w:ascii="Arial" w:hAnsi="Arial" w:eastAsia="仿宋"/>
      <w:sz w:val="32"/>
      <w:szCs w:val="32"/>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link w:val="17"/>
    <w:qFormat/>
    <w:uiPriority w:val="0"/>
    <w:pPr>
      <w:tabs>
        <w:tab w:val="center" w:pos="4153"/>
        <w:tab w:val="right" w:pos="8306"/>
      </w:tabs>
      <w:snapToGrid w:val="0"/>
      <w:jc w:val="center"/>
    </w:pPr>
    <w:rPr>
      <w:sz w:val="18"/>
      <w:szCs w:val="18"/>
    </w:rPr>
  </w:style>
  <w:style w:type="paragraph" w:styleId="7">
    <w:name w:val="toc 1"/>
    <w:basedOn w:val="1"/>
    <w:next w:val="1"/>
    <w:unhideWhenUsed/>
    <w:qFormat/>
    <w:uiPriority w:val="39"/>
    <w:pPr>
      <w:tabs>
        <w:tab w:val="right" w:leader="dot" w:pos="8296"/>
      </w:tabs>
    </w:pPr>
    <w:rPr>
      <w:rFonts w:ascii="仿宋" w:hAnsi="仿宋" w:eastAsia="仿宋"/>
      <w:b/>
      <w:bCs/>
      <w:w w:val="90"/>
      <w:sz w:val="32"/>
      <w:szCs w:val="32"/>
    </w:rPr>
  </w:style>
  <w:style w:type="paragraph" w:styleId="8">
    <w:name w:val="footnote text"/>
    <w:basedOn w:val="1"/>
    <w:qFormat/>
    <w:uiPriority w:val="0"/>
    <w:pPr>
      <w:widowControl/>
      <w:snapToGrid w:val="0"/>
      <w:spacing w:line="560" w:lineRule="exact"/>
      <w:ind w:firstLine="960" w:firstLineChars="200"/>
      <w:jc w:val="left"/>
    </w:pPr>
    <w:rPr>
      <w:rFonts w:ascii="宋体" w:hAnsi="宋体" w:eastAsia="仿宋_GB2312" w:cs="宋体"/>
      <w:kern w:val="0"/>
      <w:sz w:val="18"/>
      <w:szCs w:val="18"/>
    </w:rPr>
  </w:style>
  <w:style w:type="paragraph" w:styleId="9">
    <w:name w:val="toc 2"/>
    <w:basedOn w:val="1"/>
    <w:next w:val="1"/>
    <w:unhideWhenUsed/>
    <w:qFormat/>
    <w:uiPriority w:val="39"/>
    <w:pPr>
      <w:ind w:left="420" w:left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styleId="14">
    <w:name w:val="footnote reference"/>
    <w:basedOn w:val="12"/>
    <w:qFormat/>
    <w:uiPriority w:val="0"/>
    <w:rPr>
      <w:vertAlign w:val="superscript"/>
    </w:rPr>
  </w:style>
  <w:style w:type="paragraph" w:customStyle="1" w:styleId="15">
    <w:name w:val="_Style 3"/>
    <w:basedOn w:val="1"/>
    <w:next w:val="16"/>
    <w:unhideWhenUsed/>
    <w:qFormat/>
    <w:uiPriority w:val="99"/>
    <w:pPr>
      <w:spacing w:line="360" w:lineRule="auto"/>
      <w:ind w:firstLine="420" w:firstLineChars="200"/>
      <w:jc w:val="left"/>
    </w:pPr>
    <w:rPr>
      <w:rFonts w:ascii="Times New Roman" w:hAnsi="Times New Roman" w:eastAsia="仿宋"/>
      <w:sz w:val="32"/>
      <w:szCs w:val="24"/>
      <w:lang w:eastAsia="zh-TW"/>
    </w:rPr>
  </w:style>
  <w:style w:type="paragraph" w:styleId="16">
    <w:name w:val="List Paragraph"/>
    <w:basedOn w:val="1"/>
    <w:qFormat/>
    <w:uiPriority w:val="34"/>
    <w:pPr>
      <w:ind w:firstLine="420" w:firstLineChars="200"/>
    </w:pPr>
  </w:style>
  <w:style w:type="character" w:customStyle="1" w:styleId="17">
    <w:name w:val="页眉 字符"/>
    <w:basedOn w:val="12"/>
    <w:link w:val="6"/>
    <w:qFormat/>
    <w:uiPriority w:val="0"/>
    <w:rPr>
      <w:rFonts w:ascii="等线" w:hAnsi="等线" w:eastAsia="等线"/>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D909E2-66AE-41C4-ABE6-EAE018629474}">
  <ds:schemaRefs/>
</ds:datastoreItem>
</file>

<file path=docProps/app.xml><?xml version="1.0" encoding="utf-8"?>
<Properties xmlns="http://schemas.openxmlformats.org/officeDocument/2006/extended-properties" xmlns:vt="http://schemas.openxmlformats.org/officeDocument/2006/docPropsVTypes">
  <Template>Normal</Template>
  <Pages>10</Pages>
  <Words>660</Words>
  <Characters>3767</Characters>
  <Lines>31</Lines>
  <Paragraphs>8</Paragraphs>
  <TotalTime>2</TotalTime>
  <ScaleCrop>false</ScaleCrop>
  <LinksUpToDate>false</LinksUpToDate>
  <CharactersWithSpaces>4419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2020-03-10T07:35:00Z</dcterms:created>
  <dc:creator>48933</dc:creator>
  <cp:lastModifiedBy>瑾王</cp:lastModifiedBy>
  <cp:lastPrinted>2022-04-25T08:04:00Z</cp:lastPrinted>
  <dcterms:modified xsi:type="dcterms:W3CDTF">2023-12-27T09:26:59Z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A5027BA605E6477C8FAD08FB13DB4A73_13</vt:lpwstr>
  </property>
</Properties>
</file>