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overflowPunct w:val="0"/>
        <w:jc w:val="both"/>
        <w:rPr>
          <w:rFonts w:ascii="黑体" w:hAnsi="黑体" w:eastAsia="黑体" w:cs="黑体"/>
          <w:sz w:val="44"/>
          <w:szCs w:val="44"/>
          <w:highlight w:val="none"/>
        </w:rPr>
      </w:pPr>
    </w:p>
    <w:p>
      <w:pPr>
        <w:keepNext w:val="0"/>
        <w:keepLines w:val="0"/>
        <w:pageBreakBefore w:val="0"/>
        <w:widowControl w:val="0"/>
        <w:kinsoku/>
        <w:wordWrap/>
        <w:overflowPunct w:val="0"/>
        <w:topLinePunct w:val="0"/>
        <w:autoSpaceDE w:val="0"/>
        <w:autoSpaceDN w:val="0"/>
        <w:bidi w:val="0"/>
        <w:adjustRightInd w:val="0"/>
        <w:snapToGrid w:val="0"/>
        <w:spacing w:line="700" w:lineRule="exact"/>
        <w:ind w:firstLine="0" w:firstLineChars="0"/>
        <w:jc w:val="center"/>
        <w:textAlignment w:val="auto"/>
        <w:rPr>
          <w:rFonts w:hint="eastAsia" w:ascii="方正小标宋简体" w:hAnsi="方正小标宋简体" w:eastAsia="方正小标宋简体" w:cs="方正小标宋简体"/>
          <w:sz w:val="44"/>
          <w:szCs w:val="44"/>
          <w:highlight w:val="none"/>
          <w:lang w:val="en-US"/>
        </w:rPr>
      </w:pPr>
    </w:p>
    <w:p>
      <w:pPr>
        <w:keepNext w:val="0"/>
        <w:keepLines w:val="0"/>
        <w:pageBreakBefore w:val="0"/>
        <w:widowControl w:val="0"/>
        <w:kinsoku/>
        <w:wordWrap/>
        <w:overflowPunct w:val="0"/>
        <w:topLinePunct w:val="0"/>
        <w:autoSpaceDE w:val="0"/>
        <w:autoSpaceDN w:val="0"/>
        <w:bidi w:val="0"/>
        <w:adjustRightInd w:val="0"/>
        <w:snapToGrid w:val="0"/>
        <w:spacing w:line="700" w:lineRule="exact"/>
        <w:ind w:firstLine="0" w:firstLineChars="0"/>
        <w:jc w:val="center"/>
        <w:textAlignment w:val="auto"/>
        <w:rPr>
          <w:rFonts w:hint="eastAsia" w:ascii="方正小标宋简体" w:hAnsi="方正小标宋简体" w:eastAsia="方正小标宋简体" w:cs="方正小标宋简体"/>
          <w:sz w:val="44"/>
          <w:szCs w:val="44"/>
          <w:highlight w:val="none"/>
          <w:lang w:val="en-US"/>
        </w:rPr>
      </w:pPr>
    </w:p>
    <w:p>
      <w:pPr>
        <w:keepNext w:val="0"/>
        <w:keepLines w:val="0"/>
        <w:pageBreakBefore w:val="0"/>
        <w:widowControl w:val="0"/>
        <w:kinsoku/>
        <w:wordWrap/>
        <w:overflowPunct w:val="0"/>
        <w:topLinePunct w:val="0"/>
        <w:autoSpaceDE w:val="0"/>
        <w:autoSpaceDN w:val="0"/>
        <w:bidi w:val="0"/>
        <w:adjustRightInd w:val="0"/>
        <w:snapToGrid w:val="0"/>
        <w:spacing w:line="700" w:lineRule="exact"/>
        <w:ind w:firstLine="0" w:firstLineChars="0"/>
        <w:jc w:val="center"/>
        <w:textAlignment w:val="auto"/>
        <w:rPr>
          <w:rFonts w:hint="eastAsia" w:ascii="方正小标宋简体" w:hAnsi="方正小标宋简体" w:eastAsia="方正小标宋简体" w:cs="方正小标宋简体"/>
          <w:sz w:val="44"/>
          <w:szCs w:val="44"/>
          <w:highlight w:val="none"/>
          <w:lang w:val="en-US"/>
        </w:rPr>
      </w:pPr>
      <w:r>
        <w:rPr>
          <w:rFonts w:hint="eastAsia" w:ascii="方正小标宋简体" w:hAnsi="方正小标宋简体" w:eastAsia="方正小标宋简体" w:cs="方正小标宋简体"/>
          <w:sz w:val="44"/>
          <w:szCs w:val="44"/>
          <w:highlight w:val="none"/>
          <w:lang w:val="en-US"/>
        </w:rPr>
        <w:t>202</w:t>
      </w:r>
      <w:r>
        <w:rPr>
          <w:rFonts w:hint="eastAsia" w:ascii="方正小标宋简体" w:hAnsi="方正小标宋简体" w:eastAsia="方正小标宋简体" w:cs="方正小标宋简体"/>
          <w:sz w:val="44"/>
          <w:szCs w:val="44"/>
          <w:highlight w:val="none"/>
          <w:lang w:val="en-US" w:eastAsia="zh-CN"/>
        </w:rPr>
        <w:t>1</w:t>
      </w:r>
      <w:r>
        <w:rPr>
          <w:rFonts w:hint="eastAsia" w:ascii="方正小标宋简体" w:hAnsi="方正小标宋简体" w:eastAsia="方正小标宋简体" w:cs="方正小标宋简体"/>
          <w:sz w:val="44"/>
          <w:szCs w:val="44"/>
          <w:highlight w:val="none"/>
          <w:lang w:val="en-US"/>
        </w:rPr>
        <w:t>年度</w:t>
      </w:r>
      <w:r>
        <w:rPr>
          <w:rFonts w:hint="eastAsia" w:ascii="方正小标宋简体" w:hAnsi="方正小标宋简体" w:eastAsia="方正小标宋简体" w:cs="方正小标宋简体"/>
          <w:sz w:val="44"/>
          <w:szCs w:val="44"/>
          <w:highlight w:val="none"/>
          <w:lang w:val="en-US" w:eastAsia="zh-CN"/>
        </w:rPr>
        <w:t>菏泽市城乡居民医疗保险基金</w:t>
      </w:r>
    </w:p>
    <w:p>
      <w:pPr>
        <w:keepNext w:val="0"/>
        <w:keepLines w:val="0"/>
        <w:pageBreakBefore w:val="0"/>
        <w:widowControl w:val="0"/>
        <w:kinsoku/>
        <w:wordWrap/>
        <w:overflowPunct w:val="0"/>
        <w:topLinePunct w:val="0"/>
        <w:autoSpaceDE w:val="0"/>
        <w:autoSpaceDN w:val="0"/>
        <w:bidi w:val="0"/>
        <w:adjustRightInd w:val="0"/>
        <w:snapToGrid w:val="0"/>
        <w:spacing w:line="700" w:lineRule="exact"/>
        <w:ind w:firstLine="0" w:firstLineChars="0"/>
        <w:jc w:val="center"/>
        <w:textAlignment w:val="auto"/>
        <w:rPr>
          <w:rFonts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lang w:val="en-US" w:eastAsia="zh-CN"/>
        </w:rPr>
        <w:t>项目支出</w:t>
      </w:r>
      <w:r>
        <w:rPr>
          <w:rFonts w:hint="eastAsia" w:ascii="方正小标宋简体" w:hAnsi="方正小标宋简体" w:eastAsia="方正小标宋简体" w:cs="方正小标宋简体"/>
          <w:sz w:val="44"/>
          <w:szCs w:val="44"/>
          <w:highlight w:val="none"/>
          <w:lang w:val="en-US"/>
        </w:rPr>
        <w:t>绩效评价</w:t>
      </w:r>
      <w:r>
        <w:rPr>
          <w:rFonts w:hint="eastAsia" w:ascii="方正小标宋简体" w:hAnsi="方正小标宋简体" w:eastAsia="方正小标宋简体" w:cs="方正小标宋简体"/>
          <w:sz w:val="44"/>
          <w:szCs w:val="44"/>
          <w:highlight w:val="none"/>
        </w:rPr>
        <w:t>报告</w:t>
      </w:r>
    </w:p>
    <w:p>
      <w:pPr>
        <w:pStyle w:val="9"/>
        <w:keepNext w:val="0"/>
        <w:keepLines w:val="0"/>
        <w:pageBreakBefore w:val="0"/>
        <w:widowControl w:val="0"/>
        <w:kinsoku/>
        <w:wordWrap/>
        <w:overflowPunct w:val="0"/>
        <w:topLinePunct w:val="0"/>
        <w:autoSpaceDE w:val="0"/>
        <w:autoSpaceDN w:val="0"/>
        <w:bidi w:val="0"/>
        <w:adjustRightInd w:val="0"/>
        <w:snapToGrid w:val="0"/>
        <w:spacing w:line="700" w:lineRule="exact"/>
        <w:ind w:firstLine="0" w:firstLineChars="0"/>
        <w:jc w:val="center"/>
        <w:textAlignment w:val="auto"/>
        <w:rPr>
          <w:rFonts w:ascii="黑体" w:hAnsi="黑体" w:eastAsia="黑体" w:cs="黑体"/>
          <w:sz w:val="44"/>
          <w:szCs w:val="44"/>
          <w:highlight w:val="none"/>
        </w:rPr>
      </w:pPr>
    </w:p>
    <w:p>
      <w:pPr>
        <w:pStyle w:val="9"/>
        <w:overflowPunct w:val="0"/>
        <w:jc w:val="center"/>
        <w:rPr>
          <w:rFonts w:ascii="黑体" w:hAnsi="黑体" w:eastAsia="黑体" w:cs="黑体"/>
          <w:sz w:val="44"/>
          <w:szCs w:val="44"/>
          <w:highlight w:val="none"/>
        </w:rPr>
      </w:pPr>
    </w:p>
    <w:p>
      <w:pPr>
        <w:pStyle w:val="9"/>
        <w:overflowPunct w:val="0"/>
        <w:jc w:val="center"/>
        <w:rPr>
          <w:rFonts w:ascii="黑体" w:hAnsi="黑体" w:eastAsia="黑体" w:cs="黑体"/>
          <w:sz w:val="44"/>
          <w:szCs w:val="44"/>
          <w:highlight w:val="none"/>
        </w:rPr>
      </w:pPr>
    </w:p>
    <w:p>
      <w:pPr>
        <w:pStyle w:val="9"/>
        <w:overflowPunct w:val="0"/>
        <w:jc w:val="center"/>
        <w:rPr>
          <w:rFonts w:ascii="黑体" w:hAnsi="黑体" w:eastAsia="黑体" w:cs="黑体"/>
          <w:sz w:val="44"/>
          <w:szCs w:val="44"/>
          <w:highlight w:val="none"/>
        </w:rPr>
      </w:pPr>
    </w:p>
    <w:p>
      <w:pPr>
        <w:pStyle w:val="9"/>
        <w:overflowPunct w:val="0"/>
        <w:jc w:val="center"/>
        <w:rPr>
          <w:rFonts w:ascii="黑体" w:hAnsi="黑体" w:eastAsia="黑体" w:cs="黑体"/>
          <w:sz w:val="44"/>
          <w:szCs w:val="44"/>
          <w:highlight w:val="none"/>
        </w:rPr>
      </w:pPr>
    </w:p>
    <w:p>
      <w:pPr>
        <w:pStyle w:val="9"/>
        <w:overflowPunct w:val="0"/>
        <w:jc w:val="center"/>
        <w:rPr>
          <w:rFonts w:ascii="黑体" w:hAnsi="黑体" w:eastAsia="黑体" w:cs="黑体"/>
          <w:sz w:val="44"/>
          <w:szCs w:val="44"/>
          <w:highlight w:val="none"/>
        </w:rPr>
      </w:pPr>
    </w:p>
    <w:p>
      <w:pPr>
        <w:pStyle w:val="9"/>
        <w:overflowPunct w:val="0"/>
        <w:jc w:val="center"/>
        <w:rPr>
          <w:rFonts w:ascii="黑体" w:hAnsi="黑体" w:eastAsia="黑体" w:cs="黑体"/>
          <w:sz w:val="44"/>
          <w:szCs w:val="44"/>
          <w:highlight w:val="none"/>
        </w:rPr>
      </w:pPr>
    </w:p>
    <w:p>
      <w:pPr>
        <w:pStyle w:val="9"/>
        <w:overflowPunct w:val="0"/>
        <w:jc w:val="both"/>
        <w:rPr>
          <w:rFonts w:ascii="黑体" w:hAnsi="黑体" w:eastAsia="黑体" w:cs="黑体"/>
          <w:sz w:val="44"/>
          <w:szCs w:val="44"/>
          <w:highlight w:val="none"/>
        </w:rPr>
      </w:pPr>
    </w:p>
    <w:p>
      <w:pPr>
        <w:pStyle w:val="6"/>
      </w:pPr>
    </w:p>
    <w:p>
      <w:pPr>
        <w:pStyle w:val="6"/>
      </w:pPr>
    </w:p>
    <w:p>
      <w:pPr>
        <w:pStyle w:val="6"/>
      </w:pPr>
    </w:p>
    <w:p>
      <w:pPr>
        <w:pStyle w:val="20"/>
        <w:keepNext w:val="0"/>
        <w:keepLines w:val="0"/>
        <w:pageBreakBefore w:val="0"/>
        <w:widowControl w:val="0"/>
        <w:kinsoku/>
        <w:wordWrap/>
        <w:overflowPunct/>
        <w:topLinePunct w:val="0"/>
        <w:autoSpaceDE w:val="0"/>
        <w:autoSpaceDN w:val="0"/>
        <w:bidi w:val="0"/>
        <w:adjustRightInd w:val="0"/>
        <w:snapToGrid w:val="0"/>
        <w:spacing w:line="700" w:lineRule="exact"/>
        <w:ind w:firstLine="640" w:firstLineChars="200"/>
        <w:jc w:val="center"/>
        <w:textAlignment w:val="auto"/>
        <w:rPr>
          <w:rFonts w:hint="eastAsia" w:ascii="黑体" w:hAnsi="黑体" w:eastAsia="黑体" w:cs="黑体"/>
          <w:sz w:val="32"/>
          <w:szCs w:val="32"/>
          <w:highlight w:val="none"/>
        </w:rPr>
      </w:pPr>
    </w:p>
    <w:p>
      <w:pPr>
        <w:pStyle w:val="20"/>
        <w:keepNext w:val="0"/>
        <w:keepLines w:val="0"/>
        <w:pageBreakBefore w:val="0"/>
        <w:widowControl w:val="0"/>
        <w:kinsoku/>
        <w:wordWrap/>
        <w:overflowPunct/>
        <w:topLinePunct w:val="0"/>
        <w:autoSpaceDE w:val="0"/>
        <w:autoSpaceDN w:val="0"/>
        <w:bidi w:val="0"/>
        <w:adjustRightInd w:val="0"/>
        <w:snapToGrid w:val="0"/>
        <w:spacing w:line="700" w:lineRule="exact"/>
        <w:ind w:firstLine="0" w:firstLineChars="0"/>
        <w:jc w:val="center"/>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eastAsia="zh-CN"/>
        </w:rPr>
        <w:t>山东国泰管理</w:t>
      </w:r>
      <w:r>
        <w:rPr>
          <w:rFonts w:hint="eastAsia" w:ascii="黑体" w:hAnsi="黑体" w:eastAsia="黑体" w:cs="黑体"/>
          <w:sz w:val="32"/>
          <w:szCs w:val="32"/>
          <w:highlight w:val="none"/>
        </w:rPr>
        <w:t>咨询有限公司</w:t>
      </w:r>
    </w:p>
    <w:p>
      <w:pPr>
        <w:pStyle w:val="20"/>
        <w:keepNext w:val="0"/>
        <w:keepLines w:val="0"/>
        <w:pageBreakBefore w:val="0"/>
        <w:widowControl w:val="0"/>
        <w:kinsoku/>
        <w:wordWrap/>
        <w:overflowPunct/>
        <w:topLinePunct w:val="0"/>
        <w:autoSpaceDE w:val="0"/>
        <w:autoSpaceDN w:val="0"/>
        <w:bidi w:val="0"/>
        <w:adjustRightInd w:val="0"/>
        <w:snapToGrid w:val="0"/>
        <w:spacing w:line="700" w:lineRule="exact"/>
        <w:ind w:firstLine="0" w:firstLineChars="0"/>
        <w:jc w:val="center"/>
        <w:textAlignment w:val="auto"/>
        <w:rPr>
          <w:rFonts w:hint="eastAsia"/>
          <w:lang w:val="en-US"/>
        </w:rPr>
        <w:sectPr>
          <w:headerReference r:id="rId6" w:type="first"/>
          <w:footerReference r:id="rId8" w:type="first"/>
          <w:headerReference r:id="rId5" w:type="default"/>
          <w:footerReference r:id="rId7" w:type="default"/>
          <w:pgSz w:w="11906" w:h="16838"/>
          <w:pgMar w:top="2098" w:right="1474" w:bottom="1984" w:left="1587" w:header="851" w:footer="992" w:gutter="0"/>
          <w:cols w:space="0" w:num="1"/>
          <w:titlePg/>
          <w:docGrid w:type="lines" w:linePitch="386" w:charSpace="0"/>
        </w:sectPr>
      </w:pPr>
      <w:r>
        <w:rPr>
          <w:rFonts w:hint="eastAsia" w:ascii="黑体" w:hAnsi="黑体" w:eastAsia="黑体" w:cs="黑体"/>
          <w:sz w:val="32"/>
          <w:szCs w:val="32"/>
          <w:highlight w:val="none"/>
          <w:lang w:val="en-US"/>
        </w:rPr>
        <w:t>202</w:t>
      </w:r>
      <w:r>
        <w:rPr>
          <w:rFonts w:hint="eastAsia" w:ascii="黑体" w:hAnsi="黑体" w:eastAsia="黑体" w:cs="黑体"/>
          <w:sz w:val="32"/>
          <w:szCs w:val="32"/>
          <w:highlight w:val="none"/>
          <w:lang w:val="en-US" w:eastAsia="zh-CN"/>
        </w:rPr>
        <w:t>2</w:t>
      </w:r>
      <w:r>
        <w:rPr>
          <w:rFonts w:hint="eastAsia" w:ascii="黑体" w:hAnsi="黑体" w:eastAsia="黑体" w:cs="黑体"/>
          <w:sz w:val="32"/>
          <w:szCs w:val="32"/>
          <w:highlight w:val="none"/>
          <w:lang w:val="en-US"/>
        </w:rPr>
        <w:t>年</w:t>
      </w:r>
      <w:r>
        <w:rPr>
          <w:rFonts w:hint="eastAsia" w:ascii="黑体" w:hAnsi="黑体" w:eastAsia="黑体" w:cs="黑体"/>
          <w:sz w:val="32"/>
          <w:szCs w:val="32"/>
          <w:highlight w:val="none"/>
          <w:lang w:val="en-US" w:eastAsia="zh-CN"/>
        </w:rPr>
        <w:t>10</w:t>
      </w:r>
      <w:bookmarkStart w:id="282" w:name="_GoBack"/>
      <w:bookmarkEnd w:id="282"/>
      <w:r>
        <w:rPr>
          <w:rFonts w:hint="eastAsia" w:ascii="黑体" w:hAnsi="黑体" w:eastAsia="黑体" w:cs="黑体"/>
          <w:sz w:val="32"/>
          <w:szCs w:val="32"/>
          <w:highlight w:val="none"/>
          <w:lang w:val="en-US"/>
        </w:rPr>
        <w:t>月</w:t>
      </w:r>
    </w:p>
    <w:p>
      <w:pPr>
        <w:pStyle w:val="3"/>
        <w:bidi w:val="0"/>
        <w:ind w:left="0" w:leftChars="0" w:firstLine="0" w:firstLineChars="0"/>
        <w:jc w:val="center"/>
      </w:pPr>
      <w:bookmarkStart w:id="0" w:name="_Toc13918"/>
      <w:bookmarkStart w:id="1" w:name="_Toc12429"/>
      <w:bookmarkStart w:id="2" w:name="_Toc5526"/>
      <w:bookmarkStart w:id="3" w:name="_Toc30898"/>
      <w:bookmarkStart w:id="4" w:name="_Toc31895"/>
      <w:bookmarkStart w:id="5" w:name="_Toc21050"/>
      <w:bookmarkStart w:id="6" w:name="_Toc18782"/>
      <w:bookmarkStart w:id="7" w:name="_Toc8870"/>
      <w:bookmarkStart w:id="8" w:name="_Toc4977"/>
      <w:bookmarkStart w:id="9" w:name="_Toc32054"/>
      <w:bookmarkStart w:id="10" w:name="_Toc16201"/>
      <w:bookmarkStart w:id="11" w:name="_Toc17417"/>
      <w:bookmarkStart w:id="12" w:name="_Toc16341"/>
      <w:bookmarkStart w:id="13" w:name="_Toc24505"/>
      <w:bookmarkStart w:id="14" w:name="_Toc18163"/>
      <w:bookmarkStart w:id="15" w:name="_Toc603"/>
      <w:bookmarkStart w:id="16" w:name="_Toc20998"/>
      <w:bookmarkStart w:id="17" w:name="_Toc19050"/>
      <w:bookmarkStart w:id="18" w:name="_Toc22173"/>
      <w:bookmarkStart w:id="19" w:name="_Toc9041"/>
      <w:bookmarkStart w:id="20" w:name="_Toc15917"/>
      <w:bookmarkStart w:id="21" w:name="_Toc7432"/>
      <w:bookmarkStart w:id="22" w:name="_Toc15220"/>
      <w:bookmarkStart w:id="23" w:name="_Toc2413"/>
      <w:bookmarkStart w:id="24" w:name="_Toc6819"/>
      <w:bookmarkStart w:id="25" w:name="_Toc13183"/>
      <w:r>
        <w:rPr>
          <w:rFonts w:hint="eastAsia" w:ascii="方正小标宋简体" w:hAnsi="仿宋_GB2312" w:eastAsia="方正小标宋简体" w:cs="仿宋_GB2312"/>
          <w:color w:val="auto"/>
          <w:sz w:val="44"/>
          <w:szCs w:val="22"/>
          <w:lang w:val="zh-CN" w:eastAsia="zh-CN" w:bidi="zh-CN"/>
        </w:rPr>
        <w:t>正</w:t>
      </w:r>
      <w:r>
        <w:rPr>
          <w:rFonts w:hint="eastAsia" w:ascii="方正小标宋简体" w:hAnsi="仿宋_GB2312" w:eastAsia="方正小标宋简体" w:cs="仿宋_GB2312"/>
          <w:color w:val="auto"/>
          <w:sz w:val="44"/>
          <w:szCs w:val="22"/>
          <w:lang w:val="en-US" w:eastAsia="zh-CN" w:bidi="zh-CN"/>
        </w:rPr>
        <w:t xml:space="preserve">  </w:t>
      </w:r>
      <w:r>
        <w:rPr>
          <w:rFonts w:hint="eastAsia" w:ascii="方正小标宋简体" w:hAnsi="仿宋_GB2312" w:eastAsia="方正小标宋简体" w:cs="仿宋_GB2312"/>
          <w:color w:val="auto"/>
          <w:sz w:val="44"/>
          <w:szCs w:val="22"/>
          <w:lang w:val="zh-CN" w:eastAsia="zh-CN" w:bidi="zh-CN"/>
        </w:rPr>
        <w:t>文</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keepNext w:val="0"/>
        <w:keepLines w:val="0"/>
        <w:pageBreakBefore w:val="0"/>
        <w:widowControl w:val="0"/>
        <w:kinsoku/>
        <w:wordWrap/>
        <w:overflowPunct/>
        <w:topLinePunct w:val="0"/>
        <w:autoSpaceDE w:val="0"/>
        <w:autoSpaceDN w:val="0"/>
        <w:bidi w:val="0"/>
        <w:adjustRightInd/>
        <w:snapToGrid/>
        <w:ind w:firstLine="640"/>
        <w:jc w:val="both"/>
        <w:textAlignment w:val="auto"/>
        <w:rPr>
          <w:rFonts w:hint="eastAsia" w:ascii="仿宋" w:hAnsi="仿宋" w:eastAsia="仿宋_GB2312" w:cs="仿宋"/>
          <w:color w:val="00B0F0"/>
          <w:sz w:val="21"/>
          <w:szCs w:val="20"/>
          <w:highlight w:val="none"/>
          <w:lang w:eastAsia="zh-CN"/>
        </w:rPr>
      </w:pPr>
      <w:r>
        <w:rPr>
          <w:rFonts w:hint="eastAsia"/>
          <w:color w:val="auto"/>
        </w:rPr>
        <w:t>为提升</w:t>
      </w:r>
      <w:r>
        <w:rPr>
          <w:rFonts w:hint="eastAsia"/>
          <w:color w:val="auto"/>
          <w:lang w:eastAsia="zh-CN"/>
        </w:rPr>
        <w:t>项目</w:t>
      </w:r>
      <w:r>
        <w:rPr>
          <w:rFonts w:hint="eastAsia"/>
          <w:color w:val="auto"/>
        </w:rPr>
        <w:t>管理水平，充分提高资金使用效率，根据</w:t>
      </w:r>
      <w:r>
        <w:rPr>
          <w:rFonts w:hint="eastAsia"/>
          <w:lang w:val="zh-CN"/>
        </w:rPr>
        <w:t>《中共山东省委山东省人民政府关于全面推进预算绩效管理的实施意见》（鲁发〔2019〕2号）</w:t>
      </w:r>
      <w:r>
        <w:rPr>
          <w:rFonts w:hint="eastAsia"/>
          <w:color w:val="auto"/>
        </w:rPr>
        <w:t>，我司受</w:t>
      </w:r>
      <w:r>
        <w:rPr>
          <w:rFonts w:hint="eastAsia"/>
          <w:color w:val="auto"/>
          <w:lang w:eastAsia="zh-CN"/>
        </w:rPr>
        <w:t>菏泽</w:t>
      </w:r>
      <w:r>
        <w:rPr>
          <w:rFonts w:hint="eastAsia"/>
          <w:color w:val="auto"/>
        </w:rPr>
        <w:t>市财政局委托，</w:t>
      </w:r>
      <w:r>
        <w:rPr>
          <w:rFonts w:hint="eastAsia"/>
          <w:color w:val="auto"/>
          <w:lang w:eastAsia="zh-CN"/>
        </w:rPr>
        <w:t>组成绩效评价组</w:t>
      </w:r>
      <w:r>
        <w:rPr>
          <w:rFonts w:hint="eastAsia"/>
          <w:color w:val="auto"/>
        </w:rPr>
        <w:t>对</w:t>
      </w:r>
      <w:r>
        <w:rPr>
          <w:rFonts w:hint="eastAsia"/>
          <w:color w:val="auto"/>
          <w:lang w:eastAsia="zh-CN"/>
        </w:rPr>
        <w:t>菏泽市城乡居民医疗保险基金项目进行了</w:t>
      </w:r>
      <w:r>
        <w:rPr>
          <w:rFonts w:hint="eastAsia"/>
          <w:color w:val="auto"/>
        </w:rPr>
        <w:t>绩效评价。</w:t>
      </w:r>
    </w:p>
    <w:p>
      <w:pPr>
        <w:pStyle w:val="3"/>
        <w:bidi w:val="0"/>
      </w:pPr>
      <w:bookmarkStart w:id="26" w:name="_Toc24152"/>
      <w:bookmarkStart w:id="27" w:name="_Toc29006"/>
      <w:bookmarkStart w:id="28" w:name="_Toc17095"/>
      <w:bookmarkStart w:id="29" w:name="_Toc23700"/>
      <w:bookmarkStart w:id="30" w:name="_Toc7028"/>
      <w:bookmarkStart w:id="31" w:name="_Toc23733"/>
      <w:bookmarkStart w:id="32" w:name="_Toc2275"/>
      <w:bookmarkStart w:id="33" w:name="_Toc12841"/>
      <w:bookmarkStart w:id="34" w:name="_Toc29532"/>
      <w:bookmarkStart w:id="35" w:name="_Toc22873"/>
      <w:bookmarkStart w:id="36" w:name="_Toc7278"/>
      <w:bookmarkStart w:id="37" w:name="_Toc24305"/>
      <w:bookmarkStart w:id="38" w:name="_Toc26331"/>
      <w:bookmarkStart w:id="39" w:name="_Toc4969"/>
      <w:bookmarkStart w:id="40" w:name="_Toc20638"/>
      <w:bookmarkStart w:id="41" w:name="_Toc13037"/>
      <w:bookmarkStart w:id="42" w:name="_Toc14100"/>
      <w:bookmarkStart w:id="43" w:name="_Toc10199"/>
      <w:bookmarkStart w:id="44" w:name="_Toc13974"/>
      <w:bookmarkStart w:id="45" w:name="_Toc2701"/>
      <w:bookmarkStart w:id="46" w:name="_Toc23412"/>
      <w:bookmarkStart w:id="47" w:name="_Toc17165"/>
      <w:bookmarkStart w:id="48" w:name="_Toc8218"/>
      <w:bookmarkStart w:id="49" w:name="_Toc3225"/>
      <w:r>
        <w:rPr>
          <w:rFonts w:hint="eastAsia"/>
        </w:rPr>
        <w:t>一、项目基本情况</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highlight w:val="none"/>
          <w:lang w:val="en-US"/>
        </w:rPr>
      </w:pPr>
      <w:r>
        <w:rPr>
          <w:rFonts w:hint="eastAsia" w:ascii="仿宋_GB2312" w:hAnsi="Times New Roman" w:eastAsia="仿宋_GB2312" w:cs="Times New Roman"/>
          <w:kern w:val="2"/>
          <w:sz w:val="32"/>
          <w:szCs w:val="32"/>
          <w:lang w:val="en-US" w:eastAsia="zh-CN" w:bidi="ar-SA"/>
        </w:rPr>
        <w:t>医疗保障制度是减轻群众就医困难，增进人民福祉，促进社会和谐稳定的重要制度。为更好地解决医疗保障领域发展不平衡不充分的问题，国务院发布《关于深化医疗保障制度改革的意见》，为推进医疗保障制度改革提出了更为明确的要</w:t>
      </w:r>
      <w:r>
        <w:rPr>
          <w:rFonts w:hint="eastAsia" w:ascii="仿宋_GB2312" w:hAnsi="Times New Roman" w:eastAsia="仿宋_GB2312" w:cs="Times New Roman"/>
          <w:color w:val="auto"/>
          <w:kern w:val="2"/>
          <w:sz w:val="32"/>
          <w:szCs w:val="32"/>
          <w:lang w:val="en-US" w:eastAsia="zh-CN" w:bidi="ar-SA"/>
        </w:rPr>
        <w:t>求。</w:t>
      </w:r>
      <w:r>
        <w:rPr>
          <w:rFonts w:hint="eastAsia" w:ascii="仿宋_GB2312" w:hAnsi="Times New Roman" w:eastAsia="仿宋_GB2312" w:cs="Times New Roman"/>
          <w:kern w:val="2"/>
          <w:sz w:val="32"/>
          <w:szCs w:val="32"/>
          <w:lang w:val="en-US" w:eastAsia="zh-CN" w:bidi="ar-SA"/>
        </w:rPr>
        <w:t>山东省政府和菏泽市政府也相继出台了实施意见和管理办法，扎实推进医疗保障制度改革。</w:t>
      </w:r>
      <w:r>
        <w:rPr>
          <w:rFonts w:hint="eastAsia" w:ascii="仿宋_GB2312" w:eastAsia="仿宋_GB2312"/>
          <w:kern w:val="2"/>
          <w:sz w:val="32"/>
          <w:szCs w:val="32"/>
          <w:lang w:eastAsia="zh-CN"/>
        </w:rPr>
        <w:t>根据《山东省人民政府关于建立居民基本医疗保险制度的意见》（鲁政发</w:t>
      </w:r>
      <w:r>
        <w:rPr>
          <w:rFonts w:hint="eastAsia" w:ascii="仿宋_GB2312" w:hAnsi="Times New Roman" w:eastAsia="仿宋_GB2312" w:cs="Times New Roman"/>
          <w:kern w:val="2"/>
          <w:sz w:val="32"/>
          <w:szCs w:val="32"/>
          <w:lang w:val="en-US" w:eastAsia="zh-CN" w:bidi="ar-SA"/>
        </w:rPr>
        <w:t>〔20</w:t>
      </w:r>
      <w:r>
        <w:rPr>
          <w:rFonts w:hint="eastAsia" w:ascii="仿宋_GB2312" w:eastAsia="仿宋_GB2312" w:cs="Times New Roman"/>
          <w:kern w:val="2"/>
          <w:sz w:val="32"/>
          <w:szCs w:val="32"/>
          <w:lang w:val="en-US" w:eastAsia="zh-CN" w:bidi="ar-SA"/>
        </w:rPr>
        <w:t>13</w:t>
      </w:r>
      <w:r>
        <w:rPr>
          <w:rFonts w:hint="eastAsia" w:ascii="仿宋_GB2312" w:hAnsi="Times New Roman" w:eastAsia="仿宋_GB2312" w:cs="Times New Roman"/>
          <w:kern w:val="2"/>
          <w:sz w:val="32"/>
          <w:szCs w:val="32"/>
          <w:lang w:val="en-US" w:eastAsia="zh-CN" w:bidi="ar-SA"/>
        </w:rPr>
        <w:t>〕</w:t>
      </w:r>
      <w:r>
        <w:rPr>
          <w:rFonts w:hint="eastAsia" w:ascii="仿宋_GB2312" w:eastAsia="仿宋_GB2312" w:cs="Times New Roman"/>
          <w:kern w:val="2"/>
          <w:sz w:val="32"/>
          <w:szCs w:val="32"/>
          <w:lang w:val="en-US" w:eastAsia="zh-CN" w:bidi="ar-SA"/>
        </w:rPr>
        <w:t>31</w:t>
      </w:r>
      <w:r>
        <w:rPr>
          <w:rFonts w:hint="eastAsia" w:ascii="仿宋_GB2312" w:hAnsi="Times New Roman" w:eastAsia="仿宋_GB2312" w:cs="Times New Roman"/>
          <w:kern w:val="2"/>
          <w:sz w:val="32"/>
          <w:szCs w:val="32"/>
          <w:lang w:val="en-US" w:eastAsia="zh-CN" w:bidi="ar-SA"/>
        </w:rPr>
        <w:t>号</w:t>
      </w:r>
      <w:r>
        <w:rPr>
          <w:rFonts w:hint="eastAsia" w:ascii="仿宋_GB2312" w:eastAsia="仿宋_GB2312"/>
          <w:kern w:val="2"/>
          <w:sz w:val="32"/>
          <w:szCs w:val="32"/>
          <w:lang w:eastAsia="zh-CN"/>
        </w:rPr>
        <w:t>），自</w:t>
      </w:r>
      <w:r>
        <w:rPr>
          <w:rFonts w:hint="eastAsia" w:ascii="仿宋_GB2312" w:eastAsia="仿宋_GB2312"/>
          <w:kern w:val="2"/>
          <w:sz w:val="32"/>
          <w:szCs w:val="32"/>
          <w:lang w:val="en-US" w:eastAsia="zh-CN"/>
        </w:rPr>
        <w:t>2014年1月1日山东省将城镇居民基本医疗保险和新农村合作医疗保险整合为城乡居民基本医疗保险即本项目，延续至今</w:t>
      </w:r>
      <w:r>
        <w:rPr>
          <w:rFonts w:hint="eastAsia"/>
          <w:highlight w:val="none"/>
          <w:lang w:val="en-US"/>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eastAsia="仿宋_GB2312"/>
          <w:lang w:val="en-US" w:eastAsia="zh-CN"/>
        </w:rPr>
      </w:pPr>
      <w:r>
        <w:rPr>
          <w:rFonts w:hint="eastAsia" w:ascii="仿宋_GB2312" w:hAnsi="Times New Roman" w:eastAsia="仿宋_GB2312" w:cs="Times New Roman"/>
          <w:kern w:val="2"/>
          <w:sz w:val="32"/>
          <w:szCs w:val="32"/>
          <w:lang w:val="en-US" w:eastAsia="zh-CN" w:bidi="ar-SA"/>
        </w:rPr>
        <w:t>2021年居民基本医疗保险实际筹资标准为860元/人年，其中：个人实际缴费为280元/人年；2021年各级政府对居民基本医疗保险补助580元/人年（省属高校参保学生全部由省级财政补助）。2021年，</w:t>
      </w:r>
      <w:r>
        <w:rPr>
          <w:rFonts w:hint="eastAsia" w:ascii="仿宋_GB2312" w:eastAsia="仿宋_GB2312" w:cs="Times New Roman"/>
          <w:kern w:val="2"/>
          <w:sz w:val="32"/>
          <w:szCs w:val="32"/>
          <w:lang w:val="en-US" w:eastAsia="zh-CN" w:bidi="ar-SA"/>
        </w:rPr>
        <w:t>菏泽</w:t>
      </w:r>
      <w:r>
        <w:rPr>
          <w:rFonts w:hint="eastAsia" w:ascii="仿宋_GB2312" w:hAnsi="Times New Roman" w:eastAsia="仿宋_GB2312" w:cs="Times New Roman"/>
          <w:kern w:val="2"/>
          <w:sz w:val="32"/>
          <w:szCs w:val="32"/>
          <w:lang w:val="en-US" w:eastAsia="zh-CN" w:bidi="ar-SA"/>
        </w:rPr>
        <w:t>市居民基本医疗保险参保缴费人数为8420357人（其中，省属高校大学生参保4700人），参保人数之和小于户籍人口数、大于常住人口数，参保率102%，参保率继续稳定在高位。</w:t>
      </w:r>
    </w:p>
    <w:p>
      <w:pPr>
        <w:pStyle w:val="3"/>
        <w:bidi w:val="0"/>
        <w:rPr>
          <w:rFonts w:hint="eastAsia"/>
          <w:highlight w:val="none"/>
          <w:lang w:val="en-US"/>
        </w:rPr>
      </w:pPr>
      <w:bookmarkStart w:id="50" w:name="_Toc30311"/>
      <w:bookmarkStart w:id="51" w:name="_Toc27581"/>
      <w:bookmarkStart w:id="52" w:name="_Toc10585"/>
      <w:bookmarkStart w:id="53" w:name="_Toc520"/>
      <w:bookmarkStart w:id="54" w:name="_Toc26300"/>
      <w:bookmarkStart w:id="55" w:name="_Toc10691"/>
      <w:bookmarkStart w:id="56" w:name="_Toc8168"/>
      <w:bookmarkStart w:id="57" w:name="_Toc3822"/>
      <w:bookmarkStart w:id="58" w:name="_Toc26201"/>
      <w:bookmarkStart w:id="59" w:name="_Toc11887"/>
      <w:bookmarkStart w:id="60" w:name="_Toc13671"/>
      <w:bookmarkStart w:id="61" w:name="_Toc26055"/>
      <w:bookmarkStart w:id="62" w:name="_Toc1820"/>
      <w:bookmarkStart w:id="63" w:name="_Toc32618"/>
      <w:bookmarkStart w:id="64" w:name="_Toc16446"/>
      <w:bookmarkStart w:id="65" w:name="_Toc2225"/>
      <w:bookmarkStart w:id="66" w:name="_Toc17136"/>
      <w:bookmarkStart w:id="67" w:name="_Toc2831"/>
      <w:bookmarkStart w:id="68" w:name="_Toc27003"/>
      <w:bookmarkStart w:id="69" w:name="_Toc16787"/>
      <w:bookmarkStart w:id="70" w:name="_Toc6037"/>
      <w:bookmarkStart w:id="71" w:name="_Toc23029"/>
      <w:bookmarkStart w:id="72" w:name="_Toc31332"/>
      <w:bookmarkStart w:id="73" w:name="_Toc21565"/>
      <w:r>
        <w:rPr>
          <w:rFonts w:hint="eastAsia"/>
          <w:sz w:val="30"/>
          <w:szCs w:val="30"/>
          <w:lang w:val="en-US" w:eastAsia="zh-CN"/>
        </w:rPr>
        <w:t>二、</w:t>
      </w:r>
      <w:r>
        <w:rPr>
          <w:rFonts w:hint="eastAsia"/>
          <w:sz w:val="30"/>
          <w:szCs w:val="30"/>
        </w:rPr>
        <w:t>项目实施内容</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pPr>
        <w:pageBreakBefore w:val="0"/>
        <w:widowControl w:val="0"/>
        <w:kinsoku/>
        <w:wordWrap/>
        <w:topLinePunct w:val="0"/>
        <w:autoSpaceDE w:val="0"/>
        <w:autoSpaceDN w:val="0"/>
        <w:bidi w:val="0"/>
        <w:adjustRightInd/>
        <w:snapToGrid/>
        <w:jc w:val="both"/>
        <w:textAlignment w:val="auto"/>
        <w:rPr>
          <w:rFonts w:hint="default"/>
          <w:lang w:val="en-US" w:eastAsia="zh-CN"/>
        </w:rPr>
      </w:pPr>
      <w:r>
        <w:rPr>
          <w:rFonts w:hint="eastAsia"/>
          <w:kern w:val="2"/>
          <w:sz w:val="32"/>
          <w:szCs w:val="32"/>
          <w:lang w:val="en-US" w:eastAsia="zh-CN"/>
        </w:rPr>
        <w:t>我国的社会保险分为城镇职工社保和城乡居民社保，城镇职工社保分为养老、医疗、生育、失业、工伤保险五部分；城乡居民社保分为城乡居民养老保险和城乡居民医疗保险。</w:t>
      </w:r>
      <w:r>
        <w:rPr>
          <w:rFonts w:hint="eastAsia" w:ascii="仿宋_GB2312" w:eastAsia="仿宋_GB2312"/>
          <w:kern w:val="2"/>
          <w:sz w:val="32"/>
          <w:szCs w:val="32"/>
          <w:lang w:eastAsia="zh-CN"/>
        </w:rPr>
        <w:t>城乡居民医疗保险</w:t>
      </w:r>
      <w:r>
        <w:rPr>
          <w:rFonts w:hint="eastAsia" w:ascii="仿宋_GB2312" w:eastAsia="仿宋_GB2312"/>
          <w:kern w:val="2"/>
          <w:sz w:val="32"/>
          <w:szCs w:val="32"/>
        </w:rPr>
        <w:t>政策</w:t>
      </w:r>
      <w:r>
        <w:rPr>
          <w:rFonts w:hint="eastAsia" w:ascii="仿宋_GB2312" w:eastAsia="仿宋_GB2312"/>
          <w:kern w:val="2"/>
          <w:sz w:val="32"/>
          <w:szCs w:val="32"/>
          <w:lang w:eastAsia="zh-CN"/>
        </w:rPr>
        <w:t>是一项</w:t>
      </w:r>
      <w:r>
        <w:rPr>
          <w:rFonts w:hint="eastAsia" w:ascii="仿宋_GB2312" w:eastAsia="仿宋_GB2312"/>
          <w:kern w:val="2"/>
          <w:sz w:val="32"/>
          <w:szCs w:val="32"/>
        </w:rPr>
        <w:t>延续性政策，</w:t>
      </w:r>
      <w:r>
        <w:rPr>
          <w:rFonts w:hint="eastAsia" w:ascii="仿宋_GB2312" w:eastAsia="仿宋_GB2312"/>
          <w:kern w:val="2"/>
          <w:sz w:val="32"/>
          <w:szCs w:val="32"/>
          <w:lang w:eastAsia="zh-CN"/>
        </w:rPr>
        <w:t>是整合城乡居民医保和新型农村合作医疗两项制度而形成的一项统一的制度。</w:t>
      </w:r>
      <w:r>
        <w:rPr>
          <w:rFonts w:hint="eastAsia" w:ascii="仿宋_GB2312" w:eastAsia="仿宋_GB2312"/>
          <w:kern w:val="2"/>
          <w:sz w:val="32"/>
          <w:szCs w:val="32"/>
        </w:rPr>
        <w:t>通过</w:t>
      </w:r>
      <w:r>
        <w:rPr>
          <w:rFonts w:hint="eastAsia" w:ascii="仿宋_GB2312" w:eastAsia="仿宋_GB2312"/>
          <w:kern w:val="2"/>
          <w:sz w:val="32"/>
          <w:szCs w:val="32"/>
          <w:lang w:eastAsia="zh-CN"/>
        </w:rPr>
        <w:t>财政拨款和个人缴费组成医疗保险基金，在</w:t>
      </w:r>
      <w:r>
        <w:rPr>
          <w:rFonts w:hint="eastAsia"/>
          <w:kern w:val="2"/>
          <w:sz w:val="32"/>
          <w:szCs w:val="32"/>
          <w:lang w:eastAsia="zh-CN"/>
        </w:rPr>
        <w:t>参保</w:t>
      </w:r>
      <w:r>
        <w:rPr>
          <w:rFonts w:hint="eastAsia" w:ascii="仿宋_GB2312" w:eastAsia="仿宋_GB2312"/>
          <w:kern w:val="2"/>
          <w:sz w:val="32"/>
          <w:szCs w:val="32"/>
          <w:lang w:eastAsia="zh-CN"/>
        </w:rPr>
        <w:t>居民就医时对其医疗费用进行报销补助</w:t>
      </w:r>
      <w:r>
        <w:rPr>
          <w:rFonts w:hint="eastAsia"/>
          <w:lang w:val="en-US" w:eastAsia="zh-CN"/>
        </w:rPr>
        <w:t>。</w:t>
      </w:r>
    </w:p>
    <w:p>
      <w:pPr>
        <w:pStyle w:val="3"/>
        <w:bidi w:val="0"/>
        <w:rPr>
          <w:rFonts w:hint="default"/>
          <w:sz w:val="30"/>
          <w:szCs w:val="30"/>
          <w:lang w:val="en-US" w:eastAsia="zh-CN"/>
        </w:rPr>
      </w:pPr>
      <w:r>
        <w:rPr>
          <w:rFonts w:hint="eastAsia"/>
          <w:sz w:val="30"/>
          <w:szCs w:val="30"/>
          <w:lang w:val="en-US" w:eastAsia="zh-CN"/>
        </w:rPr>
        <w:t>三、资金安排及支出情况</w:t>
      </w:r>
    </w:p>
    <w:p>
      <w:pPr>
        <w:pStyle w:val="5"/>
        <w:bidi w:val="0"/>
        <w:rPr>
          <w:rFonts w:hint="eastAsia" w:eastAsia="仿宋_GB2312"/>
          <w:color w:val="FF0000"/>
          <w:lang w:val="en-US" w:eastAsia="zh-CN"/>
        </w:rPr>
      </w:pPr>
      <w:bookmarkStart w:id="74" w:name="_Toc10036"/>
      <w:r>
        <w:rPr>
          <w:rFonts w:hint="eastAsia"/>
          <w:lang w:val="en-US" w:eastAsia="zh-CN"/>
        </w:rPr>
        <w:t>1.基金预算</w:t>
      </w:r>
      <w:r>
        <w:rPr>
          <w:rFonts w:hint="eastAsia"/>
          <w:lang w:val="en-US"/>
        </w:rPr>
        <w:t>情况</w:t>
      </w:r>
      <w:bookmarkEnd w:id="74"/>
    </w:p>
    <w:p>
      <w:pPr>
        <w:rPr>
          <w:rFonts w:hint="default" w:eastAsia="仿宋_GB2312"/>
          <w:lang w:val="en-US" w:eastAsia="zh-CN"/>
        </w:rPr>
      </w:pPr>
      <w:r>
        <w:rPr>
          <w:rFonts w:hint="eastAsia"/>
          <w:lang w:val="en-US" w:eastAsia="zh-CN"/>
        </w:rPr>
        <w:t>城乡居民医疗保险的费率标准由省政府确定，根据省里确定的费率标准，各区县医保局参考上一年度的运行情况编制本级预算上报菏泽市医保局，菏泽市医保局进行汇总分析，编制总预算。2021年本项目省市县三级财政补贴共计490087万元。</w:t>
      </w:r>
    </w:p>
    <w:p>
      <w:pPr>
        <w:pStyle w:val="8"/>
        <w:bidi w:val="0"/>
        <w:rPr>
          <w:lang w:val="en-US"/>
        </w:rPr>
      </w:pPr>
      <w:r>
        <w:rPr>
          <w:rFonts w:hint="eastAsia"/>
          <w:lang w:val="en-US" w:eastAsia="zh-CN"/>
        </w:rPr>
        <w:t>2</w:t>
      </w:r>
      <w:r>
        <w:rPr>
          <w:rFonts w:hint="eastAsia"/>
          <w:lang w:val="en-US"/>
        </w:rPr>
        <w:t>.资金来源</w:t>
      </w:r>
    </w:p>
    <w:p>
      <w:pPr>
        <w:keepNext w:val="0"/>
        <w:keepLines w:val="0"/>
        <w:pageBreakBefore w:val="0"/>
        <w:widowControl w:val="0"/>
        <w:kinsoku/>
        <w:wordWrap/>
        <w:overflowPunct/>
        <w:topLinePunct w:val="0"/>
        <w:autoSpaceDE w:val="0"/>
        <w:autoSpaceDN w:val="0"/>
        <w:bidi w:val="0"/>
        <w:adjustRightInd/>
        <w:snapToGrid/>
        <w:jc w:val="both"/>
        <w:textAlignment w:val="auto"/>
        <w:rPr>
          <w:rFonts w:hint="eastAsia"/>
          <w:color w:val="FF0000"/>
          <w:lang w:eastAsia="zh-CN"/>
        </w:rPr>
      </w:pPr>
      <w:bookmarkStart w:id="75" w:name="_Toc14501"/>
      <w:bookmarkStart w:id="76" w:name="_Toc14303"/>
      <w:bookmarkStart w:id="77" w:name="_Toc3936"/>
      <w:bookmarkStart w:id="78" w:name="_Toc22526"/>
      <w:r>
        <w:rPr>
          <w:rFonts w:hint="eastAsia"/>
          <w:lang w:val="en-US" w:eastAsia="zh-CN"/>
        </w:rPr>
        <w:t>城乡居民医疗保险基金由两大部分组成，一部分是个人缴费，一部分是财政补贴。2021年本项目政府补贴共计490087万元，其中，</w:t>
      </w:r>
      <w:r>
        <w:rPr>
          <w:rFonts w:hint="eastAsia"/>
          <w:color w:val="auto"/>
          <w:lang w:val="en-US" w:eastAsia="zh-CN"/>
        </w:rPr>
        <w:t>中央财政补助收入306817万元，省级财政补助收入118637万元，市及市以下各级财政补助收入64480万元。</w:t>
      </w:r>
      <w:r>
        <w:rPr>
          <w:rFonts w:hint="eastAsia"/>
          <w:lang w:val="en-US" w:eastAsia="zh-CN"/>
        </w:rPr>
        <w:t>个人缴费共计279593万元，另有利息收入4685万元</w:t>
      </w:r>
      <w:r>
        <w:rPr>
          <w:rFonts w:hint="eastAsia"/>
          <w:lang w:eastAsia="zh-CN"/>
        </w:rPr>
        <w:t>。</w:t>
      </w:r>
      <w:bookmarkEnd w:id="75"/>
      <w:bookmarkEnd w:id="76"/>
      <w:bookmarkEnd w:id="77"/>
      <w:bookmarkEnd w:id="78"/>
    </w:p>
    <w:p>
      <w:pPr>
        <w:pStyle w:val="8"/>
        <w:bidi w:val="0"/>
        <w:rPr>
          <w:rFonts w:hint="eastAsia"/>
          <w:lang w:val="en-US" w:eastAsia="zh-CN"/>
        </w:rPr>
      </w:pPr>
      <w:bookmarkStart w:id="79" w:name="_Toc5529"/>
      <w:bookmarkStart w:id="80" w:name="_Toc6589"/>
      <w:bookmarkStart w:id="81" w:name="_Toc3080"/>
      <w:bookmarkStart w:id="82" w:name="_Toc6824"/>
      <w:bookmarkStart w:id="83" w:name="_Toc22969"/>
      <w:bookmarkStart w:id="84" w:name="_Toc2864"/>
      <w:bookmarkStart w:id="85" w:name="_Toc3534"/>
      <w:bookmarkStart w:id="86" w:name="_Toc15147"/>
      <w:bookmarkStart w:id="87" w:name="_Toc1382"/>
      <w:bookmarkStart w:id="88" w:name="_Toc24674"/>
      <w:bookmarkStart w:id="89" w:name="_Toc14791"/>
      <w:bookmarkStart w:id="90" w:name="_Toc1359"/>
      <w:bookmarkStart w:id="91" w:name="_Toc21949"/>
      <w:bookmarkStart w:id="92" w:name="_Toc4057"/>
      <w:bookmarkStart w:id="93" w:name="_Toc26406"/>
      <w:bookmarkStart w:id="94" w:name="_Toc31169"/>
      <w:bookmarkStart w:id="95" w:name="_Toc28472"/>
      <w:bookmarkStart w:id="96" w:name="_Toc26064"/>
      <w:bookmarkStart w:id="97" w:name="_Toc12730"/>
      <w:bookmarkStart w:id="98" w:name="_Toc23771"/>
      <w:bookmarkStart w:id="99" w:name="_Toc11769"/>
      <w:bookmarkStart w:id="100" w:name="_Toc26863"/>
      <w:bookmarkStart w:id="101" w:name="_Toc8072"/>
      <w:bookmarkStart w:id="102" w:name="_Toc21625"/>
      <w:r>
        <w:rPr>
          <w:rFonts w:hint="eastAsia"/>
          <w:lang w:val="en-US" w:eastAsia="zh-CN"/>
        </w:rPr>
        <w:t>3.资金支出</w:t>
      </w:r>
    </w:p>
    <w:p>
      <w:pPr>
        <w:numPr>
          <w:ilvl w:val="0"/>
          <w:numId w:val="0"/>
        </w:numPr>
        <w:ind w:firstLine="640" w:firstLineChars="200"/>
        <w:rPr>
          <w:rFonts w:hint="default"/>
          <w:lang w:val="en-US" w:eastAsia="zh-CN"/>
        </w:rPr>
      </w:pPr>
      <w:r>
        <w:rPr>
          <w:rFonts w:hint="eastAsia"/>
          <w:lang w:val="en-US" w:eastAsia="zh-CN"/>
        </w:rPr>
        <w:t>2021年度菏泽市城乡居民医疗保险总支出871782万元。</w:t>
      </w:r>
    </w:p>
    <w:p>
      <w:pPr>
        <w:pStyle w:val="3"/>
        <w:bidi w:val="0"/>
        <w:rPr>
          <w:rFonts w:hint="eastAsia"/>
        </w:rPr>
      </w:pPr>
      <w:r>
        <w:rPr>
          <w:rFonts w:hint="eastAsia"/>
          <w:lang w:val="en-US" w:eastAsia="zh-CN"/>
        </w:rPr>
        <w:t>四、</w:t>
      </w:r>
      <w:r>
        <w:rPr>
          <w:rFonts w:hint="eastAsia"/>
        </w:rPr>
        <w:t>项目组织管理</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pPr>
        <w:pStyle w:val="9"/>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kern w:val="2"/>
          <w:sz w:val="32"/>
          <w:szCs w:val="32"/>
        </w:rPr>
      </w:pPr>
      <w:r>
        <w:rPr>
          <w:rFonts w:hint="eastAsia" w:ascii="仿宋_GB2312" w:eastAsia="仿宋_GB2312"/>
          <w:kern w:val="2"/>
          <w:sz w:val="32"/>
          <w:szCs w:val="32"/>
        </w:rPr>
        <w:t>1.主管部门</w:t>
      </w:r>
    </w:p>
    <w:p>
      <w:pPr>
        <w:pStyle w:val="9"/>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kern w:val="2"/>
          <w:sz w:val="32"/>
          <w:szCs w:val="32"/>
          <w:lang w:val="en-US" w:eastAsia="zh-CN"/>
        </w:rPr>
      </w:pPr>
      <w:r>
        <w:rPr>
          <w:rFonts w:hint="eastAsia" w:ascii="仿宋_GB2312" w:eastAsia="仿宋_GB2312"/>
          <w:kern w:val="2"/>
          <w:sz w:val="32"/>
          <w:szCs w:val="32"/>
          <w:lang w:val="en-US" w:eastAsia="zh-CN"/>
        </w:rPr>
        <w:t>城乡居民医疗保险基金项目实施主管部门为菏泽市医疗保障局。</w:t>
      </w:r>
    </w:p>
    <w:p>
      <w:pPr>
        <w:pStyle w:val="9"/>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kern w:val="2"/>
          <w:sz w:val="32"/>
          <w:szCs w:val="32"/>
          <w:lang w:eastAsia="zh-CN"/>
        </w:rPr>
      </w:pPr>
      <w:r>
        <w:rPr>
          <w:rFonts w:hint="eastAsia" w:ascii="仿宋_GB2312" w:eastAsia="仿宋_GB2312"/>
          <w:kern w:val="2"/>
          <w:sz w:val="32"/>
          <w:szCs w:val="32"/>
        </w:rPr>
        <w:t>2.具体实施</w:t>
      </w:r>
      <w:r>
        <w:rPr>
          <w:rFonts w:hint="eastAsia" w:ascii="仿宋_GB2312" w:eastAsia="仿宋_GB2312"/>
          <w:kern w:val="2"/>
          <w:sz w:val="32"/>
          <w:szCs w:val="32"/>
          <w:lang w:eastAsia="zh-CN"/>
        </w:rPr>
        <w:t>单位</w:t>
      </w:r>
    </w:p>
    <w:p>
      <w:pPr>
        <w:pStyle w:val="9"/>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kern w:val="2"/>
          <w:sz w:val="32"/>
          <w:szCs w:val="32"/>
          <w:lang w:val="en-US" w:eastAsia="zh-CN"/>
        </w:rPr>
      </w:pPr>
      <w:r>
        <w:rPr>
          <w:rFonts w:hint="eastAsia" w:ascii="仿宋_GB2312" w:eastAsia="仿宋_GB2312"/>
          <w:kern w:val="2"/>
          <w:sz w:val="32"/>
          <w:szCs w:val="32"/>
          <w:lang w:val="en-US" w:eastAsia="zh-CN"/>
        </w:rPr>
        <w:t>具体实施</w:t>
      </w:r>
      <w:r>
        <w:rPr>
          <w:rFonts w:hint="eastAsia"/>
          <w:kern w:val="2"/>
          <w:sz w:val="32"/>
          <w:szCs w:val="32"/>
          <w:lang w:val="en-US" w:eastAsia="zh-CN"/>
        </w:rPr>
        <w:t>单位</w:t>
      </w:r>
      <w:r>
        <w:rPr>
          <w:rFonts w:hint="eastAsia" w:ascii="仿宋_GB2312" w:eastAsia="仿宋_GB2312"/>
          <w:kern w:val="2"/>
          <w:sz w:val="32"/>
          <w:szCs w:val="32"/>
          <w:lang w:val="en-US" w:eastAsia="zh-CN"/>
        </w:rPr>
        <w:t>为各县区医疗保障</w:t>
      </w:r>
      <w:r>
        <w:rPr>
          <w:rFonts w:hint="eastAsia"/>
          <w:kern w:val="2"/>
          <w:sz w:val="32"/>
          <w:szCs w:val="32"/>
          <w:lang w:val="en-US" w:eastAsia="zh-CN"/>
        </w:rPr>
        <w:t>部门</w:t>
      </w:r>
      <w:r>
        <w:rPr>
          <w:rFonts w:hint="eastAsia" w:ascii="仿宋_GB2312" w:eastAsia="仿宋_GB2312"/>
          <w:kern w:val="2"/>
          <w:sz w:val="32"/>
          <w:szCs w:val="32"/>
          <w:lang w:val="en-US" w:eastAsia="zh-CN"/>
        </w:rPr>
        <w:t>、全市各定点医疗机构</w:t>
      </w:r>
      <w:r>
        <w:rPr>
          <w:rFonts w:hint="eastAsia"/>
          <w:kern w:val="2"/>
          <w:sz w:val="32"/>
          <w:szCs w:val="32"/>
          <w:lang w:val="en-US" w:eastAsia="zh-CN"/>
        </w:rPr>
        <w:t>（包含村级卫生室）</w:t>
      </w:r>
      <w:r>
        <w:rPr>
          <w:rFonts w:hint="eastAsia" w:ascii="仿宋_GB2312" w:eastAsia="仿宋_GB2312"/>
          <w:kern w:val="2"/>
          <w:sz w:val="32"/>
          <w:szCs w:val="32"/>
          <w:lang w:val="en-US" w:eastAsia="zh-CN"/>
        </w:rPr>
        <w:t>。</w:t>
      </w:r>
    </w:p>
    <w:p>
      <w:pPr>
        <w:pStyle w:val="3"/>
        <w:bidi w:val="0"/>
        <w:rPr>
          <w:rFonts w:hint="eastAsia" w:eastAsia="黑体"/>
          <w:lang w:val="en-US" w:eastAsia="zh-CN"/>
        </w:rPr>
      </w:pPr>
      <w:bookmarkStart w:id="103" w:name="_Toc8152"/>
      <w:bookmarkStart w:id="104" w:name="_Toc17521"/>
      <w:bookmarkStart w:id="105" w:name="_Toc3414"/>
      <w:bookmarkStart w:id="106" w:name="_Toc12931"/>
      <w:bookmarkStart w:id="107" w:name="_Toc10681"/>
      <w:bookmarkStart w:id="108" w:name="_Toc12600"/>
      <w:bookmarkStart w:id="109" w:name="_Toc9484"/>
      <w:bookmarkStart w:id="110" w:name="_Toc2653"/>
      <w:bookmarkStart w:id="111" w:name="_Toc10481"/>
      <w:bookmarkStart w:id="112" w:name="_Toc18475"/>
      <w:bookmarkStart w:id="113" w:name="_Toc10867"/>
      <w:bookmarkStart w:id="114" w:name="_Toc23847"/>
      <w:bookmarkStart w:id="115" w:name="_Toc12064"/>
      <w:bookmarkStart w:id="116" w:name="_Toc5212"/>
      <w:bookmarkStart w:id="117" w:name="_Toc9053"/>
      <w:bookmarkStart w:id="118" w:name="_Toc12051"/>
      <w:bookmarkStart w:id="119" w:name="_Toc4705"/>
      <w:bookmarkStart w:id="120" w:name="_Toc9582"/>
      <w:bookmarkStart w:id="121" w:name="_Toc17458"/>
      <w:bookmarkStart w:id="122" w:name="_Toc770"/>
      <w:bookmarkStart w:id="123" w:name="_Toc16940"/>
      <w:bookmarkStart w:id="124" w:name="_Toc2053"/>
      <w:bookmarkStart w:id="125" w:name="_Toc4991"/>
      <w:bookmarkStart w:id="126" w:name="_Toc4095"/>
      <w:r>
        <w:rPr>
          <w:rFonts w:hint="eastAsia"/>
          <w:lang w:val="en-US" w:eastAsia="zh-CN"/>
        </w:rPr>
        <w:t>五</w:t>
      </w:r>
      <w:r>
        <w:rPr>
          <w:rFonts w:hint="eastAsia"/>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Pr>
          <w:rFonts w:hint="eastAsia"/>
          <w:lang w:val="en-US" w:eastAsia="zh-CN"/>
        </w:rPr>
        <w:t>主要绩效</w:t>
      </w:r>
    </w:p>
    <w:p>
      <w:pPr>
        <w:autoSpaceDE/>
        <w:autoSpaceDN/>
        <w:spacing w:line="600" w:lineRule="exact"/>
        <w:ind w:firstLine="640" w:firstLineChars="200"/>
        <w:jc w:val="both"/>
        <w:rPr>
          <w:rFonts w:hint="default"/>
          <w:sz w:val="32"/>
          <w:szCs w:val="32"/>
          <w:highlight w:val="none"/>
          <w:lang w:val="en-US" w:eastAsia="zh-CN"/>
        </w:rPr>
      </w:pPr>
      <w:r>
        <w:rPr>
          <w:rFonts w:hint="eastAsia"/>
          <w:sz w:val="32"/>
          <w:szCs w:val="32"/>
          <w:highlight w:val="none"/>
          <w:lang w:val="en-US" w:eastAsia="zh-CN"/>
        </w:rPr>
        <w:t>菏泽市医保局和各区县医保部门在政策完善和经办服务等方面做出了比较完善的工作。和省内大部分地市相比，菏泽市居民医保财政补贴额度较高而个人缴费额度较低，减轻了参保居民的负担；在疫情期间推出了各种不见面办理方式，让群众的医保办理更便捷。</w:t>
      </w:r>
    </w:p>
    <w:p>
      <w:pPr>
        <w:pStyle w:val="3"/>
        <w:bidi w:val="0"/>
        <w:rPr>
          <w:rFonts w:hint="eastAsia" w:eastAsia="黑体"/>
          <w:lang w:val="en-US" w:eastAsia="zh-CN"/>
        </w:rPr>
      </w:pPr>
      <w:r>
        <w:rPr>
          <w:rFonts w:hint="eastAsia"/>
          <w:lang w:val="en-US" w:eastAsia="zh-CN"/>
        </w:rPr>
        <w:t>六</w:t>
      </w:r>
      <w:r>
        <w:rPr>
          <w:rFonts w:hint="eastAsia"/>
        </w:rPr>
        <w:t>、</w:t>
      </w:r>
      <w:r>
        <w:rPr>
          <w:rFonts w:hint="eastAsia"/>
          <w:lang w:val="en-US" w:eastAsia="zh-CN"/>
        </w:rPr>
        <w:t>评价结论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sz w:val="18"/>
          <w:szCs w:val="18"/>
          <w:highlight w:val="none"/>
          <w:lang w:val="en-US"/>
        </w:rPr>
      </w:pPr>
      <w:r>
        <w:rPr>
          <w:rFonts w:hint="eastAsia"/>
          <w:color w:val="auto"/>
          <w:sz w:val="32"/>
          <w:szCs w:val="32"/>
          <w:highlight w:val="none"/>
          <w:lang w:val="en-US"/>
        </w:rPr>
        <w:t>评价组在《山东省省级项目支出绩效财政评价和部门评价工作规程》（鲁财绩〔2020〕4号）提</w:t>
      </w:r>
      <w:r>
        <w:rPr>
          <w:rFonts w:hint="eastAsia"/>
          <w:sz w:val="32"/>
          <w:szCs w:val="32"/>
          <w:highlight w:val="none"/>
          <w:lang w:val="en-US"/>
        </w:rPr>
        <w:t>出的绩效评价指标框架基础上，经过数据采集、现场调研、实地考察、访谈以及数据分析等环节，对项目</w:t>
      </w:r>
      <w:r>
        <w:rPr>
          <w:rFonts w:hint="eastAsia"/>
          <w:sz w:val="32"/>
          <w:szCs w:val="32"/>
          <w:highlight w:val="none"/>
          <w:lang w:val="en-US" w:eastAsia="zh-CN"/>
        </w:rPr>
        <w:t>的</w:t>
      </w:r>
      <w:r>
        <w:rPr>
          <w:rFonts w:hint="eastAsia"/>
          <w:sz w:val="32"/>
          <w:szCs w:val="32"/>
          <w:highlight w:val="none"/>
          <w:lang w:val="en-US"/>
        </w:rPr>
        <w:t>指标体系及评价标准进行</w:t>
      </w:r>
      <w:r>
        <w:rPr>
          <w:rFonts w:hint="eastAsia"/>
          <w:sz w:val="32"/>
          <w:szCs w:val="32"/>
          <w:highlight w:val="none"/>
          <w:lang w:val="en-US" w:eastAsia="zh-CN"/>
        </w:rPr>
        <w:t>了</w:t>
      </w:r>
      <w:r>
        <w:rPr>
          <w:rFonts w:hint="eastAsia"/>
          <w:sz w:val="32"/>
          <w:szCs w:val="32"/>
          <w:highlight w:val="none"/>
          <w:lang w:val="en-US"/>
        </w:rPr>
        <w:t>进一步的细化、优化。按照权重指标体系综合评分，本项目最终得分</w:t>
      </w:r>
      <w:r>
        <w:rPr>
          <w:rFonts w:hint="eastAsia"/>
          <w:sz w:val="32"/>
          <w:szCs w:val="32"/>
          <w:highlight w:val="none"/>
          <w:lang w:val="en-US" w:eastAsia="zh-CN"/>
        </w:rPr>
        <w:t>90.34</w:t>
      </w:r>
      <w:r>
        <w:rPr>
          <w:rFonts w:hint="eastAsia"/>
          <w:sz w:val="32"/>
          <w:szCs w:val="32"/>
          <w:highlight w:val="none"/>
          <w:lang w:val="en-US"/>
        </w:rPr>
        <w:t>分，评价结果为“</w:t>
      </w:r>
      <w:r>
        <w:rPr>
          <w:rFonts w:hint="eastAsia"/>
          <w:sz w:val="32"/>
          <w:szCs w:val="32"/>
          <w:highlight w:val="none"/>
          <w:lang w:val="en-US" w:eastAsia="zh-CN"/>
        </w:rPr>
        <w:t>优</w:t>
      </w:r>
      <w:r>
        <w:rPr>
          <w:rFonts w:hint="eastAsia"/>
          <w:sz w:val="32"/>
          <w:szCs w:val="32"/>
          <w:highlight w:val="none"/>
          <w:lang w:val="en-US"/>
        </w:rPr>
        <w:t>”。具体评分情况如表</w:t>
      </w:r>
      <w:r>
        <w:rPr>
          <w:rFonts w:hint="eastAsia"/>
          <w:sz w:val="32"/>
          <w:szCs w:val="32"/>
          <w:highlight w:val="none"/>
          <w:lang w:val="en-US" w:eastAsia="zh-CN"/>
        </w:rPr>
        <w:t>3.1</w:t>
      </w:r>
      <w:r>
        <w:rPr>
          <w:rFonts w:hint="eastAsia"/>
          <w:sz w:val="32"/>
          <w:szCs w:val="32"/>
          <w:highlight w:val="none"/>
          <w:lang w:val="en-US"/>
        </w:rPr>
        <w:t>所示：</w:t>
      </w:r>
    </w:p>
    <w:p>
      <w:pPr>
        <w:bidi w:val="0"/>
        <w:ind w:left="0" w:leftChars="0" w:firstLine="0" w:firstLineChars="0"/>
        <w:jc w:val="center"/>
        <w:rPr>
          <w:rFonts w:hint="eastAsia" w:ascii="黑体" w:hAnsi="黑体" w:eastAsia="黑体" w:cs="黑体"/>
          <w:sz w:val="24"/>
          <w:szCs w:val="21"/>
          <w:lang w:val="en-US" w:eastAsia="zh-CN" w:bidi="zh-CN"/>
        </w:rPr>
      </w:pPr>
      <w:bookmarkStart w:id="127" w:name="_Toc23844"/>
      <w:r>
        <w:rPr>
          <w:rFonts w:hint="eastAsia" w:ascii="黑体" w:hAnsi="黑体" w:eastAsia="黑体" w:cs="黑体"/>
          <w:sz w:val="24"/>
          <w:szCs w:val="20"/>
          <w:lang w:val="en-US" w:eastAsia="zh-CN"/>
        </w:rPr>
        <w:t>表3.1， 项目得分汇总表</w:t>
      </w:r>
      <w:bookmarkEnd w:id="127"/>
    </w:p>
    <w:tbl>
      <w:tblPr>
        <w:tblStyle w:val="2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1"/>
        <w:gridCol w:w="1359"/>
        <w:gridCol w:w="1366"/>
        <w:gridCol w:w="1494"/>
        <w:gridCol w:w="1443"/>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5" w:type="pct"/>
            <w:vAlign w:val="center"/>
          </w:tcPr>
          <w:p>
            <w:pPr>
              <w:keepNext w:val="0"/>
              <w:keepLines w:val="0"/>
              <w:pageBreakBefore w:val="0"/>
              <w:widowControl w:val="0"/>
              <w:kinsoku/>
              <w:wordWrap/>
              <w:overflowPunct/>
              <w:topLinePunct w:val="0"/>
              <w:autoSpaceDE w:val="0"/>
              <w:autoSpaceDN w:val="0"/>
              <w:bidi w:val="0"/>
              <w:adjustRightInd/>
              <w:snapToGrid w:val="0"/>
              <w:spacing w:line="400" w:lineRule="exact"/>
              <w:ind w:firstLine="0" w:firstLineChars="0"/>
              <w:jc w:val="center"/>
              <w:textAlignment w:val="auto"/>
              <w:rPr>
                <w:rFonts w:ascii="宋体" w:hAnsi="宋体" w:eastAsia="宋体" w:cs="宋体"/>
                <w:bCs/>
                <w:spacing w:val="-10"/>
                <w:sz w:val="18"/>
                <w:szCs w:val="18"/>
                <w:highlight w:val="none"/>
              </w:rPr>
            </w:pPr>
            <w:bookmarkStart w:id="128" w:name="_Toc6896"/>
            <w:bookmarkStart w:id="129" w:name="_Toc31337"/>
            <w:bookmarkStart w:id="130" w:name="_Toc15505"/>
            <w:bookmarkStart w:id="131" w:name="_Toc13167"/>
            <w:bookmarkStart w:id="132" w:name="_Toc11519"/>
            <w:bookmarkStart w:id="133" w:name="_Toc4372"/>
            <w:bookmarkStart w:id="134" w:name="_Toc18971"/>
            <w:bookmarkStart w:id="135" w:name="_Toc7391"/>
            <w:bookmarkStart w:id="136" w:name="_Toc24479"/>
            <w:bookmarkStart w:id="137" w:name="_Toc6581"/>
            <w:bookmarkStart w:id="138" w:name="_Toc19222"/>
            <w:bookmarkStart w:id="139" w:name="_Toc27704"/>
            <w:r>
              <w:rPr>
                <w:rFonts w:hint="eastAsia" w:ascii="宋体" w:hAnsi="宋体" w:eastAsia="宋体" w:cs="宋体"/>
                <w:bCs/>
                <w:spacing w:val="-10"/>
                <w:sz w:val="18"/>
                <w:szCs w:val="18"/>
                <w:highlight w:val="none"/>
              </w:rPr>
              <w:t>项    目</w:t>
            </w:r>
          </w:p>
        </w:tc>
        <w:tc>
          <w:tcPr>
            <w:tcW w:w="797" w:type="pct"/>
            <w:vAlign w:val="center"/>
          </w:tcPr>
          <w:p>
            <w:pPr>
              <w:keepNext w:val="0"/>
              <w:keepLines w:val="0"/>
              <w:pageBreakBefore w:val="0"/>
              <w:widowControl w:val="0"/>
              <w:kinsoku/>
              <w:wordWrap/>
              <w:overflowPunct/>
              <w:topLinePunct w:val="0"/>
              <w:autoSpaceDE w:val="0"/>
              <w:autoSpaceDN w:val="0"/>
              <w:bidi w:val="0"/>
              <w:adjustRightInd/>
              <w:spacing w:line="400" w:lineRule="exact"/>
              <w:ind w:firstLine="0" w:firstLineChars="0"/>
              <w:jc w:val="center"/>
              <w:textAlignment w:val="auto"/>
              <w:rPr>
                <w:rFonts w:ascii="宋体" w:hAnsi="宋体" w:eastAsia="宋体" w:cs="宋体"/>
                <w:bCs/>
                <w:sz w:val="18"/>
                <w:szCs w:val="18"/>
                <w:highlight w:val="none"/>
              </w:rPr>
            </w:pPr>
            <w:r>
              <w:rPr>
                <w:rFonts w:hint="eastAsia" w:ascii="宋体" w:hAnsi="宋体" w:eastAsia="宋体" w:cs="宋体"/>
                <w:bCs/>
                <w:sz w:val="18"/>
                <w:szCs w:val="18"/>
                <w:highlight w:val="none"/>
              </w:rPr>
              <w:t>决策指标</w:t>
            </w:r>
          </w:p>
        </w:tc>
        <w:tc>
          <w:tcPr>
            <w:tcW w:w="801" w:type="pct"/>
            <w:vAlign w:val="center"/>
          </w:tcPr>
          <w:p>
            <w:pPr>
              <w:keepNext w:val="0"/>
              <w:keepLines w:val="0"/>
              <w:pageBreakBefore w:val="0"/>
              <w:widowControl w:val="0"/>
              <w:kinsoku/>
              <w:wordWrap/>
              <w:overflowPunct/>
              <w:topLinePunct w:val="0"/>
              <w:autoSpaceDE w:val="0"/>
              <w:autoSpaceDN w:val="0"/>
              <w:bidi w:val="0"/>
              <w:adjustRightInd/>
              <w:spacing w:line="400" w:lineRule="exact"/>
              <w:ind w:firstLine="0" w:firstLineChars="0"/>
              <w:jc w:val="center"/>
              <w:textAlignment w:val="auto"/>
              <w:rPr>
                <w:rFonts w:ascii="宋体" w:hAnsi="宋体" w:eastAsia="宋体" w:cs="宋体"/>
                <w:bCs/>
                <w:sz w:val="18"/>
                <w:szCs w:val="18"/>
                <w:highlight w:val="none"/>
              </w:rPr>
            </w:pPr>
            <w:r>
              <w:rPr>
                <w:rFonts w:hint="eastAsia" w:ascii="宋体" w:hAnsi="宋体" w:eastAsia="宋体" w:cs="宋体"/>
                <w:bCs/>
                <w:sz w:val="18"/>
                <w:szCs w:val="18"/>
                <w:highlight w:val="none"/>
              </w:rPr>
              <w:t>过程指标</w:t>
            </w:r>
          </w:p>
        </w:tc>
        <w:tc>
          <w:tcPr>
            <w:tcW w:w="876" w:type="pct"/>
            <w:vAlign w:val="center"/>
          </w:tcPr>
          <w:p>
            <w:pPr>
              <w:keepNext w:val="0"/>
              <w:keepLines w:val="0"/>
              <w:pageBreakBefore w:val="0"/>
              <w:widowControl w:val="0"/>
              <w:kinsoku/>
              <w:wordWrap/>
              <w:overflowPunct/>
              <w:topLinePunct w:val="0"/>
              <w:autoSpaceDE w:val="0"/>
              <w:autoSpaceDN w:val="0"/>
              <w:bidi w:val="0"/>
              <w:adjustRightInd/>
              <w:spacing w:line="400" w:lineRule="exact"/>
              <w:ind w:firstLine="0" w:firstLineChars="0"/>
              <w:jc w:val="center"/>
              <w:textAlignment w:val="auto"/>
              <w:rPr>
                <w:rFonts w:ascii="宋体" w:hAnsi="宋体" w:eastAsia="宋体" w:cs="宋体"/>
                <w:bCs/>
                <w:sz w:val="18"/>
                <w:szCs w:val="18"/>
                <w:highlight w:val="none"/>
              </w:rPr>
            </w:pPr>
            <w:r>
              <w:rPr>
                <w:rFonts w:hint="eastAsia" w:ascii="宋体" w:hAnsi="宋体" w:eastAsia="宋体" w:cs="宋体"/>
                <w:bCs/>
                <w:sz w:val="18"/>
                <w:szCs w:val="18"/>
                <w:highlight w:val="none"/>
              </w:rPr>
              <w:t>产出指标</w:t>
            </w:r>
          </w:p>
        </w:tc>
        <w:tc>
          <w:tcPr>
            <w:tcW w:w="846" w:type="pct"/>
            <w:vAlign w:val="center"/>
          </w:tcPr>
          <w:p>
            <w:pPr>
              <w:keepNext w:val="0"/>
              <w:keepLines w:val="0"/>
              <w:pageBreakBefore w:val="0"/>
              <w:widowControl w:val="0"/>
              <w:kinsoku/>
              <w:wordWrap/>
              <w:overflowPunct/>
              <w:topLinePunct w:val="0"/>
              <w:autoSpaceDE w:val="0"/>
              <w:autoSpaceDN w:val="0"/>
              <w:bidi w:val="0"/>
              <w:adjustRightInd/>
              <w:spacing w:line="400" w:lineRule="exact"/>
              <w:ind w:firstLine="0" w:firstLineChars="0"/>
              <w:jc w:val="center"/>
              <w:textAlignment w:val="auto"/>
              <w:rPr>
                <w:rFonts w:ascii="宋体" w:hAnsi="宋体" w:eastAsia="宋体" w:cs="宋体"/>
                <w:bCs/>
                <w:sz w:val="18"/>
                <w:szCs w:val="18"/>
                <w:highlight w:val="none"/>
              </w:rPr>
            </w:pPr>
            <w:r>
              <w:rPr>
                <w:rFonts w:hint="eastAsia" w:ascii="宋体" w:hAnsi="宋体" w:eastAsia="宋体" w:cs="宋体"/>
                <w:bCs/>
                <w:sz w:val="18"/>
                <w:szCs w:val="18"/>
                <w:highlight w:val="none"/>
              </w:rPr>
              <w:t>效益指标</w:t>
            </w:r>
          </w:p>
        </w:tc>
        <w:tc>
          <w:tcPr>
            <w:tcW w:w="832" w:type="pct"/>
            <w:vAlign w:val="center"/>
          </w:tcPr>
          <w:p>
            <w:pPr>
              <w:keepNext w:val="0"/>
              <w:keepLines w:val="0"/>
              <w:pageBreakBefore w:val="0"/>
              <w:widowControl w:val="0"/>
              <w:kinsoku/>
              <w:wordWrap/>
              <w:overflowPunct/>
              <w:topLinePunct w:val="0"/>
              <w:autoSpaceDE w:val="0"/>
              <w:autoSpaceDN w:val="0"/>
              <w:bidi w:val="0"/>
              <w:adjustRightInd/>
              <w:snapToGrid w:val="0"/>
              <w:spacing w:line="400" w:lineRule="exact"/>
              <w:ind w:firstLine="0" w:firstLineChars="0"/>
              <w:jc w:val="center"/>
              <w:textAlignment w:val="auto"/>
              <w:rPr>
                <w:rFonts w:ascii="宋体" w:hAnsi="宋体" w:eastAsia="宋体" w:cs="宋体"/>
                <w:bCs/>
                <w:spacing w:val="-10"/>
                <w:sz w:val="18"/>
                <w:szCs w:val="18"/>
                <w:highlight w:val="none"/>
              </w:rPr>
            </w:pPr>
            <w:r>
              <w:rPr>
                <w:rFonts w:hint="eastAsia" w:ascii="宋体" w:hAnsi="宋体" w:eastAsia="宋体" w:cs="宋体"/>
                <w:bCs/>
                <w:spacing w:val="-10"/>
                <w:sz w:val="18"/>
                <w:szCs w:val="18"/>
                <w:highlight w:val="none"/>
              </w:rPr>
              <w:t>得分合计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5" w:type="pct"/>
            <w:vAlign w:val="center"/>
          </w:tcPr>
          <w:p>
            <w:pPr>
              <w:keepNext w:val="0"/>
              <w:keepLines w:val="0"/>
              <w:pageBreakBefore w:val="0"/>
              <w:widowControl w:val="0"/>
              <w:kinsoku/>
              <w:wordWrap/>
              <w:overflowPunct/>
              <w:topLinePunct w:val="0"/>
              <w:autoSpaceDE w:val="0"/>
              <w:autoSpaceDN w:val="0"/>
              <w:bidi w:val="0"/>
              <w:adjustRightInd/>
              <w:snapToGrid w:val="0"/>
              <w:spacing w:line="400" w:lineRule="exact"/>
              <w:ind w:firstLine="0" w:firstLineChars="0"/>
              <w:jc w:val="center"/>
              <w:textAlignment w:val="auto"/>
              <w:rPr>
                <w:rFonts w:ascii="宋体" w:hAnsi="宋体" w:eastAsia="宋体" w:cs="宋体"/>
                <w:bCs/>
                <w:spacing w:val="-10"/>
                <w:sz w:val="18"/>
                <w:szCs w:val="18"/>
                <w:highlight w:val="none"/>
              </w:rPr>
            </w:pPr>
            <w:r>
              <w:rPr>
                <w:rFonts w:hint="eastAsia" w:ascii="宋体" w:hAnsi="宋体" w:eastAsia="宋体" w:cs="宋体"/>
                <w:bCs/>
                <w:spacing w:val="-10"/>
                <w:sz w:val="18"/>
                <w:szCs w:val="18"/>
                <w:highlight w:val="none"/>
              </w:rPr>
              <w:t>标准分值</w:t>
            </w:r>
          </w:p>
        </w:tc>
        <w:tc>
          <w:tcPr>
            <w:tcW w:w="797" w:type="pct"/>
            <w:vAlign w:val="center"/>
          </w:tcPr>
          <w:p>
            <w:pPr>
              <w:keepNext w:val="0"/>
              <w:keepLines w:val="0"/>
              <w:pageBreakBefore w:val="0"/>
              <w:widowControl w:val="0"/>
              <w:kinsoku/>
              <w:wordWrap/>
              <w:overflowPunct/>
              <w:topLinePunct w:val="0"/>
              <w:autoSpaceDE w:val="0"/>
              <w:autoSpaceDN w:val="0"/>
              <w:bidi w:val="0"/>
              <w:adjustRightInd/>
              <w:spacing w:line="400" w:lineRule="exact"/>
              <w:ind w:firstLine="0" w:firstLineChars="0"/>
              <w:jc w:val="center"/>
              <w:textAlignment w:val="auto"/>
              <w:rPr>
                <w:rFonts w:hint="default" w:ascii="宋体" w:hAnsi="宋体" w:eastAsia="宋体" w:cs="宋体"/>
                <w:bCs/>
                <w:spacing w:val="-4"/>
                <w:sz w:val="18"/>
                <w:szCs w:val="18"/>
                <w:highlight w:val="none"/>
                <w:lang w:val="en-US" w:eastAsia="zh-CN"/>
              </w:rPr>
            </w:pPr>
            <w:r>
              <w:rPr>
                <w:rFonts w:hint="eastAsia" w:ascii="宋体" w:hAnsi="宋体" w:eastAsia="宋体" w:cs="宋体"/>
                <w:bCs/>
                <w:spacing w:val="-4"/>
                <w:sz w:val="18"/>
                <w:szCs w:val="18"/>
                <w:highlight w:val="none"/>
                <w:lang w:val="en-US" w:eastAsia="zh-CN"/>
              </w:rPr>
              <w:t>15</w:t>
            </w:r>
          </w:p>
        </w:tc>
        <w:tc>
          <w:tcPr>
            <w:tcW w:w="801" w:type="pct"/>
            <w:vAlign w:val="center"/>
          </w:tcPr>
          <w:p>
            <w:pPr>
              <w:keepNext w:val="0"/>
              <w:keepLines w:val="0"/>
              <w:pageBreakBefore w:val="0"/>
              <w:widowControl w:val="0"/>
              <w:kinsoku/>
              <w:wordWrap/>
              <w:overflowPunct/>
              <w:topLinePunct w:val="0"/>
              <w:autoSpaceDE w:val="0"/>
              <w:autoSpaceDN w:val="0"/>
              <w:bidi w:val="0"/>
              <w:adjustRightInd/>
              <w:spacing w:line="400" w:lineRule="exact"/>
              <w:ind w:firstLine="0" w:firstLineChars="0"/>
              <w:jc w:val="center"/>
              <w:textAlignment w:val="auto"/>
              <w:rPr>
                <w:rFonts w:hint="default" w:ascii="宋体" w:hAnsi="宋体" w:eastAsia="宋体" w:cs="宋体"/>
                <w:bCs/>
                <w:spacing w:val="-4"/>
                <w:sz w:val="18"/>
                <w:szCs w:val="18"/>
                <w:highlight w:val="none"/>
                <w:lang w:val="en-US" w:eastAsia="zh-CN"/>
              </w:rPr>
            </w:pPr>
            <w:r>
              <w:rPr>
                <w:rFonts w:hint="eastAsia" w:ascii="宋体" w:hAnsi="宋体" w:eastAsia="宋体" w:cs="宋体"/>
                <w:bCs/>
                <w:spacing w:val="-4"/>
                <w:sz w:val="18"/>
                <w:szCs w:val="18"/>
                <w:highlight w:val="none"/>
                <w:lang w:val="en-US" w:eastAsia="zh-CN"/>
              </w:rPr>
              <w:t>50</w:t>
            </w:r>
          </w:p>
        </w:tc>
        <w:tc>
          <w:tcPr>
            <w:tcW w:w="876" w:type="pct"/>
            <w:vAlign w:val="center"/>
          </w:tcPr>
          <w:p>
            <w:pPr>
              <w:keepNext w:val="0"/>
              <w:keepLines w:val="0"/>
              <w:pageBreakBefore w:val="0"/>
              <w:widowControl w:val="0"/>
              <w:kinsoku/>
              <w:wordWrap/>
              <w:overflowPunct/>
              <w:topLinePunct w:val="0"/>
              <w:autoSpaceDE w:val="0"/>
              <w:autoSpaceDN w:val="0"/>
              <w:bidi w:val="0"/>
              <w:adjustRightInd/>
              <w:spacing w:line="400" w:lineRule="exact"/>
              <w:ind w:firstLine="0" w:firstLineChars="0"/>
              <w:jc w:val="center"/>
              <w:textAlignment w:val="auto"/>
              <w:rPr>
                <w:rFonts w:hint="default" w:ascii="宋体" w:hAnsi="宋体" w:eastAsia="宋体" w:cs="宋体"/>
                <w:bCs/>
                <w:spacing w:val="-4"/>
                <w:sz w:val="18"/>
                <w:szCs w:val="18"/>
                <w:highlight w:val="none"/>
                <w:lang w:val="en-US" w:eastAsia="zh-CN"/>
              </w:rPr>
            </w:pPr>
            <w:r>
              <w:rPr>
                <w:rFonts w:hint="eastAsia" w:ascii="宋体" w:hAnsi="宋体" w:eastAsia="宋体" w:cs="宋体"/>
                <w:bCs/>
                <w:spacing w:val="-4"/>
                <w:sz w:val="18"/>
                <w:szCs w:val="18"/>
                <w:highlight w:val="none"/>
                <w:lang w:val="en-US" w:eastAsia="zh-CN"/>
              </w:rPr>
              <w:t>15</w:t>
            </w:r>
          </w:p>
        </w:tc>
        <w:tc>
          <w:tcPr>
            <w:tcW w:w="846" w:type="pct"/>
            <w:vAlign w:val="center"/>
          </w:tcPr>
          <w:p>
            <w:pPr>
              <w:keepNext w:val="0"/>
              <w:keepLines w:val="0"/>
              <w:pageBreakBefore w:val="0"/>
              <w:widowControl w:val="0"/>
              <w:kinsoku/>
              <w:wordWrap/>
              <w:overflowPunct/>
              <w:topLinePunct w:val="0"/>
              <w:autoSpaceDE w:val="0"/>
              <w:autoSpaceDN w:val="0"/>
              <w:bidi w:val="0"/>
              <w:adjustRightInd/>
              <w:spacing w:line="400" w:lineRule="exact"/>
              <w:ind w:firstLine="0" w:firstLineChars="0"/>
              <w:jc w:val="center"/>
              <w:textAlignment w:val="auto"/>
              <w:rPr>
                <w:rFonts w:hint="default" w:ascii="宋体" w:hAnsi="宋体" w:eastAsia="宋体" w:cs="宋体"/>
                <w:bCs/>
                <w:spacing w:val="-4"/>
                <w:sz w:val="18"/>
                <w:szCs w:val="18"/>
                <w:highlight w:val="none"/>
                <w:lang w:val="en-US" w:eastAsia="zh-CN"/>
              </w:rPr>
            </w:pPr>
            <w:r>
              <w:rPr>
                <w:rFonts w:hint="eastAsia" w:ascii="宋体" w:hAnsi="宋体" w:eastAsia="宋体" w:cs="宋体"/>
                <w:bCs/>
                <w:spacing w:val="-4"/>
                <w:sz w:val="18"/>
                <w:szCs w:val="18"/>
                <w:highlight w:val="none"/>
                <w:lang w:val="en-US" w:eastAsia="zh-CN"/>
              </w:rPr>
              <w:t>20</w:t>
            </w:r>
          </w:p>
        </w:tc>
        <w:tc>
          <w:tcPr>
            <w:tcW w:w="832" w:type="pct"/>
            <w:vAlign w:val="center"/>
          </w:tcPr>
          <w:p>
            <w:pPr>
              <w:keepNext w:val="0"/>
              <w:keepLines w:val="0"/>
              <w:pageBreakBefore w:val="0"/>
              <w:widowControl w:val="0"/>
              <w:kinsoku/>
              <w:wordWrap/>
              <w:overflowPunct/>
              <w:topLinePunct w:val="0"/>
              <w:autoSpaceDE w:val="0"/>
              <w:autoSpaceDN w:val="0"/>
              <w:bidi w:val="0"/>
              <w:adjustRightInd/>
              <w:spacing w:line="400" w:lineRule="exact"/>
              <w:ind w:firstLine="0" w:firstLineChars="0"/>
              <w:jc w:val="center"/>
              <w:textAlignment w:val="auto"/>
              <w:rPr>
                <w:rFonts w:ascii="宋体" w:hAnsi="宋体" w:eastAsia="宋体" w:cs="宋体"/>
                <w:bCs/>
                <w:spacing w:val="-4"/>
                <w:sz w:val="18"/>
                <w:szCs w:val="18"/>
                <w:highlight w:val="none"/>
              </w:rPr>
            </w:pPr>
            <w:r>
              <w:rPr>
                <w:rFonts w:hint="eastAsia" w:ascii="宋体" w:hAnsi="宋体" w:eastAsia="宋体" w:cs="宋体"/>
                <w:bCs/>
                <w:spacing w:val="-4"/>
                <w:sz w:val="18"/>
                <w:szCs w:val="18"/>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5" w:type="pct"/>
            <w:vAlign w:val="center"/>
          </w:tcPr>
          <w:p>
            <w:pPr>
              <w:keepNext w:val="0"/>
              <w:keepLines w:val="0"/>
              <w:pageBreakBefore w:val="0"/>
              <w:widowControl w:val="0"/>
              <w:kinsoku/>
              <w:wordWrap/>
              <w:overflowPunct/>
              <w:topLinePunct w:val="0"/>
              <w:autoSpaceDE w:val="0"/>
              <w:autoSpaceDN w:val="0"/>
              <w:bidi w:val="0"/>
              <w:adjustRightInd/>
              <w:snapToGrid w:val="0"/>
              <w:spacing w:line="400" w:lineRule="exact"/>
              <w:ind w:firstLine="0" w:firstLineChars="0"/>
              <w:jc w:val="center"/>
              <w:textAlignment w:val="auto"/>
              <w:rPr>
                <w:rFonts w:ascii="宋体" w:hAnsi="宋体" w:eastAsia="宋体" w:cs="宋体"/>
                <w:bCs/>
                <w:spacing w:val="-10"/>
                <w:sz w:val="18"/>
                <w:szCs w:val="18"/>
                <w:highlight w:val="none"/>
              </w:rPr>
            </w:pPr>
            <w:r>
              <w:rPr>
                <w:rFonts w:hint="eastAsia" w:ascii="宋体" w:hAnsi="宋体" w:eastAsia="宋体" w:cs="宋体"/>
                <w:bCs/>
                <w:spacing w:val="-10"/>
                <w:sz w:val="18"/>
                <w:szCs w:val="18"/>
                <w:highlight w:val="none"/>
              </w:rPr>
              <w:t>评价得分</w:t>
            </w:r>
          </w:p>
        </w:tc>
        <w:tc>
          <w:tcPr>
            <w:tcW w:w="797" w:type="pct"/>
            <w:vAlign w:val="center"/>
          </w:tcPr>
          <w:p>
            <w:pPr>
              <w:keepNext w:val="0"/>
              <w:keepLines w:val="0"/>
              <w:pageBreakBefore w:val="0"/>
              <w:widowControl w:val="0"/>
              <w:kinsoku/>
              <w:wordWrap/>
              <w:overflowPunct/>
              <w:topLinePunct w:val="0"/>
              <w:autoSpaceDE w:val="0"/>
              <w:autoSpaceDN w:val="0"/>
              <w:bidi w:val="0"/>
              <w:adjustRightInd/>
              <w:snapToGrid w:val="0"/>
              <w:spacing w:line="400" w:lineRule="exact"/>
              <w:ind w:firstLine="0" w:firstLineChars="0"/>
              <w:jc w:val="center"/>
              <w:textAlignment w:val="auto"/>
              <w:rPr>
                <w:rFonts w:hint="default" w:ascii="宋体" w:hAnsi="宋体" w:eastAsia="宋体" w:cs="宋体"/>
                <w:bCs/>
                <w:spacing w:val="-10"/>
                <w:sz w:val="18"/>
                <w:szCs w:val="18"/>
                <w:highlight w:val="none"/>
                <w:lang w:val="en-US" w:eastAsia="zh-CN"/>
              </w:rPr>
            </w:pPr>
            <w:r>
              <w:rPr>
                <w:rFonts w:hint="eastAsia" w:ascii="宋体" w:hAnsi="宋体" w:eastAsia="宋体" w:cs="宋体"/>
                <w:bCs/>
                <w:spacing w:val="-10"/>
                <w:sz w:val="18"/>
                <w:szCs w:val="18"/>
                <w:highlight w:val="none"/>
                <w:lang w:val="en-US" w:eastAsia="zh-CN"/>
              </w:rPr>
              <w:t>15</w:t>
            </w:r>
          </w:p>
        </w:tc>
        <w:tc>
          <w:tcPr>
            <w:tcW w:w="801" w:type="pct"/>
            <w:vAlign w:val="center"/>
          </w:tcPr>
          <w:p>
            <w:pPr>
              <w:keepNext w:val="0"/>
              <w:keepLines w:val="0"/>
              <w:pageBreakBefore w:val="0"/>
              <w:widowControl w:val="0"/>
              <w:kinsoku/>
              <w:wordWrap/>
              <w:overflowPunct/>
              <w:topLinePunct w:val="0"/>
              <w:autoSpaceDE w:val="0"/>
              <w:autoSpaceDN w:val="0"/>
              <w:bidi w:val="0"/>
              <w:adjustRightInd/>
              <w:snapToGrid w:val="0"/>
              <w:spacing w:line="400" w:lineRule="exact"/>
              <w:ind w:firstLine="0" w:firstLineChars="0"/>
              <w:jc w:val="center"/>
              <w:textAlignment w:val="auto"/>
              <w:rPr>
                <w:rFonts w:hint="default" w:ascii="宋体" w:hAnsi="宋体" w:eastAsia="宋体" w:cs="宋体"/>
                <w:bCs/>
                <w:spacing w:val="-10"/>
                <w:sz w:val="18"/>
                <w:szCs w:val="18"/>
                <w:highlight w:val="none"/>
                <w:lang w:val="en-US" w:eastAsia="zh-CN"/>
              </w:rPr>
            </w:pPr>
            <w:r>
              <w:rPr>
                <w:rFonts w:hint="eastAsia" w:ascii="宋体" w:hAnsi="宋体" w:eastAsia="宋体" w:cs="宋体"/>
                <w:bCs/>
                <w:spacing w:val="-10"/>
                <w:sz w:val="18"/>
                <w:szCs w:val="18"/>
                <w:highlight w:val="none"/>
                <w:lang w:val="en-US" w:eastAsia="zh-CN"/>
              </w:rPr>
              <w:t>40.94</w:t>
            </w:r>
          </w:p>
        </w:tc>
        <w:tc>
          <w:tcPr>
            <w:tcW w:w="876" w:type="pct"/>
            <w:vAlign w:val="center"/>
          </w:tcPr>
          <w:p>
            <w:pPr>
              <w:keepNext w:val="0"/>
              <w:keepLines w:val="0"/>
              <w:pageBreakBefore w:val="0"/>
              <w:widowControl w:val="0"/>
              <w:kinsoku/>
              <w:wordWrap/>
              <w:overflowPunct/>
              <w:topLinePunct w:val="0"/>
              <w:autoSpaceDE w:val="0"/>
              <w:autoSpaceDN w:val="0"/>
              <w:bidi w:val="0"/>
              <w:adjustRightInd/>
              <w:snapToGrid w:val="0"/>
              <w:spacing w:line="400" w:lineRule="exact"/>
              <w:ind w:firstLine="0" w:firstLineChars="0"/>
              <w:jc w:val="center"/>
              <w:textAlignment w:val="auto"/>
              <w:rPr>
                <w:rFonts w:hint="default" w:ascii="宋体" w:hAnsi="宋体" w:eastAsia="宋体" w:cs="宋体"/>
                <w:bCs/>
                <w:spacing w:val="-10"/>
                <w:sz w:val="18"/>
                <w:szCs w:val="18"/>
                <w:highlight w:val="none"/>
                <w:lang w:val="en-US" w:eastAsia="zh-CN"/>
              </w:rPr>
            </w:pPr>
            <w:r>
              <w:rPr>
                <w:rFonts w:hint="eastAsia" w:ascii="宋体" w:hAnsi="宋体" w:eastAsia="宋体" w:cs="宋体"/>
                <w:bCs/>
                <w:spacing w:val="-10"/>
                <w:sz w:val="18"/>
                <w:szCs w:val="18"/>
                <w:highlight w:val="none"/>
                <w:lang w:val="en-US" w:eastAsia="zh-CN"/>
              </w:rPr>
              <w:t>15</w:t>
            </w:r>
          </w:p>
        </w:tc>
        <w:tc>
          <w:tcPr>
            <w:tcW w:w="846" w:type="pct"/>
            <w:vAlign w:val="center"/>
          </w:tcPr>
          <w:p>
            <w:pPr>
              <w:keepNext w:val="0"/>
              <w:keepLines w:val="0"/>
              <w:pageBreakBefore w:val="0"/>
              <w:widowControl w:val="0"/>
              <w:kinsoku/>
              <w:wordWrap/>
              <w:overflowPunct/>
              <w:topLinePunct w:val="0"/>
              <w:autoSpaceDE w:val="0"/>
              <w:autoSpaceDN w:val="0"/>
              <w:bidi w:val="0"/>
              <w:adjustRightInd/>
              <w:snapToGrid w:val="0"/>
              <w:spacing w:line="400" w:lineRule="exact"/>
              <w:ind w:firstLine="0" w:firstLineChars="0"/>
              <w:jc w:val="center"/>
              <w:textAlignment w:val="auto"/>
              <w:rPr>
                <w:rFonts w:hint="default" w:ascii="宋体" w:hAnsi="宋体" w:eastAsia="宋体" w:cs="宋体"/>
                <w:bCs/>
                <w:spacing w:val="-10"/>
                <w:sz w:val="18"/>
                <w:szCs w:val="18"/>
                <w:highlight w:val="none"/>
                <w:lang w:val="en-US" w:eastAsia="zh-CN"/>
              </w:rPr>
            </w:pPr>
            <w:r>
              <w:rPr>
                <w:rFonts w:hint="eastAsia" w:ascii="宋体" w:hAnsi="宋体" w:eastAsia="宋体" w:cs="宋体"/>
                <w:bCs/>
                <w:spacing w:val="-10"/>
                <w:sz w:val="18"/>
                <w:szCs w:val="18"/>
                <w:highlight w:val="none"/>
                <w:lang w:val="en-US" w:eastAsia="zh-CN"/>
              </w:rPr>
              <w:t>19.4</w:t>
            </w:r>
          </w:p>
        </w:tc>
        <w:tc>
          <w:tcPr>
            <w:tcW w:w="832" w:type="pct"/>
            <w:vAlign w:val="center"/>
          </w:tcPr>
          <w:p>
            <w:pPr>
              <w:keepNext w:val="0"/>
              <w:keepLines w:val="0"/>
              <w:pageBreakBefore w:val="0"/>
              <w:widowControl w:val="0"/>
              <w:kinsoku/>
              <w:wordWrap/>
              <w:overflowPunct/>
              <w:topLinePunct w:val="0"/>
              <w:autoSpaceDE w:val="0"/>
              <w:autoSpaceDN w:val="0"/>
              <w:bidi w:val="0"/>
              <w:adjustRightInd/>
              <w:snapToGrid w:val="0"/>
              <w:spacing w:line="400" w:lineRule="exact"/>
              <w:ind w:firstLine="0" w:firstLineChars="0"/>
              <w:jc w:val="center"/>
              <w:textAlignment w:val="auto"/>
              <w:rPr>
                <w:rFonts w:hint="default" w:ascii="宋体" w:hAnsi="宋体" w:eastAsia="宋体" w:cs="宋体"/>
                <w:bCs/>
                <w:spacing w:val="-10"/>
                <w:sz w:val="18"/>
                <w:szCs w:val="18"/>
                <w:highlight w:val="none"/>
                <w:lang w:val="en-US" w:eastAsia="zh-CN"/>
              </w:rPr>
            </w:pPr>
            <w:r>
              <w:rPr>
                <w:rFonts w:hint="eastAsia" w:ascii="宋体" w:hAnsi="宋体" w:eastAsia="宋体" w:cs="宋体"/>
                <w:bCs/>
                <w:spacing w:val="-10"/>
                <w:sz w:val="18"/>
                <w:szCs w:val="18"/>
                <w:highlight w:val="none"/>
                <w:lang w:val="en-US" w:eastAsia="zh-CN"/>
              </w:rPr>
              <w:t>90.34</w:t>
            </w:r>
          </w:p>
        </w:tc>
      </w:tr>
      <w:bookmarkEnd w:id="128"/>
      <w:bookmarkEnd w:id="129"/>
      <w:bookmarkEnd w:id="130"/>
      <w:bookmarkEnd w:id="131"/>
      <w:bookmarkEnd w:id="132"/>
      <w:bookmarkEnd w:id="133"/>
      <w:bookmarkEnd w:id="134"/>
      <w:bookmarkEnd w:id="135"/>
      <w:bookmarkEnd w:id="136"/>
      <w:bookmarkEnd w:id="137"/>
      <w:bookmarkEnd w:id="138"/>
      <w:bookmarkEnd w:id="139"/>
    </w:tbl>
    <w:p>
      <w:pPr>
        <w:pStyle w:val="3"/>
        <w:bidi w:val="0"/>
        <w:rPr>
          <w:rFonts w:hint="eastAsia" w:ascii="黑体" w:hAnsi="黑体" w:eastAsia="黑体" w:cs="黑体"/>
          <w:highlight w:val="none"/>
          <w:lang w:val="en-US" w:eastAsia="zh-CN"/>
        </w:rPr>
      </w:pPr>
      <w:bookmarkStart w:id="140" w:name="_Toc5500"/>
      <w:bookmarkStart w:id="141" w:name="_Toc12149"/>
      <w:bookmarkStart w:id="142" w:name="_Toc11684"/>
      <w:bookmarkStart w:id="143" w:name="_Toc19022"/>
      <w:bookmarkStart w:id="144" w:name="_Toc9846"/>
      <w:bookmarkStart w:id="145" w:name="_Toc24091"/>
      <w:bookmarkStart w:id="146" w:name="_Toc11120"/>
      <w:bookmarkStart w:id="147" w:name="_Toc14664"/>
      <w:bookmarkStart w:id="148" w:name="_Toc11267"/>
      <w:bookmarkStart w:id="149" w:name="_Toc3116"/>
      <w:bookmarkStart w:id="150" w:name="_Toc14567"/>
      <w:bookmarkStart w:id="151" w:name="_Toc26139"/>
      <w:bookmarkStart w:id="152" w:name="_Toc5700"/>
      <w:bookmarkStart w:id="153" w:name="_Toc14207"/>
      <w:bookmarkStart w:id="154" w:name="_Toc7116"/>
      <w:bookmarkStart w:id="155" w:name="_Toc21075"/>
      <w:bookmarkStart w:id="156" w:name="_Toc2238"/>
      <w:bookmarkStart w:id="157" w:name="_Toc22152"/>
      <w:bookmarkStart w:id="158" w:name="_Toc92"/>
      <w:bookmarkStart w:id="159" w:name="_Toc12497"/>
      <w:bookmarkStart w:id="160" w:name="_Toc6067"/>
      <w:bookmarkStart w:id="161" w:name="_Toc25601"/>
      <w:bookmarkStart w:id="162" w:name="_Toc18231"/>
      <w:bookmarkStart w:id="163" w:name="_Toc11539"/>
      <w:r>
        <w:rPr>
          <w:rFonts w:hint="eastAsia"/>
          <w:lang w:val="en-US" w:eastAsia="zh-CN"/>
        </w:rPr>
        <w:t>七</w:t>
      </w:r>
      <w:r>
        <w:rPr>
          <w:rFonts w:hint="eastAsia"/>
        </w:rPr>
        <w:t>、存在的问题</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pPr>
        <w:pStyle w:val="4"/>
        <w:bidi w:val="0"/>
        <w:rPr>
          <w:rFonts w:hint="eastAsia"/>
          <w:lang w:val="en-US" w:eastAsia="zh-CN"/>
        </w:rPr>
      </w:pPr>
      <w:bookmarkStart w:id="164" w:name="_Toc18196"/>
      <w:bookmarkStart w:id="165" w:name="_Toc31110"/>
      <w:bookmarkStart w:id="166" w:name="_Toc100"/>
      <w:bookmarkStart w:id="167" w:name="_Toc17863"/>
      <w:bookmarkStart w:id="168" w:name="_Toc15346"/>
      <w:bookmarkStart w:id="169" w:name="_Toc27837"/>
      <w:bookmarkStart w:id="170" w:name="_Toc17388"/>
      <w:bookmarkStart w:id="171" w:name="_Toc30457"/>
      <w:bookmarkStart w:id="172" w:name="_Toc7979"/>
      <w:bookmarkStart w:id="173" w:name="_Toc16873"/>
      <w:bookmarkStart w:id="174" w:name="_Toc6534"/>
      <w:bookmarkStart w:id="175" w:name="_Toc20490"/>
      <w:bookmarkStart w:id="176" w:name="_Toc18024"/>
      <w:bookmarkStart w:id="177" w:name="_Toc14718"/>
      <w:bookmarkStart w:id="178" w:name="_Toc6475"/>
      <w:bookmarkStart w:id="179" w:name="_Toc264"/>
      <w:bookmarkStart w:id="180" w:name="_Toc25253"/>
      <w:bookmarkStart w:id="181" w:name="_Toc6368"/>
      <w:bookmarkStart w:id="182" w:name="_Toc25782"/>
      <w:bookmarkStart w:id="183" w:name="_Toc3993"/>
      <w:r>
        <w:rPr>
          <w:rFonts w:hint="eastAsia"/>
          <w:lang w:val="en-US" w:eastAsia="zh-CN"/>
        </w:rPr>
        <w:t>1、</w:t>
      </w:r>
      <w:bookmarkEnd w:id="164"/>
      <w:bookmarkEnd w:id="165"/>
      <w:bookmarkEnd w:id="166"/>
      <w:bookmarkEnd w:id="167"/>
      <w:r>
        <w:rPr>
          <w:rFonts w:hint="eastAsia"/>
          <w:lang w:val="en-US" w:eastAsia="zh-CN"/>
        </w:rPr>
        <w:t>医疗机构存在管理不规范的问题。</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pPr>
        <w:ind w:firstLine="640"/>
        <w:rPr>
          <w:rFonts w:hint="eastAsia" w:ascii="仿宋_GB2312" w:hAnsi="仿宋_GB2312" w:cs="仿宋_GB2312"/>
          <w:b w:val="0"/>
          <w:kern w:val="0"/>
          <w:sz w:val="32"/>
          <w:szCs w:val="32"/>
          <w:lang w:val="en-US" w:eastAsia="zh-CN" w:bidi="zh-CN"/>
        </w:rPr>
      </w:pPr>
      <w:bookmarkStart w:id="184" w:name="_Toc21147"/>
      <w:bookmarkStart w:id="185" w:name="_Toc25988"/>
      <w:bookmarkStart w:id="186" w:name="_Toc29319"/>
      <w:bookmarkStart w:id="187" w:name="_Toc15295"/>
      <w:bookmarkStart w:id="188" w:name="_Toc30124"/>
      <w:bookmarkStart w:id="189" w:name="_Toc3136"/>
      <w:r>
        <w:rPr>
          <w:rFonts w:hint="eastAsia" w:cs="仿宋_GB2312"/>
          <w:b w:val="0"/>
          <w:kern w:val="0"/>
          <w:sz w:val="32"/>
          <w:szCs w:val="32"/>
          <w:lang w:val="en-US" w:eastAsia="zh-CN" w:bidi="zh-CN"/>
        </w:rPr>
        <w:t>评价组在吕陵镇卫生院和冉堌镇卫生院等地发现病床号混乱等住院管理不规范的问题</w:t>
      </w:r>
      <w:bookmarkEnd w:id="184"/>
      <w:bookmarkEnd w:id="185"/>
      <w:bookmarkEnd w:id="186"/>
      <w:bookmarkEnd w:id="187"/>
      <w:bookmarkEnd w:id="188"/>
      <w:bookmarkEnd w:id="189"/>
      <w:r>
        <w:rPr>
          <w:rFonts w:hint="eastAsia" w:cs="仿宋_GB2312"/>
          <w:b w:val="0"/>
          <w:kern w:val="0"/>
          <w:sz w:val="32"/>
          <w:szCs w:val="32"/>
          <w:lang w:val="en-US" w:eastAsia="zh-CN" w:bidi="zh-CN"/>
        </w:rPr>
        <w:t>。</w:t>
      </w:r>
    </w:p>
    <w:p>
      <w:pPr>
        <w:pStyle w:val="4"/>
        <w:bidi w:val="0"/>
        <w:rPr>
          <w:rFonts w:hint="eastAsia"/>
          <w:color w:val="FF0000"/>
          <w:lang w:val="en-US" w:eastAsia="zh-CN"/>
        </w:rPr>
      </w:pPr>
      <w:bookmarkStart w:id="190" w:name="_Toc1117"/>
      <w:bookmarkStart w:id="191" w:name="_Toc23922"/>
      <w:bookmarkStart w:id="192" w:name="_Toc9591"/>
      <w:bookmarkStart w:id="193" w:name="_Toc13719"/>
      <w:bookmarkStart w:id="194" w:name="_Toc3352"/>
      <w:bookmarkStart w:id="195" w:name="_Toc26731"/>
      <w:bookmarkStart w:id="196" w:name="_Toc7087"/>
      <w:bookmarkStart w:id="197" w:name="_Toc19400"/>
      <w:bookmarkStart w:id="198" w:name="_Toc8424"/>
      <w:bookmarkStart w:id="199" w:name="_Toc8007"/>
      <w:r>
        <w:rPr>
          <w:rFonts w:hint="eastAsia"/>
          <w:lang w:val="en-US" w:eastAsia="zh-CN"/>
        </w:rPr>
        <w:t>2、医保部门监管力度仍需加强</w:t>
      </w:r>
      <w:r>
        <w:rPr>
          <w:rFonts w:hint="eastAsia" w:ascii="楷体_GB2312" w:hAnsi="楷体_GB2312" w:eastAsia="楷体_GB2312" w:cs="楷体_GB2312"/>
          <w:sz w:val="32"/>
          <w:szCs w:val="32"/>
          <w:lang w:val="en-US" w:eastAsia="zh-CN" w:bidi="zh-CN"/>
        </w:rPr>
        <w:t>。</w:t>
      </w:r>
      <w:bookmarkEnd w:id="190"/>
      <w:bookmarkEnd w:id="191"/>
      <w:bookmarkEnd w:id="192"/>
      <w:bookmarkEnd w:id="193"/>
      <w:bookmarkEnd w:id="194"/>
      <w:bookmarkEnd w:id="195"/>
      <w:bookmarkEnd w:id="196"/>
      <w:bookmarkEnd w:id="197"/>
      <w:bookmarkEnd w:id="198"/>
      <w:bookmarkEnd w:id="199"/>
    </w:p>
    <w:p>
      <w:pPr>
        <w:pStyle w:val="9"/>
        <w:overflowPunct w:val="0"/>
        <w:spacing w:line="600" w:lineRule="exact"/>
        <w:ind w:firstLine="640" w:firstLineChars="200"/>
        <w:jc w:val="both"/>
        <w:rPr>
          <w:rFonts w:hint="default" w:ascii="楷体_GB2312" w:hAnsi="楷体_GB2312" w:eastAsia="楷体_GB2312" w:cs="楷体_GB2312"/>
          <w:sz w:val="32"/>
          <w:szCs w:val="32"/>
          <w:lang w:val="en-US" w:eastAsia="zh-CN" w:bidi="zh-CN"/>
        </w:rPr>
      </w:pPr>
      <w:r>
        <w:rPr>
          <w:rFonts w:hint="eastAsia"/>
          <w:lang w:val="en-US" w:eastAsia="zh-CN"/>
        </w:rPr>
        <w:t>市医保局对于各区县医保局的监管工作了解需进一步加强，部分区县的监管也存在检查次数不够多、</w:t>
      </w:r>
      <w:r>
        <w:rPr>
          <w:rFonts w:hint="eastAsia"/>
          <w:color w:val="auto"/>
          <w:lang w:val="en-US" w:eastAsia="zh-CN"/>
        </w:rPr>
        <w:t>检</w:t>
      </w:r>
      <w:r>
        <w:rPr>
          <w:rFonts w:hint="eastAsia"/>
          <w:lang w:val="en-US" w:eastAsia="zh-CN"/>
        </w:rPr>
        <w:t>查方式单调、检查内容不够彻底等待改进之处。</w:t>
      </w:r>
    </w:p>
    <w:bookmarkEnd w:id="182"/>
    <w:bookmarkEnd w:id="183"/>
    <w:p>
      <w:pPr>
        <w:pStyle w:val="3"/>
        <w:bidi w:val="0"/>
        <w:ind w:left="0" w:leftChars="0" w:firstLine="640" w:firstLineChars="200"/>
        <w:rPr>
          <w:rFonts w:hint="eastAsia"/>
          <w:lang w:val="en-US" w:eastAsia="zh-CN"/>
        </w:rPr>
      </w:pPr>
      <w:bookmarkStart w:id="200" w:name="_Toc31584"/>
      <w:bookmarkStart w:id="201" w:name="_Toc29634"/>
      <w:bookmarkStart w:id="202" w:name="_Toc29815"/>
      <w:bookmarkStart w:id="203" w:name="_Toc29581"/>
      <w:bookmarkStart w:id="204" w:name="_Toc3561"/>
      <w:bookmarkStart w:id="205" w:name="_Toc6760"/>
      <w:bookmarkStart w:id="206" w:name="_Toc5053"/>
      <w:bookmarkStart w:id="207" w:name="_Toc17260"/>
      <w:bookmarkStart w:id="208" w:name="_Toc29627"/>
      <w:bookmarkStart w:id="209" w:name="_Toc12179"/>
      <w:bookmarkStart w:id="210" w:name="_Toc4138"/>
      <w:bookmarkStart w:id="211" w:name="_Toc6932"/>
      <w:bookmarkStart w:id="212" w:name="_Toc2984"/>
      <w:bookmarkStart w:id="213" w:name="_Toc1814"/>
      <w:bookmarkStart w:id="214" w:name="_Toc15372"/>
      <w:bookmarkStart w:id="215" w:name="_Toc7769"/>
      <w:r>
        <w:rPr>
          <w:rFonts w:hint="eastAsia"/>
          <w:lang w:val="en-US" w:eastAsia="zh-CN"/>
        </w:rPr>
        <w:t>八、相关建议</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4"/>
        <w:keepNext w:val="0"/>
        <w:keepLines w:val="0"/>
        <w:pageBreakBefore w:val="0"/>
        <w:widowControl w:val="0"/>
        <w:numPr>
          <w:ilvl w:val="0"/>
          <w:numId w:val="0"/>
        </w:numPr>
        <w:kinsoku/>
        <w:wordWrap/>
        <w:overflowPunct/>
        <w:topLinePunct w:val="0"/>
        <w:autoSpaceDE w:val="0"/>
        <w:autoSpaceDN w:val="0"/>
        <w:bidi w:val="0"/>
        <w:adjustRightInd/>
        <w:snapToGrid/>
        <w:spacing w:line="600" w:lineRule="exact"/>
        <w:ind w:leftChars="0" w:firstLine="640" w:firstLineChars="200"/>
        <w:textAlignment w:val="auto"/>
        <w:rPr>
          <w:rFonts w:hint="eastAsia" w:ascii="楷体_GB2312" w:hAnsi="楷体_GB2312" w:eastAsia="楷体_GB2312" w:cs="楷体_GB2312"/>
          <w:lang w:val="en-US" w:eastAsia="zh-CN"/>
        </w:rPr>
      </w:pPr>
      <w:bookmarkStart w:id="216" w:name="_Toc10612"/>
      <w:bookmarkStart w:id="217" w:name="_Toc1210"/>
      <w:bookmarkStart w:id="218" w:name="_Toc4756"/>
      <w:bookmarkStart w:id="219" w:name="_Toc7821"/>
      <w:bookmarkStart w:id="220" w:name="_Toc25314"/>
      <w:bookmarkStart w:id="221" w:name="_Toc3320"/>
      <w:bookmarkStart w:id="222" w:name="_Toc29843"/>
      <w:bookmarkStart w:id="223" w:name="_Toc12473"/>
      <w:bookmarkStart w:id="224" w:name="_Toc1378"/>
      <w:bookmarkStart w:id="225" w:name="_Toc7722"/>
      <w:bookmarkStart w:id="226" w:name="_Toc21009"/>
      <w:bookmarkStart w:id="227" w:name="_Toc9561"/>
      <w:bookmarkStart w:id="228" w:name="_Toc16771"/>
      <w:bookmarkStart w:id="229" w:name="_Toc14074"/>
      <w:bookmarkStart w:id="230" w:name="_Toc9932"/>
      <w:bookmarkStart w:id="231" w:name="_Toc4008"/>
      <w:bookmarkStart w:id="232" w:name="_Toc32360"/>
      <w:bookmarkStart w:id="233" w:name="_Toc2223"/>
      <w:r>
        <w:rPr>
          <w:rFonts w:hint="eastAsia" w:ascii="楷体_GB2312" w:hAnsi="楷体_GB2312" w:eastAsia="楷体_GB2312" w:cs="楷体_GB2312"/>
          <w:lang w:val="en-US" w:eastAsia="zh-CN"/>
        </w:rPr>
        <w:t>1、</w:t>
      </w:r>
      <w:r>
        <w:rPr>
          <w:rFonts w:hint="eastAsia" w:cs="楷体_GB2312"/>
          <w:sz w:val="32"/>
          <w:szCs w:val="32"/>
          <w:lang w:val="en-US" w:eastAsia="zh-CN" w:bidi="zh-CN"/>
        </w:rPr>
        <w:t>对定点医疗机构的建议</w:t>
      </w:r>
      <w:r>
        <w:rPr>
          <w:rFonts w:hint="eastAsia" w:ascii="楷体_GB2312" w:hAnsi="楷体_GB2312" w:eastAsia="楷体_GB2312" w:cs="楷体_GB2312"/>
          <w:lang w:val="en-US" w:eastAsia="zh-CN"/>
        </w:rPr>
        <w:t>。</w:t>
      </w:r>
      <w:bookmarkEnd w:id="216"/>
      <w:bookmarkEnd w:id="217"/>
      <w:bookmarkEnd w:id="218"/>
      <w:bookmarkEnd w:id="219"/>
      <w:bookmarkEnd w:id="220"/>
      <w:bookmarkEnd w:id="221"/>
      <w:bookmarkEnd w:id="222"/>
      <w:bookmarkEnd w:id="223"/>
      <w:bookmarkEnd w:id="224"/>
      <w:bookmarkEnd w:id="225"/>
      <w:bookmarkEnd w:id="226"/>
      <w:bookmarkEnd w:id="227"/>
    </w:p>
    <w:p>
      <w:pPr>
        <w:pStyle w:val="4"/>
        <w:bidi w:val="0"/>
        <w:rPr>
          <w:rFonts w:hint="eastAsia" w:ascii="仿宋_GB2312" w:hAnsi="仿宋_GB2312" w:eastAsia="仿宋_GB2312" w:cs="仿宋_GB2312"/>
          <w:lang w:val="en-US" w:eastAsia="zh-CN"/>
        </w:rPr>
      </w:pPr>
      <w:bookmarkStart w:id="234" w:name="_Toc13643"/>
      <w:bookmarkStart w:id="235" w:name="_Toc222"/>
      <w:bookmarkStart w:id="236" w:name="_Toc29124"/>
      <w:r>
        <w:rPr>
          <w:rFonts w:hint="eastAsia" w:ascii="仿宋_GB2312" w:hAnsi="仿宋_GB2312" w:eastAsia="仿宋_GB2312" w:cs="仿宋_GB2312"/>
          <w:lang w:val="en-US" w:eastAsia="zh-CN"/>
        </w:rPr>
        <w:t>加强自我监管，由被动接受监管转为主动自我检查，定期汇总分析监管情况。</w:t>
      </w:r>
      <w:bookmarkEnd w:id="234"/>
      <w:bookmarkEnd w:id="235"/>
      <w:bookmarkEnd w:id="236"/>
    </w:p>
    <w:p>
      <w:pPr>
        <w:keepNext w:val="0"/>
        <w:keepLines w:val="0"/>
        <w:pageBreakBefore w:val="0"/>
        <w:widowControl w:val="0"/>
        <w:kinsoku/>
        <w:wordWrap/>
        <w:overflowPunct/>
        <w:topLinePunct w:val="0"/>
        <w:autoSpaceDE w:val="0"/>
        <w:autoSpaceDN w:val="0"/>
        <w:bidi w:val="0"/>
        <w:adjustRightInd/>
        <w:snapToGrid/>
        <w:jc w:val="both"/>
        <w:textAlignment w:val="auto"/>
        <w:rPr>
          <w:rFonts w:hint="default"/>
          <w:lang w:val="en-US" w:eastAsia="zh-CN"/>
        </w:rPr>
      </w:pPr>
      <w:r>
        <w:rPr>
          <w:rFonts w:hint="eastAsia"/>
          <w:lang w:val="en-US" w:eastAsia="zh-CN"/>
        </w:rPr>
        <w:t>医保部门和定点医疗机构实行协议管理，各定点医疗机构要严格遵守协议，规范提供服务。同时，每个定点医疗机构都有直接与医保部门对接的负责人，可由该负责人或再配备一定比例的人员负责政策落实、费用结算等工作的监督，并定期按照月度或季度向医保部门汇总定点医疗机构的自我监管情况。</w:t>
      </w:r>
    </w:p>
    <w:p>
      <w:pPr>
        <w:pStyle w:val="4"/>
        <w:keepNext w:val="0"/>
        <w:keepLines w:val="0"/>
        <w:pageBreakBefore w:val="0"/>
        <w:widowControl w:val="0"/>
        <w:numPr>
          <w:ilvl w:val="0"/>
          <w:numId w:val="0"/>
        </w:numPr>
        <w:kinsoku/>
        <w:wordWrap/>
        <w:overflowPunct/>
        <w:topLinePunct w:val="0"/>
        <w:autoSpaceDE w:val="0"/>
        <w:autoSpaceDN w:val="0"/>
        <w:bidi w:val="0"/>
        <w:adjustRightInd/>
        <w:snapToGrid/>
        <w:spacing w:line="600" w:lineRule="exact"/>
        <w:ind w:leftChars="0" w:firstLine="640" w:firstLineChars="200"/>
        <w:textAlignment w:val="auto"/>
        <w:rPr>
          <w:rFonts w:hint="eastAsia" w:cs="楷体_GB2312"/>
          <w:lang w:val="en-US" w:eastAsia="zh-CN"/>
        </w:rPr>
      </w:pPr>
      <w:bookmarkStart w:id="237" w:name="_Toc2566"/>
      <w:bookmarkStart w:id="238" w:name="_Toc22266"/>
      <w:bookmarkStart w:id="239" w:name="_Toc25591"/>
      <w:bookmarkStart w:id="240" w:name="_Toc16890"/>
      <w:bookmarkStart w:id="241" w:name="_Toc3048"/>
      <w:bookmarkStart w:id="242" w:name="_Toc693"/>
      <w:bookmarkStart w:id="243" w:name="_Toc26340"/>
      <w:bookmarkStart w:id="244" w:name="_Toc8858"/>
      <w:bookmarkStart w:id="245" w:name="_Toc8434"/>
      <w:bookmarkStart w:id="246" w:name="_Toc24234"/>
      <w:bookmarkStart w:id="247" w:name="_Toc15729"/>
      <w:bookmarkStart w:id="248" w:name="_Toc6640"/>
      <w:r>
        <w:rPr>
          <w:rFonts w:hint="eastAsia" w:ascii="楷体_GB2312" w:hAnsi="楷体_GB2312" w:eastAsia="楷体_GB2312" w:cs="楷体_GB2312"/>
          <w:lang w:val="en-US" w:eastAsia="zh-CN"/>
        </w:rPr>
        <w:t>2、</w:t>
      </w:r>
      <w:r>
        <w:rPr>
          <w:rFonts w:hint="eastAsia" w:cs="楷体_GB2312"/>
          <w:lang w:val="en-US" w:eastAsia="zh-CN"/>
        </w:rPr>
        <w:t>对各区县医保局的建议</w:t>
      </w:r>
      <w:bookmarkEnd w:id="237"/>
      <w:bookmarkEnd w:id="238"/>
      <w:bookmarkEnd w:id="239"/>
    </w:p>
    <w:bookmarkEnd w:id="240"/>
    <w:bookmarkEnd w:id="241"/>
    <w:bookmarkEnd w:id="242"/>
    <w:bookmarkEnd w:id="243"/>
    <w:bookmarkEnd w:id="244"/>
    <w:bookmarkEnd w:id="245"/>
    <w:bookmarkEnd w:id="246"/>
    <w:bookmarkEnd w:id="247"/>
    <w:bookmarkEnd w:id="248"/>
    <w:p>
      <w:pPr>
        <w:pStyle w:val="4"/>
        <w:bidi w:val="0"/>
        <w:rPr>
          <w:rFonts w:hint="eastAsia"/>
          <w:lang w:val="en-US" w:eastAsia="zh-CN"/>
        </w:rPr>
      </w:pPr>
      <w:bookmarkStart w:id="249" w:name="_Toc17759"/>
      <w:bookmarkStart w:id="250" w:name="_Toc2123"/>
      <w:bookmarkStart w:id="251" w:name="_Toc10531"/>
      <w:r>
        <w:rPr>
          <w:rFonts w:hint="eastAsia" w:ascii="仿宋_GB2312" w:hAnsi="仿宋_GB2312" w:eastAsia="仿宋_GB2312" w:cs="仿宋_GB2312"/>
          <w:lang w:val="en-US" w:eastAsia="zh-CN"/>
        </w:rPr>
        <w:t>（1）提高稽查工作重视程度，加大稽查工作力度。</w:t>
      </w:r>
      <w:bookmarkEnd w:id="249"/>
      <w:bookmarkEnd w:id="250"/>
      <w:bookmarkEnd w:id="251"/>
    </w:p>
    <w:p>
      <w:pPr>
        <w:pStyle w:val="9"/>
        <w:overflowPunct w:val="0"/>
        <w:spacing w:line="600" w:lineRule="exact"/>
        <w:ind w:firstLine="640" w:firstLineChars="200"/>
        <w:jc w:val="both"/>
        <w:rPr>
          <w:rFonts w:hint="eastAsia"/>
          <w:highlight w:val="none"/>
          <w:lang w:val="en-US" w:eastAsia="zh-CN"/>
        </w:rPr>
      </w:pPr>
      <w:r>
        <w:rPr>
          <w:rFonts w:hint="eastAsia"/>
          <w:lang w:val="en-US" w:eastAsia="zh-CN"/>
        </w:rPr>
        <w:t>对于医保基金的使用，第一要义是保证安全，保证用途得当，让钱真正花到老百姓手里。医疗保险是一项大工程，对于缓解居民看病压力，缩小城乡差距等方面具有重要意义，资金额度巨大，稍有不慎就会造成严重的损失。</w:t>
      </w:r>
      <w:r>
        <w:rPr>
          <w:rFonts w:hint="eastAsia" w:cs="仿宋_GB2312"/>
          <w:sz w:val="32"/>
          <w:szCs w:val="32"/>
          <w:highlight w:val="none"/>
          <w:lang w:val="en-US" w:eastAsia="zh-CN" w:bidi="zh-CN"/>
        </w:rPr>
        <w:t>各县区医保部门要提高认识，高度重视，按照定点医疗机构全覆盖原则，稽核检查专项行动纳入当地医保部门的重点工作任务，主要领导亲自抓，分管领导靠上抓，层层压实工作责任，确保监管无漏洞，检查无死角，切实摸清定点医疗机构医保管理现状和存在的问题。同时，坚持问题导向、目标导向、结果导向，举一反三，根据定点医疗机构暴露的问题及时制定整改清单，建立整改台账，强弱项，补短板，实现医保基金使用全程闭环管理，确保检查整治工作取得扎实成效。同时，</w:t>
      </w:r>
      <w:r>
        <w:rPr>
          <w:rFonts w:hint="eastAsia"/>
          <w:lang w:val="en-US" w:eastAsia="zh-CN"/>
        </w:rPr>
        <w:t>做好工作记录，及时总结稽查工作经验，争取杜绝各种形式的违规行为</w:t>
      </w:r>
      <w:r>
        <w:rPr>
          <w:rFonts w:hint="eastAsia"/>
          <w:highlight w:val="none"/>
          <w:lang w:val="en-US" w:eastAsia="zh-CN"/>
        </w:rPr>
        <w:t>为提高稽查工作的有效性，建议各县区医保部门部门采取更灵活的多样性的稽查方式开展日常稽核与专项稽核，集中力量优先对基层定点医疗机构进行重点稽核。</w:t>
      </w:r>
    </w:p>
    <w:p>
      <w:pPr>
        <w:pStyle w:val="4"/>
        <w:bidi w:val="0"/>
        <w:rPr>
          <w:rFonts w:hint="eastAsia" w:ascii="仿宋_GB2312" w:hAnsi="仿宋_GB2312" w:eastAsia="仿宋_GB2312" w:cs="仿宋_GB2312"/>
          <w:lang w:val="en-US" w:eastAsia="zh-CN"/>
        </w:rPr>
      </w:pPr>
      <w:bookmarkStart w:id="252" w:name="_Toc3408"/>
      <w:bookmarkStart w:id="253" w:name="_Toc3586"/>
      <w:bookmarkStart w:id="254" w:name="_Toc20590"/>
      <w:r>
        <w:rPr>
          <w:rFonts w:hint="eastAsia" w:ascii="仿宋_GB2312" w:hAnsi="仿宋_GB2312" w:eastAsia="仿宋_GB2312" w:cs="仿宋_GB2312"/>
          <w:lang w:val="en-US" w:eastAsia="zh-CN"/>
        </w:rPr>
        <w:t>（2）探索多样化稽查形式。</w:t>
      </w:r>
      <w:bookmarkEnd w:id="252"/>
      <w:bookmarkEnd w:id="253"/>
      <w:bookmarkEnd w:id="254"/>
    </w:p>
    <w:p>
      <w:pPr>
        <w:pStyle w:val="9"/>
        <w:overflowPunct w:val="0"/>
        <w:spacing w:line="600" w:lineRule="exact"/>
        <w:ind w:firstLine="640" w:firstLineChars="200"/>
        <w:jc w:val="both"/>
        <w:rPr>
          <w:rFonts w:hint="default"/>
          <w:highlight w:val="none"/>
          <w:lang w:val="en-US" w:eastAsia="zh-CN"/>
        </w:rPr>
      </w:pPr>
      <w:r>
        <w:rPr>
          <w:rFonts w:hint="eastAsia"/>
          <w:highlight w:val="none"/>
          <w:lang w:val="en-US" w:eastAsia="zh-CN"/>
        </w:rPr>
        <w:t>各县区要利用智能监控大数据筛查、智能审核等手段，加强定点医疗机构数据分析，重点针对大范围相同或相似病情、购药频次高、诊疗费用异常等医保数据进行集中检查，检查疑点线索。要加大专项检查、重点抽查和突击检查力度，尤其是可适当增加夜间突击检查，对欺诈骗保行为，严惩重罚，发现一例，公开曝光一例，强化震慑作用。</w:t>
      </w:r>
    </w:p>
    <w:p>
      <w:pPr>
        <w:pStyle w:val="4"/>
        <w:bidi w:val="0"/>
        <w:rPr>
          <w:rFonts w:hint="eastAsia" w:ascii="仿宋_GB2312" w:hAnsi="仿宋_GB2312" w:eastAsia="仿宋_GB2312" w:cs="仿宋_GB2312"/>
          <w:lang w:val="en-US" w:eastAsia="zh-CN"/>
        </w:rPr>
      </w:pPr>
      <w:bookmarkStart w:id="255" w:name="_Toc5429"/>
      <w:bookmarkStart w:id="256" w:name="_Toc21553"/>
      <w:bookmarkStart w:id="257" w:name="_Toc17971"/>
      <w:bookmarkStart w:id="258" w:name="_Toc18402"/>
      <w:bookmarkStart w:id="259" w:name="_Toc758"/>
      <w:r>
        <w:rPr>
          <w:rFonts w:hint="eastAsia" w:ascii="仿宋_GB2312" w:hAnsi="仿宋_GB2312" w:eastAsia="仿宋_GB2312" w:cs="仿宋_GB2312"/>
          <w:lang w:val="en-US" w:eastAsia="zh-CN"/>
        </w:rPr>
        <w:t>（3）适当增加稽查频率，做到全覆盖。</w:t>
      </w:r>
      <w:bookmarkEnd w:id="255"/>
      <w:bookmarkEnd w:id="256"/>
      <w:bookmarkEnd w:id="257"/>
      <w:bookmarkEnd w:id="258"/>
      <w:bookmarkEnd w:id="259"/>
    </w:p>
    <w:p>
      <w:pPr>
        <w:bidi w:val="0"/>
        <w:rPr>
          <w:rFonts w:hint="eastAsia" w:cs="仿宋_GB2312"/>
          <w:szCs w:val="32"/>
          <w:highlight w:val="none"/>
          <w:lang w:val="en-US" w:eastAsia="zh-CN" w:bidi="zh-CN"/>
        </w:rPr>
      </w:pPr>
      <w:bookmarkStart w:id="260" w:name="_Toc24208"/>
      <w:bookmarkStart w:id="261" w:name="_Toc8469"/>
      <w:r>
        <w:rPr>
          <w:rFonts w:hint="eastAsia" w:cs="仿宋_GB2312"/>
          <w:sz w:val="32"/>
          <w:szCs w:val="32"/>
          <w:highlight w:val="none"/>
          <w:lang w:val="en-US" w:eastAsia="zh-CN" w:bidi="zh-CN"/>
        </w:rPr>
        <w:t>经调研走访，</w:t>
      </w:r>
      <w:r>
        <w:rPr>
          <w:rFonts w:hint="eastAsia"/>
          <w:lang w:val="en-US" w:eastAsia="zh-CN"/>
        </w:rPr>
        <w:t>部分区县医保部门对定点医疗机构的稽查频率不够高，难以及时发现所存在的问题。例如前文所提到的冉堌镇住院情况的案例，这种现象不是短期内出现的个例。因此，必须增加稽核频次，必须做到全覆盖，除了定期的考核还要加大不定期突击检查的力度，以保证稽核工作的密集性，让被检查机构没有足够的时间和空间进行违法违规操作。</w:t>
      </w:r>
      <w:bookmarkEnd w:id="260"/>
      <w:bookmarkEnd w:id="261"/>
      <w:bookmarkStart w:id="262" w:name="_Toc12721"/>
      <w:bookmarkStart w:id="263" w:name="_Toc25154"/>
      <w:bookmarkStart w:id="264" w:name="_Toc14795"/>
    </w:p>
    <w:p>
      <w:pPr>
        <w:pStyle w:val="4"/>
        <w:bidi w:val="0"/>
        <w:rPr>
          <w:rFonts w:hint="eastAsia" w:ascii="仿宋_GB2312" w:hAnsi="仿宋_GB2312" w:eastAsia="仿宋_GB2312" w:cs="仿宋_GB2312"/>
          <w:lang w:val="en-US" w:eastAsia="zh-CN"/>
        </w:rPr>
      </w:pPr>
      <w:bookmarkStart w:id="265" w:name="_Toc4872"/>
      <w:bookmarkStart w:id="266" w:name="_Toc1533"/>
      <w:bookmarkStart w:id="267" w:name="_Toc19028"/>
      <w:bookmarkStart w:id="268" w:name="_Toc28470"/>
      <w:bookmarkStart w:id="269" w:name="_Toc2746"/>
      <w:bookmarkStart w:id="270" w:name="_Toc13662"/>
      <w:bookmarkStart w:id="271" w:name="_Toc15060"/>
      <w:bookmarkStart w:id="272" w:name="_Toc18749"/>
      <w:r>
        <w:rPr>
          <w:rFonts w:hint="eastAsia" w:ascii="仿宋_GB2312" w:hAnsi="仿宋_GB2312" w:eastAsia="仿宋_GB2312" w:cs="仿宋_GB2312"/>
          <w:lang w:val="en-US" w:eastAsia="zh-CN"/>
        </w:rPr>
        <w:t>（4）探索聘请第三方专业机构协助检查。</w:t>
      </w:r>
      <w:bookmarkEnd w:id="262"/>
      <w:bookmarkEnd w:id="263"/>
      <w:bookmarkEnd w:id="264"/>
      <w:bookmarkEnd w:id="265"/>
      <w:bookmarkEnd w:id="266"/>
      <w:bookmarkEnd w:id="267"/>
      <w:bookmarkEnd w:id="268"/>
      <w:bookmarkEnd w:id="269"/>
      <w:bookmarkEnd w:id="270"/>
      <w:bookmarkEnd w:id="271"/>
      <w:bookmarkEnd w:id="272"/>
    </w:p>
    <w:p>
      <w:pPr>
        <w:keepNext w:val="0"/>
        <w:keepLines w:val="0"/>
        <w:pageBreakBefore w:val="0"/>
        <w:widowControl w:val="0"/>
        <w:kinsoku/>
        <w:wordWrap/>
        <w:overflowPunct/>
        <w:topLinePunct w:val="0"/>
        <w:autoSpaceDE w:val="0"/>
        <w:autoSpaceDN w:val="0"/>
        <w:bidi w:val="0"/>
        <w:adjustRightInd/>
        <w:snapToGrid/>
        <w:jc w:val="both"/>
        <w:textAlignment w:val="auto"/>
        <w:rPr>
          <w:rFonts w:hint="eastAsia" w:cs="仿宋_GB2312"/>
          <w:sz w:val="32"/>
          <w:szCs w:val="32"/>
          <w:highlight w:val="none"/>
          <w:lang w:val="en-US" w:eastAsia="zh-CN" w:bidi="zh-CN"/>
        </w:rPr>
      </w:pPr>
      <w:r>
        <w:rPr>
          <w:rFonts w:hint="eastAsia" w:cs="仿宋_GB2312"/>
          <w:sz w:val="32"/>
          <w:szCs w:val="32"/>
          <w:highlight w:val="none"/>
          <w:lang w:val="en-US" w:eastAsia="zh-CN" w:bidi="zh-CN"/>
        </w:rPr>
        <w:t>医保局的稽核检查人员毕竟有限，经过多次的检查工作难免会“暴露身份”，这就可能导致各医疗机构提前准备以应付检查，致使检查人员无功而返。因此，为避免这种情况，建议医保局安排适当预算聘请专业的第三方机构协助进行稽核检查工作。</w:t>
      </w:r>
    </w:p>
    <w:p>
      <w:pPr>
        <w:pStyle w:val="9"/>
        <w:overflowPunct w:val="0"/>
        <w:spacing w:line="600" w:lineRule="exact"/>
        <w:ind w:firstLine="640" w:firstLineChars="200"/>
        <w:jc w:val="both"/>
        <w:outlineLvl w:val="1"/>
        <w:rPr>
          <w:rFonts w:hint="eastAsia" w:ascii="楷体_GB2312" w:hAnsi="楷体_GB2312" w:eastAsia="楷体_GB2312" w:cs="楷体_GB2312"/>
          <w:sz w:val="32"/>
          <w:szCs w:val="32"/>
          <w:lang w:val="en-US" w:eastAsia="zh-CN" w:bidi="zh-CN"/>
        </w:rPr>
      </w:pPr>
      <w:bookmarkStart w:id="273" w:name="_Toc2744"/>
      <w:bookmarkStart w:id="274" w:name="_Toc27032"/>
      <w:bookmarkStart w:id="275" w:name="_Toc6156"/>
      <w:r>
        <w:rPr>
          <w:rFonts w:hint="eastAsia" w:ascii="楷体_GB2312" w:hAnsi="楷体_GB2312" w:eastAsia="楷体_GB2312" w:cs="楷体_GB2312"/>
          <w:sz w:val="32"/>
          <w:szCs w:val="32"/>
          <w:lang w:val="en-US" w:eastAsia="zh-CN" w:bidi="zh-CN"/>
        </w:rPr>
        <w:t>3、对菏泽市医保局的建议</w:t>
      </w:r>
      <w:bookmarkEnd w:id="273"/>
      <w:bookmarkEnd w:id="274"/>
      <w:bookmarkEnd w:id="275"/>
    </w:p>
    <w:p>
      <w:pPr>
        <w:pStyle w:val="4"/>
        <w:bidi w:val="0"/>
        <w:rPr>
          <w:rFonts w:hint="eastAsia" w:ascii="仿宋_GB2312" w:hAnsi="仿宋_GB2312" w:eastAsia="仿宋_GB2312" w:cs="仿宋_GB2312"/>
          <w:lang w:val="en-US" w:eastAsia="zh-CN"/>
        </w:rPr>
      </w:pPr>
      <w:bookmarkStart w:id="276" w:name="_Toc14711"/>
      <w:bookmarkStart w:id="277" w:name="_Toc9386"/>
      <w:r>
        <w:rPr>
          <w:rFonts w:hint="eastAsia" w:ascii="仿宋_GB2312" w:hAnsi="仿宋_GB2312" w:eastAsia="仿宋_GB2312" w:cs="仿宋_GB2312"/>
          <w:lang w:val="en-US" w:eastAsia="zh-CN"/>
        </w:rPr>
        <w:t>（1）加强对县医保部门稽查工作的考核。</w:t>
      </w:r>
      <w:bookmarkEnd w:id="276"/>
      <w:bookmarkEnd w:id="277"/>
    </w:p>
    <w:p>
      <w:pPr>
        <w:keepNext w:val="0"/>
        <w:keepLines w:val="0"/>
        <w:pageBreakBefore w:val="0"/>
        <w:widowControl w:val="0"/>
        <w:kinsoku/>
        <w:wordWrap/>
        <w:overflowPunct/>
        <w:topLinePunct w:val="0"/>
        <w:autoSpaceDE w:val="0"/>
        <w:autoSpaceDN w:val="0"/>
        <w:bidi w:val="0"/>
        <w:adjustRightInd/>
        <w:snapToGrid/>
        <w:jc w:val="both"/>
        <w:textAlignment w:val="auto"/>
        <w:rPr>
          <w:rFonts w:hint="eastAsia" w:cs="仿宋_GB2312"/>
          <w:sz w:val="32"/>
          <w:szCs w:val="32"/>
          <w:highlight w:val="none"/>
          <w:lang w:val="en-US" w:eastAsia="zh-CN" w:bidi="zh-CN"/>
        </w:rPr>
      </w:pPr>
      <w:r>
        <w:rPr>
          <w:rFonts w:hint="eastAsia" w:cs="仿宋_GB2312"/>
          <w:sz w:val="32"/>
          <w:szCs w:val="32"/>
          <w:highlight w:val="none"/>
          <w:lang w:val="en-US" w:eastAsia="zh-CN" w:bidi="zh-CN"/>
        </w:rPr>
        <w:t>作为各区县医保局的上级管理部门，对于各区县医保局的工作具有监督职责，对各区县的情况应了如指掌，要进一步加强对其工作的了解，增加深入基层，必要时要组织市级检查工作组进行调研考察。</w:t>
      </w:r>
    </w:p>
    <w:p>
      <w:pPr>
        <w:keepNext w:val="0"/>
        <w:keepLines w:val="0"/>
        <w:pageBreakBefore w:val="0"/>
        <w:widowControl w:val="0"/>
        <w:kinsoku/>
        <w:wordWrap/>
        <w:overflowPunct/>
        <w:topLinePunct w:val="0"/>
        <w:autoSpaceDE w:val="0"/>
        <w:autoSpaceDN w:val="0"/>
        <w:bidi w:val="0"/>
        <w:adjustRightInd/>
        <w:snapToGrid/>
        <w:jc w:val="both"/>
        <w:textAlignment w:val="auto"/>
        <w:rPr>
          <w:rFonts w:hint="eastAsia" w:cs="仿宋_GB2312"/>
          <w:sz w:val="32"/>
          <w:szCs w:val="32"/>
          <w:highlight w:val="none"/>
          <w:lang w:val="en-US" w:eastAsia="zh-CN" w:bidi="zh-CN"/>
        </w:rPr>
      </w:pPr>
      <w:r>
        <w:rPr>
          <w:rFonts w:hint="eastAsia" w:cs="仿宋_GB2312"/>
          <w:sz w:val="32"/>
          <w:szCs w:val="32"/>
          <w:highlight w:val="none"/>
          <w:lang w:val="en-US" w:eastAsia="zh-CN" w:bidi="zh-CN"/>
        </w:rPr>
        <w:t>对各区县的稽核工作开展情况进行暗访检查，将暗访检查情况进行系统内通报，也可对各区县的工作情况进行排名，明确奖惩机制。对检查整治专项行动责任不落实，工作不到位，措施不得力，逾期没有完成目标任务的，坚决追责问责；对于稽核工作组织开展较为突出的、取得有效成果的也要予以一定形式的奖励。做好奖惩并举，提高各区县对稽核工作的重视程度和积极性。</w:t>
      </w:r>
    </w:p>
    <w:p>
      <w:pPr>
        <w:pStyle w:val="4"/>
        <w:bidi w:val="0"/>
        <w:rPr>
          <w:rFonts w:hint="default" w:ascii="仿宋_GB2312" w:hAnsi="仿宋_GB2312" w:eastAsia="仿宋_GB2312" w:cs="仿宋_GB2312"/>
          <w:lang w:val="en-US" w:eastAsia="zh-CN"/>
        </w:rPr>
      </w:pPr>
      <w:bookmarkStart w:id="278" w:name="_Toc7287"/>
      <w:bookmarkStart w:id="279" w:name="_Toc17139"/>
      <w:bookmarkStart w:id="280" w:name="_Toc20801"/>
      <w:r>
        <w:rPr>
          <w:rFonts w:hint="eastAsia" w:ascii="仿宋_GB2312" w:hAnsi="仿宋_GB2312" w:eastAsia="仿宋_GB2312" w:cs="仿宋_GB2312"/>
          <w:lang w:val="en-US" w:eastAsia="zh-CN"/>
        </w:rPr>
        <w:t>（2）开展稽查培训。</w:t>
      </w:r>
      <w:bookmarkEnd w:id="278"/>
      <w:bookmarkEnd w:id="279"/>
      <w:bookmarkEnd w:id="280"/>
    </w:p>
    <w:p>
      <w:pPr>
        <w:keepNext w:val="0"/>
        <w:keepLines w:val="0"/>
        <w:pageBreakBefore w:val="0"/>
        <w:widowControl w:val="0"/>
        <w:kinsoku/>
        <w:wordWrap/>
        <w:overflowPunct/>
        <w:topLinePunct w:val="0"/>
        <w:autoSpaceDE w:val="0"/>
        <w:autoSpaceDN w:val="0"/>
        <w:bidi w:val="0"/>
        <w:adjustRightInd/>
        <w:snapToGrid/>
        <w:jc w:val="both"/>
        <w:textAlignment w:val="auto"/>
        <w:rPr>
          <w:rFonts w:hint="eastAsia" w:cs="仿宋_GB2312"/>
          <w:sz w:val="32"/>
          <w:szCs w:val="32"/>
          <w:highlight w:val="none"/>
          <w:lang w:val="en-US" w:eastAsia="zh-CN" w:bidi="zh-CN"/>
        </w:rPr>
      </w:pPr>
      <w:r>
        <w:rPr>
          <w:rFonts w:hint="eastAsia" w:cs="仿宋_GB2312"/>
          <w:sz w:val="32"/>
          <w:szCs w:val="32"/>
          <w:highlight w:val="none"/>
          <w:lang w:val="en-US" w:eastAsia="zh-CN" w:bidi="zh-CN"/>
        </w:rPr>
        <w:t>菏泽市医保局可组织开展稽查业务培训，增加各区县医保部门之间的联系，将好的工作经验加以弘扬，进一步提升稽查人员的工作技巧与工作能力。</w:t>
      </w:r>
      <w:bookmarkEnd w:id="228"/>
      <w:bookmarkEnd w:id="229"/>
      <w:bookmarkEnd w:id="230"/>
      <w:bookmarkEnd w:id="231"/>
      <w:bookmarkEnd w:id="232"/>
      <w:bookmarkEnd w:id="233"/>
      <w:bookmarkStart w:id="281" w:name="_Toc30618"/>
    </w:p>
    <w:p>
      <w:pPr>
        <w:pStyle w:val="4"/>
        <w:bidi w:val="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（3）出台完善的稽核监管制度办法</w:t>
      </w:r>
      <w:bookmarkEnd w:id="281"/>
    </w:p>
    <w:p>
      <w:pPr>
        <w:bidi w:val="0"/>
        <w:rPr>
          <w:rFonts w:hint="eastAsia"/>
          <w:lang w:val="en-US" w:eastAsia="zh-CN"/>
        </w:rPr>
      </w:pPr>
      <w:r>
        <w:rPr>
          <w:rFonts w:hint="eastAsia"/>
          <w:highlight w:val="none"/>
          <w:lang w:val="en-US" w:eastAsia="zh-CN"/>
        </w:rPr>
        <w:t>建议市医保局根据目前实行的的稽核监管措施，结合实际监管工作所形成的经验，如各区县交叉巡查，聘请第三方进行检查等，形成较为全面的制度办法，更有效地推进监管工作的落实，提高医保基金的使用效率。</w:t>
      </w:r>
    </w:p>
    <w:sectPr>
      <w:headerReference r:id="rId9" w:type="default"/>
      <w:footerReference r:id="rId10" w:type="default"/>
      <w:pgSz w:w="11910" w:h="16840"/>
      <w:pgMar w:top="1440" w:right="1800" w:bottom="1440" w:left="1800" w:header="850" w:footer="1417" w:gutter="0"/>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16158DE-A89A-4DA1-BE81-B02B072DF28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embedRegular r:id="rId2" w:fontKey="{F02A911F-59A0-4745-AAD9-9B3DC56F0F5C}"/>
  </w:font>
  <w:font w:name="楷体_GB2312">
    <w:panose1 w:val="02010609030101010101"/>
    <w:charset w:val="86"/>
    <w:family w:val="auto"/>
    <w:pitch w:val="default"/>
    <w:sig w:usb0="00000001" w:usb1="080E0000" w:usb2="00000000" w:usb3="00000000" w:csb0="00040000" w:csb1="00000000"/>
    <w:embedRegular r:id="rId3" w:fontKey="{B76B9AE9-FBA4-4885-B690-CD4F084339F3}"/>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embedRegular r:id="rId4" w:fontKey="{6FBB888F-6EB6-4AC3-892C-525339B00592}"/>
  </w:font>
  <w:font w:name="方正小标宋简体">
    <w:panose1 w:val="02000000000000000000"/>
    <w:charset w:val="86"/>
    <w:family w:val="auto"/>
    <w:pitch w:val="default"/>
    <w:sig w:usb0="00000001" w:usb1="080E0000" w:usb2="00000000" w:usb3="00000000" w:csb0="00040000" w:csb1="00000000"/>
    <w:embedRegular r:id="rId5" w:fontKey="{F7F26BF6-1E3B-4720-A2F8-288CF7CC198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sz w:val="20"/>
        <w:lang w:val="en-US" w:bidi="ar-SA"/>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4"/>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asciiTheme="majorEastAsia" w:hAnsiTheme="majorEastAsia" w:eastAsiaTheme="majorEastAsia" w:cstheme="majorEastAsia"/>
                              <w:sz w:val="28"/>
                              <w:szCs w:val="28"/>
                            </w:rPr>
                            <w:t>- 25 -</w:t>
                          </w:r>
                          <w:r>
                            <w:rPr>
                              <w:rFonts w:hint="eastAsia" w:asciiTheme="majorEastAsia" w:hAnsiTheme="majorEastAsia" w:eastAsiaTheme="majorEastAsia" w:cstheme="majorEastAsia"/>
                              <w:sz w:val="28"/>
                              <w:szCs w:val="28"/>
                            </w:rPr>
                            <w:fldChar w:fldCharType="end"/>
                          </w:r>
                        </w:p>
                      </w:txbxContent>
                    </wps:txbx>
                    <wps:bodyPr wrap="none" lIns="0" tIns="0" rIns="0" bIns="0" upright="1">
                      <a:spAutoFit/>
                    </wps:bodyPr>
                  </wps:wsp>
                </a:graphicData>
              </a:graphic>
            </wp:anchor>
          </w:drawing>
        </mc:Choice>
        <mc:Fallback>
          <w:pict>
            <v:shape id="文本框 23"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KMg2GDOAQAAqQMAAA4AAAAAAAAAAQAgAAAAHgEAAGRycy9l&#10;Mm9Eb2MueG1sUEsFBgAAAAAGAAYAWQEAAF4FAAAAAA==&#10;">
              <v:fill on="f" focussize="0,0"/>
              <v:stroke on="f"/>
              <v:imagedata o:title=""/>
              <o:lock v:ext="edit" aspectratio="f"/>
              <v:textbox inset="0mm,0mm,0mm,0mm" style="mso-fit-shape-to-text:t;">
                <w:txbxContent>
                  <w:p>
                    <w:pPr>
                      <w:pStyle w:val="14"/>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asciiTheme="majorEastAsia" w:hAnsiTheme="majorEastAsia" w:eastAsiaTheme="majorEastAsia" w:cstheme="majorEastAsia"/>
                        <w:sz w:val="28"/>
                        <w:szCs w:val="28"/>
                      </w:rPr>
                      <w:t>- 25 -</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single" w:color="auto" w:sz="4" w:space="1"/>
      </w:pBdr>
      <w:ind w:firstLine="440"/>
      <w:jc w:val="right"/>
      <w:rPr>
        <w:rFonts w:ascii="仿宋" w:hAnsi="仿宋" w:cs="仿宋"/>
        <w:sz w:val="22"/>
        <w:szCs w:val="36"/>
      </w:rPr>
    </w:pPr>
    <w:r>
      <w:rPr>
        <w:rFonts w:hint="eastAsia" w:ascii="仿宋" w:hAnsi="仿宋" w:cs="仿宋"/>
        <w:sz w:val="22"/>
        <w:szCs w:val="36"/>
      </w:rPr>
      <w:t>2020年度</w:t>
    </w:r>
    <w:r>
      <w:rPr>
        <w:rFonts w:hint="eastAsia" w:ascii="仿宋" w:hAnsi="仿宋" w:cs="仿宋"/>
        <w:sz w:val="22"/>
        <w:szCs w:val="36"/>
        <w:lang w:val="en-US" w:eastAsia="zh-CN"/>
      </w:rPr>
      <w:t>菏泽市生态环保能力建设项目</w:t>
    </w:r>
    <w:r>
      <w:rPr>
        <w:rFonts w:hint="eastAsia" w:ascii="仿宋" w:hAnsi="仿宋" w:cs="仿宋"/>
        <w:sz w:val="22"/>
        <w:szCs w:val="36"/>
      </w:rPr>
      <w:t>实施方案</w:t>
    </w:r>
  </w:p>
  <w:p>
    <w:pPr>
      <w:pStyle w:val="15"/>
      <w:rPr>
        <w:rFonts w:hint="eastAsia" w:eastAsia="仿宋"/>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eastAsia="仿宋"/>
      </w:rPr>
    </w:pPr>
    <w:r>
      <w:rPr>
        <w:rFonts w:hint="eastAsia" w:ascii="仿宋" w:hAnsi="仿宋" w:cs="仿宋"/>
        <w:sz w:val="22"/>
        <w:szCs w:val="36"/>
      </w:rPr>
      <w:t>202</w:t>
    </w:r>
    <w:r>
      <w:rPr>
        <w:rFonts w:hint="eastAsia" w:ascii="仿宋" w:hAnsi="仿宋" w:cs="仿宋"/>
        <w:sz w:val="22"/>
        <w:szCs w:val="36"/>
        <w:lang w:val="en-US" w:eastAsia="zh-CN"/>
      </w:rPr>
      <w:t>1</w:t>
    </w:r>
    <w:r>
      <w:rPr>
        <w:rFonts w:hint="eastAsia" w:ascii="仿宋" w:hAnsi="仿宋" w:cs="仿宋"/>
        <w:sz w:val="22"/>
        <w:szCs w:val="36"/>
      </w:rPr>
      <w:t>年度</w:t>
    </w:r>
    <w:r>
      <w:rPr>
        <w:rFonts w:hint="eastAsia" w:ascii="仿宋" w:hAnsi="仿宋" w:cs="仿宋"/>
        <w:sz w:val="22"/>
        <w:szCs w:val="36"/>
        <w:lang w:val="en-US" w:eastAsia="zh-CN"/>
      </w:rPr>
      <w:t>菏泽市城乡居民医疗保险基金项目支出</w:t>
    </w:r>
    <w:r>
      <w:rPr>
        <w:rFonts w:hint="eastAsia" w:ascii="仿宋" w:hAnsi="仿宋" w:cs="仿宋"/>
        <w:sz w:val="22"/>
        <w:szCs w:val="36"/>
        <w:lang w:val="en-US"/>
      </w:rPr>
      <w:t>绩效评</w:t>
    </w:r>
    <w:r>
      <w:rPr>
        <w:rFonts w:hint="eastAsia" w:ascii="仿宋" w:hAnsi="仿宋" w:eastAsia="仿宋" w:cs="仿宋"/>
        <w:sz w:val="22"/>
        <w:szCs w:val="36"/>
      </w:rPr>
      <w:t>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xNTYwZGM5OGIzMDgyMGI5NmIxMDg1MTE4YzY3MjUifQ=="/>
  </w:docVars>
  <w:rsids>
    <w:rsidRoot w:val="00172A27"/>
    <w:rsid w:val="000654F2"/>
    <w:rsid w:val="000D2F89"/>
    <w:rsid w:val="000F2235"/>
    <w:rsid w:val="001153F2"/>
    <w:rsid w:val="0015240E"/>
    <w:rsid w:val="001714B0"/>
    <w:rsid w:val="00172A27"/>
    <w:rsid w:val="001925DD"/>
    <w:rsid w:val="001B0A25"/>
    <w:rsid w:val="001D0257"/>
    <w:rsid w:val="0023159C"/>
    <w:rsid w:val="00265EC1"/>
    <w:rsid w:val="002B0001"/>
    <w:rsid w:val="0037484D"/>
    <w:rsid w:val="00381A58"/>
    <w:rsid w:val="003873FE"/>
    <w:rsid w:val="003A1734"/>
    <w:rsid w:val="003F2768"/>
    <w:rsid w:val="003F7889"/>
    <w:rsid w:val="004126CA"/>
    <w:rsid w:val="00484F87"/>
    <w:rsid w:val="00502F47"/>
    <w:rsid w:val="0050662D"/>
    <w:rsid w:val="0051097B"/>
    <w:rsid w:val="00552FC9"/>
    <w:rsid w:val="00553A53"/>
    <w:rsid w:val="00586DE7"/>
    <w:rsid w:val="005C5C99"/>
    <w:rsid w:val="00604CE0"/>
    <w:rsid w:val="00604D67"/>
    <w:rsid w:val="00654C3F"/>
    <w:rsid w:val="007661BE"/>
    <w:rsid w:val="00790652"/>
    <w:rsid w:val="007F0961"/>
    <w:rsid w:val="00805C6D"/>
    <w:rsid w:val="008824E8"/>
    <w:rsid w:val="008F32CB"/>
    <w:rsid w:val="00903444"/>
    <w:rsid w:val="009034A3"/>
    <w:rsid w:val="00952FFD"/>
    <w:rsid w:val="009A7030"/>
    <w:rsid w:val="00A30AD8"/>
    <w:rsid w:val="00A82275"/>
    <w:rsid w:val="00A86FF6"/>
    <w:rsid w:val="00AA4D5B"/>
    <w:rsid w:val="00AA6642"/>
    <w:rsid w:val="00AB15F6"/>
    <w:rsid w:val="00B802F0"/>
    <w:rsid w:val="00C07B64"/>
    <w:rsid w:val="00C4710C"/>
    <w:rsid w:val="00C515EC"/>
    <w:rsid w:val="00C57B0C"/>
    <w:rsid w:val="00C753EB"/>
    <w:rsid w:val="00CB0E14"/>
    <w:rsid w:val="00D3078A"/>
    <w:rsid w:val="00D526E7"/>
    <w:rsid w:val="00DA1236"/>
    <w:rsid w:val="00DD79E6"/>
    <w:rsid w:val="00E56FDD"/>
    <w:rsid w:val="00EA32D0"/>
    <w:rsid w:val="00EF5A42"/>
    <w:rsid w:val="00EF75A5"/>
    <w:rsid w:val="00F25FEB"/>
    <w:rsid w:val="00F838C3"/>
    <w:rsid w:val="014C0B16"/>
    <w:rsid w:val="0159301C"/>
    <w:rsid w:val="016A1CF1"/>
    <w:rsid w:val="017C07EC"/>
    <w:rsid w:val="01AC6F50"/>
    <w:rsid w:val="01B87BAA"/>
    <w:rsid w:val="020E2058"/>
    <w:rsid w:val="02266C20"/>
    <w:rsid w:val="02502040"/>
    <w:rsid w:val="02754664"/>
    <w:rsid w:val="02D4476E"/>
    <w:rsid w:val="02FF3C4A"/>
    <w:rsid w:val="03194E90"/>
    <w:rsid w:val="034D796D"/>
    <w:rsid w:val="03701C45"/>
    <w:rsid w:val="03715658"/>
    <w:rsid w:val="038D3245"/>
    <w:rsid w:val="03C55720"/>
    <w:rsid w:val="03DF51A5"/>
    <w:rsid w:val="03E67279"/>
    <w:rsid w:val="04080A1E"/>
    <w:rsid w:val="04CD61FB"/>
    <w:rsid w:val="04E529F9"/>
    <w:rsid w:val="04EB042F"/>
    <w:rsid w:val="052E47BF"/>
    <w:rsid w:val="05A0728A"/>
    <w:rsid w:val="05A22403"/>
    <w:rsid w:val="05A924C0"/>
    <w:rsid w:val="05B577EE"/>
    <w:rsid w:val="05C96CA2"/>
    <w:rsid w:val="05D64307"/>
    <w:rsid w:val="05D85CCC"/>
    <w:rsid w:val="05DE00B2"/>
    <w:rsid w:val="05E952DB"/>
    <w:rsid w:val="05EA3BDA"/>
    <w:rsid w:val="06073F29"/>
    <w:rsid w:val="067C18D9"/>
    <w:rsid w:val="06850F0D"/>
    <w:rsid w:val="06937409"/>
    <w:rsid w:val="06FD3C28"/>
    <w:rsid w:val="06FE3BA5"/>
    <w:rsid w:val="0704052A"/>
    <w:rsid w:val="070830B3"/>
    <w:rsid w:val="072A6D47"/>
    <w:rsid w:val="07785314"/>
    <w:rsid w:val="078A4FDB"/>
    <w:rsid w:val="07AC65AA"/>
    <w:rsid w:val="08562045"/>
    <w:rsid w:val="08682F22"/>
    <w:rsid w:val="09003C64"/>
    <w:rsid w:val="092162EF"/>
    <w:rsid w:val="092307A2"/>
    <w:rsid w:val="09591D70"/>
    <w:rsid w:val="097C5534"/>
    <w:rsid w:val="0983332C"/>
    <w:rsid w:val="09FD3213"/>
    <w:rsid w:val="0ACF1262"/>
    <w:rsid w:val="0B415214"/>
    <w:rsid w:val="0B73388F"/>
    <w:rsid w:val="0B904706"/>
    <w:rsid w:val="0BA54DDA"/>
    <w:rsid w:val="0BE46BDB"/>
    <w:rsid w:val="0C095A89"/>
    <w:rsid w:val="0C7901C1"/>
    <w:rsid w:val="0C8A6710"/>
    <w:rsid w:val="0C9852CE"/>
    <w:rsid w:val="0C9F0E30"/>
    <w:rsid w:val="0CC121AA"/>
    <w:rsid w:val="0D0A01AE"/>
    <w:rsid w:val="0D1150F2"/>
    <w:rsid w:val="0D7C263C"/>
    <w:rsid w:val="0D7F540D"/>
    <w:rsid w:val="0DB53CCE"/>
    <w:rsid w:val="0DBE6B1E"/>
    <w:rsid w:val="0DD25FA8"/>
    <w:rsid w:val="0DE27226"/>
    <w:rsid w:val="0DF31554"/>
    <w:rsid w:val="0DF36C47"/>
    <w:rsid w:val="0E47148A"/>
    <w:rsid w:val="0E5B0C85"/>
    <w:rsid w:val="0E6543DE"/>
    <w:rsid w:val="0E682AF0"/>
    <w:rsid w:val="0EB44013"/>
    <w:rsid w:val="0EBF1C5F"/>
    <w:rsid w:val="0EF46807"/>
    <w:rsid w:val="0F2532A5"/>
    <w:rsid w:val="0F743422"/>
    <w:rsid w:val="0F8C4987"/>
    <w:rsid w:val="0FA46E6D"/>
    <w:rsid w:val="0FD508CF"/>
    <w:rsid w:val="0FDD2EDC"/>
    <w:rsid w:val="0FE5189C"/>
    <w:rsid w:val="1014352E"/>
    <w:rsid w:val="10712319"/>
    <w:rsid w:val="10737916"/>
    <w:rsid w:val="10B75C87"/>
    <w:rsid w:val="11174C36"/>
    <w:rsid w:val="113874CE"/>
    <w:rsid w:val="114F7F97"/>
    <w:rsid w:val="11640158"/>
    <w:rsid w:val="11697277"/>
    <w:rsid w:val="11AD4E89"/>
    <w:rsid w:val="11BB34A2"/>
    <w:rsid w:val="11C371C3"/>
    <w:rsid w:val="12324E32"/>
    <w:rsid w:val="125F420A"/>
    <w:rsid w:val="127A4268"/>
    <w:rsid w:val="12B94B31"/>
    <w:rsid w:val="12C0546C"/>
    <w:rsid w:val="12D30353"/>
    <w:rsid w:val="12F661AD"/>
    <w:rsid w:val="12FF18C6"/>
    <w:rsid w:val="131E3F3D"/>
    <w:rsid w:val="132B6CD5"/>
    <w:rsid w:val="134A0A16"/>
    <w:rsid w:val="134C1EDA"/>
    <w:rsid w:val="13913A8A"/>
    <w:rsid w:val="139717B6"/>
    <w:rsid w:val="139F71D4"/>
    <w:rsid w:val="13D6698E"/>
    <w:rsid w:val="13F43CEC"/>
    <w:rsid w:val="13F75B56"/>
    <w:rsid w:val="140310C7"/>
    <w:rsid w:val="140415C7"/>
    <w:rsid w:val="142939D1"/>
    <w:rsid w:val="14321BD6"/>
    <w:rsid w:val="1433084B"/>
    <w:rsid w:val="143A2954"/>
    <w:rsid w:val="148669C7"/>
    <w:rsid w:val="149965F8"/>
    <w:rsid w:val="14DD4088"/>
    <w:rsid w:val="14E245C6"/>
    <w:rsid w:val="14E97C4C"/>
    <w:rsid w:val="14F67130"/>
    <w:rsid w:val="152028F2"/>
    <w:rsid w:val="153A679D"/>
    <w:rsid w:val="15896FE2"/>
    <w:rsid w:val="15B50D11"/>
    <w:rsid w:val="15BF4AEE"/>
    <w:rsid w:val="16106200"/>
    <w:rsid w:val="1673446F"/>
    <w:rsid w:val="168F6711"/>
    <w:rsid w:val="169528F0"/>
    <w:rsid w:val="16A96046"/>
    <w:rsid w:val="16F57C8A"/>
    <w:rsid w:val="17221AE9"/>
    <w:rsid w:val="172C4184"/>
    <w:rsid w:val="174B6FB0"/>
    <w:rsid w:val="17813A05"/>
    <w:rsid w:val="17A673EB"/>
    <w:rsid w:val="17F953FD"/>
    <w:rsid w:val="1805550B"/>
    <w:rsid w:val="1834207B"/>
    <w:rsid w:val="189D4023"/>
    <w:rsid w:val="18AE7CF2"/>
    <w:rsid w:val="18DE342C"/>
    <w:rsid w:val="1946341B"/>
    <w:rsid w:val="195761CE"/>
    <w:rsid w:val="198F0FBE"/>
    <w:rsid w:val="199367AC"/>
    <w:rsid w:val="19C8351E"/>
    <w:rsid w:val="19CF0A24"/>
    <w:rsid w:val="19F94B38"/>
    <w:rsid w:val="1A01758D"/>
    <w:rsid w:val="1A1A5BB8"/>
    <w:rsid w:val="1A2A6205"/>
    <w:rsid w:val="1A2B2211"/>
    <w:rsid w:val="1A3664FF"/>
    <w:rsid w:val="1A817126"/>
    <w:rsid w:val="1AEE5BE7"/>
    <w:rsid w:val="1B474583"/>
    <w:rsid w:val="1C1C08BB"/>
    <w:rsid w:val="1C4A7211"/>
    <w:rsid w:val="1C550B58"/>
    <w:rsid w:val="1C625023"/>
    <w:rsid w:val="1C8E4E2E"/>
    <w:rsid w:val="1CDE26E0"/>
    <w:rsid w:val="1CED286B"/>
    <w:rsid w:val="1D12430F"/>
    <w:rsid w:val="1D191EEF"/>
    <w:rsid w:val="1D440BCC"/>
    <w:rsid w:val="1D86772F"/>
    <w:rsid w:val="1DD93DA5"/>
    <w:rsid w:val="1E221745"/>
    <w:rsid w:val="1E605AFB"/>
    <w:rsid w:val="1EE63115"/>
    <w:rsid w:val="1F6565C4"/>
    <w:rsid w:val="1F6D7F66"/>
    <w:rsid w:val="1F7607B5"/>
    <w:rsid w:val="1F795897"/>
    <w:rsid w:val="1F931CF0"/>
    <w:rsid w:val="1FB90D8F"/>
    <w:rsid w:val="1FF140D1"/>
    <w:rsid w:val="200277C2"/>
    <w:rsid w:val="200662E1"/>
    <w:rsid w:val="205C4907"/>
    <w:rsid w:val="205E312F"/>
    <w:rsid w:val="20635A78"/>
    <w:rsid w:val="20673BC5"/>
    <w:rsid w:val="206C2914"/>
    <w:rsid w:val="20996A00"/>
    <w:rsid w:val="209F020E"/>
    <w:rsid w:val="20B80FD9"/>
    <w:rsid w:val="20CC0118"/>
    <w:rsid w:val="20EE15D8"/>
    <w:rsid w:val="20FA3A7C"/>
    <w:rsid w:val="21131C1B"/>
    <w:rsid w:val="212862D1"/>
    <w:rsid w:val="21576935"/>
    <w:rsid w:val="21B04A82"/>
    <w:rsid w:val="21D64658"/>
    <w:rsid w:val="21FF62AC"/>
    <w:rsid w:val="22122FA8"/>
    <w:rsid w:val="22272189"/>
    <w:rsid w:val="22603543"/>
    <w:rsid w:val="227C61F4"/>
    <w:rsid w:val="22864B9D"/>
    <w:rsid w:val="22885489"/>
    <w:rsid w:val="22AF062F"/>
    <w:rsid w:val="22CC7944"/>
    <w:rsid w:val="230C4462"/>
    <w:rsid w:val="23183437"/>
    <w:rsid w:val="238D6709"/>
    <w:rsid w:val="23CB466B"/>
    <w:rsid w:val="23DC1B5F"/>
    <w:rsid w:val="244B6C7D"/>
    <w:rsid w:val="24836395"/>
    <w:rsid w:val="24B16F65"/>
    <w:rsid w:val="25297B38"/>
    <w:rsid w:val="25497D26"/>
    <w:rsid w:val="254D5F88"/>
    <w:rsid w:val="25616D3B"/>
    <w:rsid w:val="25964E63"/>
    <w:rsid w:val="25A678DC"/>
    <w:rsid w:val="25F43A99"/>
    <w:rsid w:val="25F93CD1"/>
    <w:rsid w:val="264B7631"/>
    <w:rsid w:val="26B167E7"/>
    <w:rsid w:val="26D42F2C"/>
    <w:rsid w:val="26EA6341"/>
    <w:rsid w:val="276322D3"/>
    <w:rsid w:val="27B326F1"/>
    <w:rsid w:val="27FA56E8"/>
    <w:rsid w:val="282073BC"/>
    <w:rsid w:val="28975EF5"/>
    <w:rsid w:val="28A150A9"/>
    <w:rsid w:val="28B266B1"/>
    <w:rsid w:val="28C83683"/>
    <w:rsid w:val="28D20053"/>
    <w:rsid w:val="290E41B7"/>
    <w:rsid w:val="29194077"/>
    <w:rsid w:val="29A74947"/>
    <w:rsid w:val="29A96E0B"/>
    <w:rsid w:val="29D513D1"/>
    <w:rsid w:val="2A6732F2"/>
    <w:rsid w:val="2AC00305"/>
    <w:rsid w:val="2ACD34D9"/>
    <w:rsid w:val="2B2F6A9D"/>
    <w:rsid w:val="2B30498D"/>
    <w:rsid w:val="2B343FD5"/>
    <w:rsid w:val="2B3601EC"/>
    <w:rsid w:val="2B444C26"/>
    <w:rsid w:val="2B5A56F9"/>
    <w:rsid w:val="2C00117B"/>
    <w:rsid w:val="2C0568EB"/>
    <w:rsid w:val="2C433A97"/>
    <w:rsid w:val="2CA05729"/>
    <w:rsid w:val="2CDF1037"/>
    <w:rsid w:val="2CE645EA"/>
    <w:rsid w:val="2CF05E93"/>
    <w:rsid w:val="2CF96723"/>
    <w:rsid w:val="2D4E0F45"/>
    <w:rsid w:val="2D511A3A"/>
    <w:rsid w:val="2D7319A2"/>
    <w:rsid w:val="2D89063E"/>
    <w:rsid w:val="2D8F0108"/>
    <w:rsid w:val="2D9A04D1"/>
    <w:rsid w:val="2D9D791F"/>
    <w:rsid w:val="2DCF110D"/>
    <w:rsid w:val="2DD45655"/>
    <w:rsid w:val="2DE35443"/>
    <w:rsid w:val="2DED42C7"/>
    <w:rsid w:val="2E0028ED"/>
    <w:rsid w:val="2E0557C0"/>
    <w:rsid w:val="2E5A30B5"/>
    <w:rsid w:val="2E673927"/>
    <w:rsid w:val="2E881DA3"/>
    <w:rsid w:val="2E945199"/>
    <w:rsid w:val="2EB37960"/>
    <w:rsid w:val="2EF32BFC"/>
    <w:rsid w:val="2EF63937"/>
    <w:rsid w:val="2F01028D"/>
    <w:rsid w:val="2F0B0C75"/>
    <w:rsid w:val="2F784C59"/>
    <w:rsid w:val="2F8D0EA8"/>
    <w:rsid w:val="2FAA6280"/>
    <w:rsid w:val="2FC25F2E"/>
    <w:rsid w:val="300B38B6"/>
    <w:rsid w:val="30111048"/>
    <w:rsid w:val="30256352"/>
    <w:rsid w:val="303745E6"/>
    <w:rsid w:val="306B6AA7"/>
    <w:rsid w:val="307A71D3"/>
    <w:rsid w:val="30B128B3"/>
    <w:rsid w:val="30B579BF"/>
    <w:rsid w:val="30F45E8F"/>
    <w:rsid w:val="310D3A74"/>
    <w:rsid w:val="310F38DD"/>
    <w:rsid w:val="314A0705"/>
    <w:rsid w:val="315959A2"/>
    <w:rsid w:val="31736FB4"/>
    <w:rsid w:val="31783C63"/>
    <w:rsid w:val="320A1ED1"/>
    <w:rsid w:val="322317E4"/>
    <w:rsid w:val="3233018F"/>
    <w:rsid w:val="32A2759D"/>
    <w:rsid w:val="32C26287"/>
    <w:rsid w:val="32E65A73"/>
    <w:rsid w:val="32EB53B2"/>
    <w:rsid w:val="32EC12B7"/>
    <w:rsid w:val="33055502"/>
    <w:rsid w:val="336B6E3C"/>
    <w:rsid w:val="338354F6"/>
    <w:rsid w:val="338E763B"/>
    <w:rsid w:val="3398021F"/>
    <w:rsid w:val="339F5D9E"/>
    <w:rsid w:val="33CA23C6"/>
    <w:rsid w:val="33ED79C5"/>
    <w:rsid w:val="340F179F"/>
    <w:rsid w:val="34B578B6"/>
    <w:rsid w:val="34C5219B"/>
    <w:rsid w:val="34C86414"/>
    <w:rsid w:val="34CF67BA"/>
    <w:rsid w:val="34D54477"/>
    <w:rsid w:val="350A3023"/>
    <w:rsid w:val="351D1BD4"/>
    <w:rsid w:val="353B4422"/>
    <w:rsid w:val="35591B00"/>
    <w:rsid w:val="35740BA3"/>
    <w:rsid w:val="35831C08"/>
    <w:rsid w:val="35C36AF6"/>
    <w:rsid w:val="35D40C21"/>
    <w:rsid w:val="368D3FAE"/>
    <w:rsid w:val="36BA76ED"/>
    <w:rsid w:val="36ED7342"/>
    <w:rsid w:val="36F154C9"/>
    <w:rsid w:val="36FA4C01"/>
    <w:rsid w:val="371C0D42"/>
    <w:rsid w:val="373244DC"/>
    <w:rsid w:val="377E6DFC"/>
    <w:rsid w:val="378B76CC"/>
    <w:rsid w:val="379B39FC"/>
    <w:rsid w:val="38360350"/>
    <w:rsid w:val="38465A5E"/>
    <w:rsid w:val="38547615"/>
    <w:rsid w:val="39492513"/>
    <w:rsid w:val="394C61B4"/>
    <w:rsid w:val="39553AED"/>
    <w:rsid w:val="39BF0D80"/>
    <w:rsid w:val="39ED5A1F"/>
    <w:rsid w:val="3A6B01B6"/>
    <w:rsid w:val="3A7D1855"/>
    <w:rsid w:val="3A846755"/>
    <w:rsid w:val="3ABA5712"/>
    <w:rsid w:val="3ADE68C7"/>
    <w:rsid w:val="3AEF279D"/>
    <w:rsid w:val="3AEF4777"/>
    <w:rsid w:val="3AFD72C5"/>
    <w:rsid w:val="3B2644CD"/>
    <w:rsid w:val="3B305C27"/>
    <w:rsid w:val="3B430461"/>
    <w:rsid w:val="3B5878C5"/>
    <w:rsid w:val="3B6039FB"/>
    <w:rsid w:val="3BE5458D"/>
    <w:rsid w:val="3C104145"/>
    <w:rsid w:val="3CDD7828"/>
    <w:rsid w:val="3D127B4C"/>
    <w:rsid w:val="3D3E6263"/>
    <w:rsid w:val="3D6C5915"/>
    <w:rsid w:val="3D8C1E74"/>
    <w:rsid w:val="3D9C32CC"/>
    <w:rsid w:val="3E9F313E"/>
    <w:rsid w:val="3EFC7B1C"/>
    <w:rsid w:val="3F583E03"/>
    <w:rsid w:val="3F5C6A0D"/>
    <w:rsid w:val="3F633FDF"/>
    <w:rsid w:val="3FB0214A"/>
    <w:rsid w:val="402F1B2F"/>
    <w:rsid w:val="40BD122B"/>
    <w:rsid w:val="40D53332"/>
    <w:rsid w:val="40DA1260"/>
    <w:rsid w:val="40F97454"/>
    <w:rsid w:val="410A1001"/>
    <w:rsid w:val="4129496C"/>
    <w:rsid w:val="413B1FBD"/>
    <w:rsid w:val="416375D9"/>
    <w:rsid w:val="41715AFC"/>
    <w:rsid w:val="420C0238"/>
    <w:rsid w:val="421E09F4"/>
    <w:rsid w:val="422E68C0"/>
    <w:rsid w:val="42731FDC"/>
    <w:rsid w:val="42765191"/>
    <w:rsid w:val="4289581C"/>
    <w:rsid w:val="42A60A7F"/>
    <w:rsid w:val="43015973"/>
    <w:rsid w:val="434E1FBA"/>
    <w:rsid w:val="436314FD"/>
    <w:rsid w:val="43692809"/>
    <w:rsid w:val="43AD2AF8"/>
    <w:rsid w:val="43EB1CD5"/>
    <w:rsid w:val="44340D5A"/>
    <w:rsid w:val="44582F8A"/>
    <w:rsid w:val="44996B61"/>
    <w:rsid w:val="449B18B6"/>
    <w:rsid w:val="449B33F4"/>
    <w:rsid w:val="44E14C3B"/>
    <w:rsid w:val="455D03E0"/>
    <w:rsid w:val="458A348D"/>
    <w:rsid w:val="45AE2049"/>
    <w:rsid w:val="45E2543C"/>
    <w:rsid w:val="463F1DAD"/>
    <w:rsid w:val="466F021C"/>
    <w:rsid w:val="46997D40"/>
    <w:rsid w:val="46F33A41"/>
    <w:rsid w:val="47284123"/>
    <w:rsid w:val="4733559C"/>
    <w:rsid w:val="4746716B"/>
    <w:rsid w:val="475A68B5"/>
    <w:rsid w:val="47947ED7"/>
    <w:rsid w:val="479D74E1"/>
    <w:rsid w:val="47B515A5"/>
    <w:rsid w:val="47CF4142"/>
    <w:rsid w:val="47EC4ADA"/>
    <w:rsid w:val="47F66A3F"/>
    <w:rsid w:val="480B3C61"/>
    <w:rsid w:val="48152BE3"/>
    <w:rsid w:val="4846415E"/>
    <w:rsid w:val="48546281"/>
    <w:rsid w:val="487B729B"/>
    <w:rsid w:val="488B087C"/>
    <w:rsid w:val="48BA071A"/>
    <w:rsid w:val="49172B6D"/>
    <w:rsid w:val="49284D7B"/>
    <w:rsid w:val="4A083B20"/>
    <w:rsid w:val="4A120026"/>
    <w:rsid w:val="4A5C750F"/>
    <w:rsid w:val="4A8A0C30"/>
    <w:rsid w:val="4AA701D0"/>
    <w:rsid w:val="4AEC69EA"/>
    <w:rsid w:val="4AFB3C46"/>
    <w:rsid w:val="4B0764DA"/>
    <w:rsid w:val="4B414362"/>
    <w:rsid w:val="4B694FD1"/>
    <w:rsid w:val="4BBC4387"/>
    <w:rsid w:val="4BC314CF"/>
    <w:rsid w:val="4BD202D7"/>
    <w:rsid w:val="4C1137E8"/>
    <w:rsid w:val="4C1C7B70"/>
    <w:rsid w:val="4C314045"/>
    <w:rsid w:val="4C843EA0"/>
    <w:rsid w:val="4C98469F"/>
    <w:rsid w:val="4CD323CB"/>
    <w:rsid w:val="4D170766"/>
    <w:rsid w:val="4D1A2039"/>
    <w:rsid w:val="4D244BC8"/>
    <w:rsid w:val="4D2724C1"/>
    <w:rsid w:val="4D280B7F"/>
    <w:rsid w:val="4D380754"/>
    <w:rsid w:val="4D7C600C"/>
    <w:rsid w:val="4D962ADC"/>
    <w:rsid w:val="4DC56E5C"/>
    <w:rsid w:val="4DE0204C"/>
    <w:rsid w:val="4DF72F6D"/>
    <w:rsid w:val="4E082660"/>
    <w:rsid w:val="4E526341"/>
    <w:rsid w:val="4E82699D"/>
    <w:rsid w:val="4E851EAF"/>
    <w:rsid w:val="4EAF0CA3"/>
    <w:rsid w:val="4ED14619"/>
    <w:rsid w:val="4F33762B"/>
    <w:rsid w:val="4F821614"/>
    <w:rsid w:val="4F8A1374"/>
    <w:rsid w:val="4F952417"/>
    <w:rsid w:val="4FAE25AD"/>
    <w:rsid w:val="4FEB08B0"/>
    <w:rsid w:val="50027558"/>
    <w:rsid w:val="50263177"/>
    <w:rsid w:val="502B0093"/>
    <w:rsid w:val="503C735D"/>
    <w:rsid w:val="503D19DB"/>
    <w:rsid w:val="50431BFD"/>
    <w:rsid w:val="506004C6"/>
    <w:rsid w:val="506C7A82"/>
    <w:rsid w:val="509252FE"/>
    <w:rsid w:val="5128115D"/>
    <w:rsid w:val="51353149"/>
    <w:rsid w:val="51464D96"/>
    <w:rsid w:val="51721FB3"/>
    <w:rsid w:val="51962028"/>
    <w:rsid w:val="51C567CE"/>
    <w:rsid w:val="51CD7442"/>
    <w:rsid w:val="51ED1878"/>
    <w:rsid w:val="520F313C"/>
    <w:rsid w:val="525F7333"/>
    <w:rsid w:val="52E17529"/>
    <w:rsid w:val="52E94940"/>
    <w:rsid w:val="53194C0A"/>
    <w:rsid w:val="536B7B6A"/>
    <w:rsid w:val="53885555"/>
    <w:rsid w:val="53AC35AD"/>
    <w:rsid w:val="53C622E2"/>
    <w:rsid w:val="53F842FF"/>
    <w:rsid w:val="54183CA2"/>
    <w:rsid w:val="543D0C99"/>
    <w:rsid w:val="544607AB"/>
    <w:rsid w:val="54583F4A"/>
    <w:rsid w:val="54625B70"/>
    <w:rsid w:val="547336DF"/>
    <w:rsid w:val="54E301FF"/>
    <w:rsid w:val="551000A0"/>
    <w:rsid w:val="55BD431F"/>
    <w:rsid w:val="55DA2F1B"/>
    <w:rsid w:val="562F52E5"/>
    <w:rsid w:val="563273DB"/>
    <w:rsid w:val="56512D9A"/>
    <w:rsid w:val="56592E35"/>
    <w:rsid w:val="56AB0F17"/>
    <w:rsid w:val="56D75640"/>
    <w:rsid w:val="57830A7D"/>
    <w:rsid w:val="5783639E"/>
    <w:rsid w:val="58144523"/>
    <w:rsid w:val="589F31AE"/>
    <w:rsid w:val="58AE19EE"/>
    <w:rsid w:val="595D7EA6"/>
    <w:rsid w:val="598271F0"/>
    <w:rsid w:val="59E27FC1"/>
    <w:rsid w:val="5A227D37"/>
    <w:rsid w:val="5A2A7E5D"/>
    <w:rsid w:val="5A416797"/>
    <w:rsid w:val="5A752A79"/>
    <w:rsid w:val="5AAC2224"/>
    <w:rsid w:val="5AD656BB"/>
    <w:rsid w:val="5B1E6D73"/>
    <w:rsid w:val="5B23341E"/>
    <w:rsid w:val="5B262AF8"/>
    <w:rsid w:val="5B8A3DE0"/>
    <w:rsid w:val="5BCE58DE"/>
    <w:rsid w:val="5BDA6E38"/>
    <w:rsid w:val="5BE979A9"/>
    <w:rsid w:val="5BF40C8D"/>
    <w:rsid w:val="5C443156"/>
    <w:rsid w:val="5CBD1B8F"/>
    <w:rsid w:val="5D183DA6"/>
    <w:rsid w:val="5D221689"/>
    <w:rsid w:val="5D912D98"/>
    <w:rsid w:val="5DA402F0"/>
    <w:rsid w:val="5DC7396C"/>
    <w:rsid w:val="5E420235"/>
    <w:rsid w:val="5E5E3634"/>
    <w:rsid w:val="5EC71A12"/>
    <w:rsid w:val="5ED04544"/>
    <w:rsid w:val="5F6912CA"/>
    <w:rsid w:val="5FB044E4"/>
    <w:rsid w:val="5FC04876"/>
    <w:rsid w:val="5FE00B81"/>
    <w:rsid w:val="5FEB37E2"/>
    <w:rsid w:val="5FEE0C99"/>
    <w:rsid w:val="6011041D"/>
    <w:rsid w:val="6030306F"/>
    <w:rsid w:val="60811002"/>
    <w:rsid w:val="60B655CE"/>
    <w:rsid w:val="60D75441"/>
    <w:rsid w:val="60F024A6"/>
    <w:rsid w:val="612E4DB4"/>
    <w:rsid w:val="61874675"/>
    <w:rsid w:val="61977105"/>
    <w:rsid w:val="623611FE"/>
    <w:rsid w:val="62546789"/>
    <w:rsid w:val="62551303"/>
    <w:rsid w:val="62A32D6A"/>
    <w:rsid w:val="62A57D4F"/>
    <w:rsid w:val="62DD052C"/>
    <w:rsid w:val="633063E5"/>
    <w:rsid w:val="6363636C"/>
    <w:rsid w:val="63944BB3"/>
    <w:rsid w:val="63EB65CE"/>
    <w:rsid w:val="642A0B61"/>
    <w:rsid w:val="643C7525"/>
    <w:rsid w:val="646E31FA"/>
    <w:rsid w:val="64AD4E57"/>
    <w:rsid w:val="64B472E6"/>
    <w:rsid w:val="65D92D7B"/>
    <w:rsid w:val="660B4C30"/>
    <w:rsid w:val="661A42F1"/>
    <w:rsid w:val="6635067F"/>
    <w:rsid w:val="6642106B"/>
    <w:rsid w:val="664B5385"/>
    <w:rsid w:val="667377FE"/>
    <w:rsid w:val="66811214"/>
    <w:rsid w:val="66C725A7"/>
    <w:rsid w:val="66EF047A"/>
    <w:rsid w:val="670818F0"/>
    <w:rsid w:val="675F68E3"/>
    <w:rsid w:val="676C60FB"/>
    <w:rsid w:val="67A770F4"/>
    <w:rsid w:val="67CB3E23"/>
    <w:rsid w:val="67FF7BAF"/>
    <w:rsid w:val="682415D2"/>
    <w:rsid w:val="684828EC"/>
    <w:rsid w:val="686A4065"/>
    <w:rsid w:val="688A4AF7"/>
    <w:rsid w:val="68C538EA"/>
    <w:rsid w:val="68C801CB"/>
    <w:rsid w:val="68DB770D"/>
    <w:rsid w:val="692073C4"/>
    <w:rsid w:val="69207DE4"/>
    <w:rsid w:val="692D77F1"/>
    <w:rsid w:val="696B527D"/>
    <w:rsid w:val="69EF5AB2"/>
    <w:rsid w:val="69FD33CD"/>
    <w:rsid w:val="6A2F44F6"/>
    <w:rsid w:val="6A6E5FEE"/>
    <w:rsid w:val="6A9B5643"/>
    <w:rsid w:val="6AB85481"/>
    <w:rsid w:val="6AC67AF8"/>
    <w:rsid w:val="6AD11D4E"/>
    <w:rsid w:val="6AFC273E"/>
    <w:rsid w:val="6B8E3593"/>
    <w:rsid w:val="6BAE3563"/>
    <w:rsid w:val="6BE73213"/>
    <w:rsid w:val="6C536BEF"/>
    <w:rsid w:val="6D5E0D4B"/>
    <w:rsid w:val="6DB56DE2"/>
    <w:rsid w:val="6DEA28B4"/>
    <w:rsid w:val="6DED1B92"/>
    <w:rsid w:val="6E03751F"/>
    <w:rsid w:val="6E4D2E65"/>
    <w:rsid w:val="6E9B2FC9"/>
    <w:rsid w:val="6EC61164"/>
    <w:rsid w:val="6EC619EF"/>
    <w:rsid w:val="6EC82B93"/>
    <w:rsid w:val="6EE219B1"/>
    <w:rsid w:val="6F0357BE"/>
    <w:rsid w:val="6F2B1134"/>
    <w:rsid w:val="6FB912E5"/>
    <w:rsid w:val="6FED0AF0"/>
    <w:rsid w:val="6FFD0E3C"/>
    <w:rsid w:val="700B21A7"/>
    <w:rsid w:val="7040034C"/>
    <w:rsid w:val="70572732"/>
    <w:rsid w:val="70797CF9"/>
    <w:rsid w:val="707A6251"/>
    <w:rsid w:val="70916064"/>
    <w:rsid w:val="70B737E0"/>
    <w:rsid w:val="70EE76CE"/>
    <w:rsid w:val="711004E8"/>
    <w:rsid w:val="711F39B1"/>
    <w:rsid w:val="71824674"/>
    <w:rsid w:val="719006BD"/>
    <w:rsid w:val="727442DD"/>
    <w:rsid w:val="727F1C92"/>
    <w:rsid w:val="72936266"/>
    <w:rsid w:val="729E112C"/>
    <w:rsid w:val="72A82D13"/>
    <w:rsid w:val="72AF5315"/>
    <w:rsid w:val="730771B0"/>
    <w:rsid w:val="734D14E2"/>
    <w:rsid w:val="735E5433"/>
    <w:rsid w:val="73827E5F"/>
    <w:rsid w:val="73E208E9"/>
    <w:rsid w:val="73E43F4A"/>
    <w:rsid w:val="73F71315"/>
    <w:rsid w:val="743A07C2"/>
    <w:rsid w:val="74444369"/>
    <w:rsid w:val="74485A21"/>
    <w:rsid w:val="745A1B39"/>
    <w:rsid w:val="74602013"/>
    <w:rsid w:val="74751DB3"/>
    <w:rsid w:val="748C7698"/>
    <w:rsid w:val="74E773D0"/>
    <w:rsid w:val="75D51F38"/>
    <w:rsid w:val="75EC6D7E"/>
    <w:rsid w:val="76070319"/>
    <w:rsid w:val="763B2D0D"/>
    <w:rsid w:val="76417B40"/>
    <w:rsid w:val="766C6ABF"/>
    <w:rsid w:val="767039DF"/>
    <w:rsid w:val="76936ED6"/>
    <w:rsid w:val="76AC6436"/>
    <w:rsid w:val="76B4694B"/>
    <w:rsid w:val="76B4778D"/>
    <w:rsid w:val="76E75B4F"/>
    <w:rsid w:val="7717796A"/>
    <w:rsid w:val="773256D8"/>
    <w:rsid w:val="773C6649"/>
    <w:rsid w:val="77461CD8"/>
    <w:rsid w:val="77811804"/>
    <w:rsid w:val="77C21915"/>
    <w:rsid w:val="77CB4D6F"/>
    <w:rsid w:val="77CC707D"/>
    <w:rsid w:val="77F01BF2"/>
    <w:rsid w:val="77FA6E39"/>
    <w:rsid w:val="78032D08"/>
    <w:rsid w:val="780E49C8"/>
    <w:rsid w:val="783448CA"/>
    <w:rsid w:val="78512FEE"/>
    <w:rsid w:val="78747D68"/>
    <w:rsid w:val="78757970"/>
    <w:rsid w:val="78871BB4"/>
    <w:rsid w:val="78972965"/>
    <w:rsid w:val="78C6748D"/>
    <w:rsid w:val="78EE42BD"/>
    <w:rsid w:val="7907181F"/>
    <w:rsid w:val="79250C0A"/>
    <w:rsid w:val="79255F99"/>
    <w:rsid w:val="7934680C"/>
    <w:rsid w:val="7972562F"/>
    <w:rsid w:val="797A4532"/>
    <w:rsid w:val="79B3393D"/>
    <w:rsid w:val="79B54D0C"/>
    <w:rsid w:val="7A034058"/>
    <w:rsid w:val="7AA9294C"/>
    <w:rsid w:val="7B4372BF"/>
    <w:rsid w:val="7B4C4CAB"/>
    <w:rsid w:val="7B6B604A"/>
    <w:rsid w:val="7B9750EE"/>
    <w:rsid w:val="7C444055"/>
    <w:rsid w:val="7C5A2023"/>
    <w:rsid w:val="7CA259C5"/>
    <w:rsid w:val="7CBA0BE6"/>
    <w:rsid w:val="7CCC27AA"/>
    <w:rsid w:val="7D5F5745"/>
    <w:rsid w:val="7D747510"/>
    <w:rsid w:val="7DAB026E"/>
    <w:rsid w:val="7DBD23A0"/>
    <w:rsid w:val="7DDB1FBE"/>
    <w:rsid w:val="7DDB2C00"/>
    <w:rsid w:val="7E1F09F5"/>
    <w:rsid w:val="7E437638"/>
    <w:rsid w:val="7E981AB7"/>
    <w:rsid w:val="7E995D31"/>
    <w:rsid w:val="7E9B25F0"/>
    <w:rsid w:val="7EA311E6"/>
    <w:rsid w:val="7F8E7E40"/>
    <w:rsid w:val="7FB8652D"/>
    <w:rsid w:val="7FDA7530"/>
    <w:rsid w:val="7FF8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line="580" w:lineRule="exact"/>
      <w:ind w:firstLine="880" w:firstLineChars="200"/>
      <w:jc w:val="both"/>
    </w:pPr>
    <w:rPr>
      <w:rFonts w:ascii="仿宋_GB2312" w:hAnsi="仿宋_GB2312" w:eastAsia="仿宋_GB2312" w:cs="仿宋_GB2312"/>
      <w:sz w:val="32"/>
      <w:szCs w:val="22"/>
      <w:lang w:val="zh-CN" w:eastAsia="zh-CN" w:bidi="zh-CN"/>
    </w:rPr>
  </w:style>
  <w:style w:type="paragraph" w:styleId="3">
    <w:name w:val="heading 1"/>
    <w:basedOn w:val="1"/>
    <w:next w:val="1"/>
    <w:qFormat/>
    <w:uiPriority w:val="1"/>
    <w:pPr>
      <w:spacing w:line="700" w:lineRule="exact"/>
      <w:jc w:val="left"/>
      <w:outlineLvl w:val="0"/>
    </w:pPr>
    <w:rPr>
      <w:rFonts w:ascii="黑体" w:hAnsi="黑体" w:eastAsia="黑体" w:cs="黑体"/>
      <w:szCs w:val="32"/>
    </w:rPr>
  </w:style>
  <w:style w:type="paragraph" w:styleId="4">
    <w:name w:val="heading 2"/>
    <w:basedOn w:val="1"/>
    <w:next w:val="1"/>
    <w:qFormat/>
    <w:uiPriority w:val="1"/>
    <w:pPr>
      <w:ind w:left="0"/>
      <w:outlineLvl w:val="1"/>
    </w:pPr>
    <w:rPr>
      <w:rFonts w:ascii="楷体_GB2312" w:hAnsi="楷体_GB2312" w:eastAsia="楷体_GB2312" w:cs="楷体_GB2312"/>
      <w:szCs w:val="32"/>
    </w:rPr>
  </w:style>
  <w:style w:type="paragraph" w:styleId="5">
    <w:name w:val="heading 3"/>
    <w:basedOn w:val="1"/>
    <w:next w:val="1"/>
    <w:link w:val="45"/>
    <w:unhideWhenUsed/>
    <w:qFormat/>
    <w:uiPriority w:val="0"/>
    <w:pPr>
      <w:keepNext/>
      <w:keepLines/>
      <w:spacing w:line="580" w:lineRule="exact"/>
      <w:outlineLvl w:val="2"/>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spacing w:before="240" w:after="60"/>
      <w:jc w:val="left"/>
      <w:outlineLvl w:val="0"/>
    </w:pPr>
    <w:rPr>
      <w:rFonts w:ascii="等线 Light" w:hAnsi="等线 Light" w:eastAsia="仿宋"/>
      <w:b/>
      <w:bCs/>
      <w:szCs w:val="32"/>
    </w:rPr>
  </w:style>
  <w:style w:type="paragraph" w:styleId="6">
    <w:name w:val="Normal Indent"/>
    <w:basedOn w:val="1"/>
    <w:qFormat/>
    <w:uiPriority w:val="0"/>
    <w:pPr>
      <w:ind w:firstLine="420"/>
    </w:pPr>
    <w:rPr>
      <w:sz w:val="14"/>
    </w:rPr>
  </w:style>
  <w:style w:type="paragraph" w:styleId="7">
    <w:name w:val="Document Map"/>
    <w:basedOn w:val="1"/>
    <w:link w:val="43"/>
    <w:qFormat/>
    <w:uiPriority w:val="0"/>
    <w:rPr>
      <w:rFonts w:ascii="宋体" w:eastAsia="宋体"/>
      <w:sz w:val="18"/>
      <w:szCs w:val="18"/>
    </w:rPr>
  </w:style>
  <w:style w:type="paragraph" w:styleId="8">
    <w:name w:val="annotation text"/>
    <w:basedOn w:val="1"/>
    <w:link w:val="36"/>
    <w:qFormat/>
    <w:uiPriority w:val="0"/>
  </w:style>
  <w:style w:type="paragraph" w:styleId="9">
    <w:name w:val="Body Text"/>
    <w:basedOn w:val="1"/>
    <w:next w:val="6"/>
    <w:qFormat/>
    <w:uiPriority w:val="1"/>
    <w:rPr>
      <w:szCs w:val="32"/>
    </w:rPr>
  </w:style>
  <w:style w:type="paragraph" w:styleId="10">
    <w:name w:val="Body Text Indent"/>
    <w:basedOn w:val="1"/>
    <w:next w:val="1"/>
    <w:qFormat/>
    <w:uiPriority w:val="0"/>
    <w:pPr>
      <w:ind w:firstLine="645"/>
    </w:pPr>
    <w:rPr>
      <w:sz w:val="32"/>
    </w:rPr>
  </w:style>
  <w:style w:type="paragraph" w:styleId="11">
    <w:name w:val="toc 3"/>
    <w:basedOn w:val="1"/>
    <w:next w:val="1"/>
    <w:qFormat/>
    <w:uiPriority w:val="0"/>
    <w:pPr>
      <w:ind w:left="840" w:leftChars="400"/>
    </w:pPr>
  </w:style>
  <w:style w:type="paragraph" w:styleId="12">
    <w:name w:val="Date"/>
    <w:basedOn w:val="1"/>
    <w:next w:val="1"/>
    <w:qFormat/>
    <w:uiPriority w:val="0"/>
    <w:pPr>
      <w:ind w:left="100" w:leftChars="2500"/>
    </w:pPr>
  </w:style>
  <w:style w:type="paragraph" w:styleId="13">
    <w:name w:val="Balloon Text"/>
    <w:basedOn w:val="1"/>
    <w:link w:val="33"/>
    <w:qFormat/>
    <w:uiPriority w:val="0"/>
    <w:rPr>
      <w:sz w:val="18"/>
      <w:szCs w:val="18"/>
    </w:rPr>
  </w:style>
  <w:style w:type="paragraph" w:styleId="14">
    <w:name w:val="footer"/>
    <w:basedOn w:val="1"/>
    <w:link w:val="35"/>
    <w:qFormat/>
    <w:uiPriority w:val="0"/>
    <w:pPr>
      <w:tabs>
        <w:tab w:val="center" w:pos="4153"/>
        <w:tab w:val="right" w:pos="8306"/>
      </w:tabs>
      <w:snapToGrid w:val="0"/>
    </w:pPr>
    <w:rPr>
      <w:sz w:val="18"/>
      <w:szCs w:val="18"/>
    </w:rPr>
  </w:style>
  <w:style w:type="paragraph" w:styleId="15">
    <w:name w:val="header"/>
    <w:basedOn w:val="1"/>
    <w:link w:val="34"/>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Normal (Web)"/>
    <w:basedOn w:val="1"/>
    <w:unhideWhenUsed/>
    <w:qFormat/>
    <w:uiPriority w:val="99"/>
    <w:pPr>
      <w:widowControl/>
      <w:spacing w:before="100" w:beforeAutospacing="1" w:after="100" w:afterAutospacing="1"/>
    </w:pPr>
    <w:rPr>
      <w:rFonts w:ascii="宋体" w:hAnsi="宋体" w:eastAsia="宋体" w:cs="宋体"/>
      <w:sz w:val="24"/>
      <w:szCs w:val="24"/>
    </w:rPr>
  </w:style>
  <w:style w:type="paragraph" w:styleId="19">
    <w:name w:val="annotation subject"/>
    <w:basedOn w:val="8"/>
    <w:next w:val="8"/>
    <w:link w:val="37"/>
    <w:qFormat/>
    <w:uiPriority w:val="0"/>
    <w:rPr>
      <w:b/>
      <w:bCs/>
    </w:rPr>
  </w:style>
  <w:style w:type="paragraph" w:styleId="20">
    <w:name w:val="Body Text First Indent"/>
    <w:basedOn w:val="9"/>
    <w:next w:val="21"/>
    <w:qFormat/>
    <w:uiPriority w:val="0"/>
    <w:pPr>
      <w:ind w:firstLine="420" w:firstLineChars="100"/>
    </w:pPr>
    <w:rPr>
      <w:sz w:val="24"/>
      <w:szCs w:val="24"/>
    </w:rPr>
  </w:style>
  <w:style w:type="paragraph" w:styleId="21">
    <w:name w:val="Body Text First Indent 2"/>
    <w:basedOn w:val="10"/>
    <w:next w:val="20"/>
    <w:unhideWhenUsed/>
    <w:qFormat/>
    <w:uiPriority w:val="99"/>
    <w:pPr>
      <w:ind w:firstLine="420" w:firstLineChars="200"/>
    </w:p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qFormat/>
    <w:uiPriority w:val="0"/>
    <w:rPr>
      <w:b/>
      <w:bCs/>
    </w:rPr>
  </w:style>
  <w:style w:type="character" w:styleId="26">
    <w:name w:val="FollowedHyperlink"/>
    <w:basedOn w:val="24"/>
    <w:qFormat/>
    <w:uiPriority w:val="0"/>
    <w:rPr>
      <w:color w:val="800080"/>
      <w:u w:val="none"/>
    </w:rPr>
  </w:style>
  <w:style w:type="character" w:styleId="27">
    <w:name w:val="Hyperlink"/>
    <w:basedOn w:val="24"/>
    <w:qFormat/>
    <w:uiPriority w:val="0"/>
    <w:rPr>
      <w:color w:val="0000FF"/>
      <w:u w:val="single"/>
    </w:rPr>
  </w:style>
  <w:style w:type="character" w:styleId="28">
    <w:name w:val="annotation reference"/>
    <w:basedOn w:val="24"/>
    <w:qFormat/>
    <w:uiPriority w:val="0"/>
    <w:rPr>
      <w:sz w:val="21"/>
      <w:szCs w:val="21"/>
    </w:rPr>
  </w:style>
  <w:style w:type="paragraph" w:customStyle="1" w:styleId="29">
    <w:name w:val="列出段落1"/>
    <w:basedOn w:val="1"/>
    <w:qFormat/>
    <w:uiPriority w:val="99"/>
    <w:pPr>
      <w:ind w:firstLine="420" w:firstLineChars="200"/>
    </w:pPr>
    <w:rPr>
      <w:rFonts w:ascii="Calibri" w:hAnsi="Calibri" w:cs="黑体"/>
    </w:rPr>
  </w:style>
  <w:style w:type="table" w:customStyle="1" w:styleId="30">
    <w:name w:val="Table Normal"/>
    <w:semiHidden/>
    <w:unhideWhenUsed/>
    <w:qFormat/>
    <w:uiPriority w:val="2"/>
    <w:tblPr>
      <w:tblCellMar>
        <w:top w:w="0" w:type="dxa"/>
        <w:left w:w="0" w:type="dxa"/>
        <w:bottom w:w="0" w:type="dxa"/>
        <w:right w:w="0" w:type="dxa"/>
      </w:tblCellMar>
    </w:tblPr>
  </w:style>
  <w:style w:type="paragraph" w:styleId="31">
    <w:name w:val="List Paragraph"/>
    <w:basedOn w:val="1"/>
    <w:qFormat/>
    <w:uiPriority w:val="1"/>
    <w:pPr>
      <w:spacing w:before="3"/>
      <w:ind w:left="209" w:hanging="322"/>
    </w:pPr>
    <w:rPr>
      <w:rFonts w:ascii="宋体" w:hAnsi="宋体" w:eastAsia="宋体" w:cs="宋体"/>
    </w:rPr>
  </w:style>
  <w:style w:type="paragraph" w:customStyle="1" w:styleId="32">
    <w:name w:val="Table Paragraph"/>
    <w:basedOn w:val="1"/>
    <w:qFormat/>
    <w:uiPriority w:val="1"/>
    <w:rPr>
      <w:rFonts w:ascii="宋体" w:hAnsi="宋体" w:eastAsia="宋体" w:cs="宋体"/>
    </w:rPr>
  </w:style>
  <w:style w:type="character" w:customStyle="1" w:styleId="33">
    <w:name w:val="批注框文本 Char"/>
    <w:basedOn w:val="24"/>
    <w:link w:val="13"/>
    <w:qFormat/>
    <w:uiPriority w:val="0"/>
    <w:rPr>
      <w:rFonts w:ascii="仿宋_GB2312" w:hAnsi="仿宋_GB2312" w:eastAsia="仿宋_GB2312" w:cs="仿宋_GB2312"/>
      <w:sz w:val="18"/>
      <w:szCs w:val="18"/>
      <w:lang w:val="zh-CN" w:bidi="zh-CN"/>
    </w:rPr>
  </w:style>
  <w:style w:type="character" w:customStyle="1" w:styleId="34">
    <w:name w:val="页眉 Char"/>
    <w:basedOn w:val="24"/>
    <w:link w:val="15"/>
    <w:qFormat/>
    <w:uiPriority w:val="99"/>
    <w:rPr>
      <w:rFonts w:ascii="仿宋_GB2312" w:hAnsi="仿宋_GB2312" w:eastAsia="仿宋_GB2312" w:cs="仿宋_GB2312"/>
      <w:sz w:val="18"/>
      <w:szCs w:val="18"/>
      <w:lang w:val="zh-CN" w:bidi="zh-CN"/>
    </w:rPr>
  </w:style>
  <w:style w:type="character" w:customStyle="1" w:styleId="35">
    <w:name w:val="页脚 Char"/>
    <w:basedOn w:val="24"/>
    <w:link w:val="14"/>
    <w:qFormat/>
    <w:uiPriority w:val="0"/>
    <w:rPr>
      <w:rFonts w:ascii="仿宋_GB2312" w:hAnsi="仿宋_GB2312" w:eastAsia="仿宋_GB2312" w:cs="仿宋_GB2312"/>
      <w:sz w:val="18"/>
      <w:szCs w:val="18"/>
      <w:lang w:val="zh-CN" w:bidi="zh-CN"/>
    </w:rPr>
  </w:style>
  <w:style w:type="character" w:customStyle="1" w:styleId="36">
    <w:name w:val="批注文字 Char"/>
    <w:basedOn w:val="24"/>
    <w:link w:val="8"/>
    <w:qFormat/>
    <w:uiPriority w:val="0"/>
    <w:rPr>
      <w:rFonts w:ascii="仿宋_GB2312" w:hAnsi="仿宋_GB2312" w:eastAsia="仿宋_GB2312" w:cs="仿宋_GB2312"/>
      <w:sz w:val="22"/>
      <w:szCs w:val="22"/>
      <w:lang w:val="zh-CN" w:bidi="zh-CN"/>
    </w:rPr>
  </w:style>
  <w:style w:type="character" w:customStyle="1" w:styleId="37">
    <w:name w:val="批注主题 Char"/>
    <w:basedOn w:val="36"/>
    <w:link w:val="19"/>
    <w:qFormat/>
    <w:uiPriority w:val="0"/>
    <w:rPr>
      <w:rFonts w:ascii="仿宋_GB2312" w:hAnsi="仿宋_GB2312" w:eastAsia="仿宋_GB2312" w:cs="仿宋_GB2312"/>
      <w:b/>
      <w:bCs/>
      <w:sz w:val="22"/>
      <w:szCs w:val="22"/>
      <w:lang w:val="zh-CN" w:bidi="zh-CN"/>
    </w:rPr>
  </w:style>
  <w:style w:type="character" w:customStyle="1" w:styleId="38">
    <w:name w:val="font161"/>
    <w:basedOn w:val="24"/>
    <w:qFormat/>
    <w:uiPriority w:val="0"/>
    <w:rPr>
      <w:rFonts w:hint="eastAsia" w:ascii="宋体" w:hAnsi="宋体" w:eastAsia="宋体" w:cs="宋体"/>
      <w:b/>
      <w:bCs/>
      <w:color w:val="000000"/>
      <w:sz w:val="18"/>
      <w:szCs w:val="18"/>
      <w:u w:val="none"/>
    </w:rPr>
  </w:style>
  <w:style w:type="character" w:customStyle="1" w:styleId="39">
    <w:name w:val="font41"/>
    <w:basedOn w:val="24"/>
    <w:qFormat/>
    <w:uiPriority w:val="0"/>
    <w:rPr>
      <w:rFonts w:hint="eastAsia" w:ascii="宋体" w:hAnsi="宋体" w:eastAsia="宋体" w:cs="宋体"/>
      <w:b/>
      <w:bCs/>
      <w:color w:val="000000"/>
      <w:sz w:val="18"/>
      <w:szCs w:val="18"/>
      <w:u w:val="none"/>
    </w:rPr>
  </w:style>
  <w:style w:type="character" w:customStyle="1" w:styleId="40">
    <w:name w:val="font171"/>
    <w:basedOn w:val="24"/>
    <w:qFormat/>
    <w:uiPriority w:val="0"/>
    <w:rPr>
      <w:rFonts w:hint="eastAsia" w:ascii="宋体" w:hAnsi="宋体" w:eastAsia="宋体" w:cs="宋体"/>
      <w:color w:val="000000"/>
      <w:sz w:val="20"/>
      <w:szCs w:val="20"/>
      <w:u w:val="none"/>
    </w:rPr>
  </w:style>
  <w:style w:type="paragraph" w:customStyle="1" w:styleId="41">
    <w:name w:val="WPSOffice手动目录 1"/>
    <w:qFormat/>
    <w:uiPriority w:val="0"/>
    <w:rPr>
      <w:rFonts w:ascii="Times New Roman" w:hAnsi="Times New Roman" w:eastAsia="宋体" w:cs="Times New Roman"/>
      <w:lang w:val="en-US" w:eastAsia="zh-CN" w:bidi="ar-SA"/>
    </w:rPr>
  </w:style>
  <w:style w:type="paragraph" w:customStyle="1" w:styleId="4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43">
    <w:name w:val="文档结构图 Char"/>
    <w:basedOn w:val="24"/>
    <w:link w:val="7"/>
    <w:qFormat/>
    <w:uiPriority w:val="0"/>
    <w:rPr>
      <w:rFonts w:ascii="宋体" w:hAnsi="仿宋_GB2312" w:cs="仿宋_GB2312"/>
      <w:sz w:val="18"/>
      <w:szCs w:val="18"/>
      <w:lang w:val="zh-CN" w:bidi="zh-CN"/>
    </w:rPr>
  </w:style>
  <w:style w:type="character" w:customStyle="1" w:styleId="44">
    <w:name w:val="font11"/>
    <w:basedOn w:val="24"/>
    <w:qFormat/>
    <w:uiPriority w:val="0"/>
    <w:rPr>
      <w:rFonts w:hint="eastAsia" w:ascii="宋体" w:hAnsi="宋体" w:eastAsia="宋体" w:cs="宋体"/>
      <w:color w:val="000000"/>
      <w:sz w:val="21"/>
      <w:szCs w:val="21"/>
      <w:u w:val="none"/>
    </w:rPr>
  </w:style>
  <w:style w:type="character" w:customStyle="1" w:styleId="45">
    <w:name w:val="标题 3 Char"/>
    <w:link w:val="5"/>
    <w:qFormat/>
    <w:uiPriority w:val="0"/>
  </w:style>
  <w:style w:type="paragraph" w:customStyle="1" w:styleId="46">
    <w:name w:val="闻政封面完成时间"/>
    <w:basedOn w:val="47"/>
    <w:qFormat/>
    <w:uiPriority w:val="0"/>
    <w:pPr>
      <w:ind w:left="0" w:leftChars="0"/>
      <w:jc w:val="center"/>
    </w:pPr>
    <w:rPr>
      <w:b/>
    </w:rPr>
  </w:style>
  <w:style w:type="paragraph" w:customStyle="1" w:styleId="47">
    <w:name w:val="闻政封面项目信息"/>
    <w:basedOn w:val="1"/>
    <w:next w:val="46"/>
    <w:qFormat/>
    <w:uiPriority w:val="0"/>
    <w:pPr>
      <w:spacing w:before="120"/>
      <w:ind w:left="800" w:leftChars="800"/>
      <w:jc w:val="left"/>
    </w:pPr>
    <w:rPr>
      <w:rFonts w:ascii="Times New Roman" w:hAnsi="Times New Roman" w:eastAsia="黑体" w:cs="Times New Roman"/>
      <w:kern w:val="0"/>
      <w:sz w:val="28"/>
      <w:szCs w:val="28"/>
      <w:lang w:val="zh-CN"/>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3131</Words>
  <Characters>3255</Characters>
  <Lines>38</Lines>
  <Paragraphs>39</Paragraphs>
  <TotalTime>36</TotalTime>
  <ScaleCrop>false</ScaleCrop>
  <LinksUpToDate>false</LinksUpToDate>
  <CharactersWithSpaces>3262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2020-05-18T00:49:00Z</dcterms:created>
  <dc:creator>DXY</dc:creator>
  <cp:lastModifiedBy>wawy</cp:lastModifiedBy>
  <cp:lastPrinted>2022-10-28T00:45:00Z</cp:lastPrinted>
  <dcterms:modified xsi:type="dcterms:W3CDTF">2022-12-13T07:24:30Z</dcterms:modified>
  <dc:title>Microsoft Word - blkF553</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2020-04-29T00:00:00Z</vt:filetime>
  </property>
  <property fmtid="{D5CDD505-2E9C-101B-9397-08002B2CF9AE}" pid="3" name="Creator">
    <vt:lpwstr>PScript5.dll Version 5.2.2</vt:lpwstr>
  </property>
  <property fmtid="{D5CDD505-2E9C-101B-9397-08002B2CF9AE}" pid="4" name="LastSaved">
    <vt:filetime>2020-05-18T00:00:00Z</vt:filetime>
  </property>
  <property fmtid="{D5CDD505-2E9C-101B-9397-08002B2CF9AE}" pid="5" name="KSOProductBuildVer">
    <vt:lpwstr>2052-11.1.0.12763</vt:lpwstr>
  </property>
  <property fmtid="{D5CDD505-2E9C-101B-9397-08002B2CF9AE}" pid="6" name="ICV">
    <vt:lpwstr>57E77FDB59B84AEFBC310C03BE85AB91</vt:lpwstr>
  </property>
</Properties>
</file>