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lang w:val="en-US"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lang w:val="en-US"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lang w:val="en-US" w:eastAsia="zh-CN"/>
        </w:rPr>
      </w:pPr>
      <w:r>
        <w:rPr>
          <w:rFonts w:hint="eastAsia"/>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lang w:val="en-US"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lang w:val="en-US"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lang w:val="en-US" w:eastAsia="zh-CN"/>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lang w:val="en-US" w:eastAsia="zh-CN"/>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ajorEastAsia" w:hAnsiTheme="majorEastAsia" w:eastAsiaTheme="majorEastAsia" w:cstheme="majorEastAsia"/>
          <w:b/>
          <w:bCs/>
          <w:color w:val="auto"/>
          <w:sz w:val="52"/>
          <w:szCs w:val="52"/>
          <w:lang w:val="en-US" w:eastAsia="zh-CN"/>
        </w:rPr>
      </w:pPr>
      <w:r>
        <w:rPr>
          <w:rFonts w:hint="eastAsia"/>
          <w:lang w:val="en-US" w:eastAsia="zh-CN"/>
        </w:rPr>
        <w:t xml:space="preserve"> </w:t>
      </w:r>
      <w:r>
        <w:rPr>
          <w:rFonts w:hint="eastAsia" w:asciiTheme="majorEastAsia" w:hAnsiTheme="majorEastAsia" w:eastAsiaTheme="majorEastAsia" w:cstheme="majorEastAsia"/>
          <w:b/>
          <w:bCs/>
          <w:color w:val="auto"/>
          <w:sz w:val="52"/>
          <w:szCs w:val="52"/>
          <w:lang w:val="en-US" w:eastAsia="zh-CN"/>
        </w:rPr>
        <w:t>菏泽医学专科学校新校区建设项目</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ajorEastAsia" w:hAnsiTheme="majorEastAsia" w:eastAsiaTheme="majorEastAsia" w:cstheme="majorEastAsia"/>
          <w:b/>
          <w:bCs/>
          <w:color w:val="auto"/>
          <w:sz w:val="52"/>
          <w:szCs w:val="52"/>
        </w:rPr>
      </w:pPr>
      <w:r>
        <w:rPr>
          <w:rFonts w:hint="eastAsia" w:asciiTheme="majorEastAsia" w:hAnsiTheme="majorEastAsia" w:eastAsiaTheme="majorEastAsia" w:cstheme="majorEastAsia"/>
          <w:b/>
          <w:bCs/>
          <w:color w:val="auto"/>
          <w:sz w:val="52"/>
          <w:szCs w:val="52"/>
        </w:rPr>
        <w:t>绩效评价报告</w:t>
      </w:r>
    </w:p>
    <w:p>
      <w:pPr>
        <w:pStyle w:val="2"/>
        <w:spacing w:line="360" w:lineRule="auto"/>
        <w:ind w:firstLine="2160" w:firstLineChars="600"/>
        <w:rPr>
          <w:rFonts w:hint="default" w:ascii="仿宋" w:hAnsi="仿宋" w:eastAsia="仿宋" w:cs="仿宋"/>
          <w:b w:val="0"/>
          <w:bCs w:val="0"/>
          <w:color w:val="auto"/>
          <w:sz w:val="36"/>
          <w:szCs w:val="36"/>
          <w:lang w:val="en-US" w:eastAsia="zh-CN"/>
        </w:rPr>
      </w:pPr>
      <w:r>
        <w:rPr>
          <w:rFonts w:hint="eastAsia" w:ascii="仿宋" w:hAnsi="仿宋" w:eastAsia="仿宋" w:cs="仿宋"/>
          <w:b w:val="0"/>
          <w:bCs w:val="0"/>
          <w:color w:val="auto"/>
          <w:sz w:val="36"/>
          <w:szCs w:val="36"/>
          <w:lang w:val="en-US" w:eastAsia="zh-CN"/>
        </w:rPr>
        <w:t>鲁中慧咨字[2022]35号</w:t>
      </w:r>
    </w:p>
    <w:p>
      <w:pPr>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ind w:left="0" w:leftChars="0" w:firstLine="0" w:firstLineChars="0"/>
        <w:rPr>
          <w:rFonts w:hint="default"/>
          <w:lang w:val="en-US" w:eastAsia="zh-CN"/>
        </w:rPr>
      </w:pPr>
    </w:p>
    <w:p>
      <w:pPr>
        <w:pStyle w:val="2"/>
        <w:rPr>
          <w:rFonts w:hint="default"/>
          <w:lang w:val="en-US" w:eastAsia="zh-CN"/>
        </w:rPr>
      </w:pPr>
    </w:p>
    <w:p>
      <w:pPr>
        <w:pStyle w:val="2"/>
        <w:ind w:left="0" w:leftChars="0" w:firstLine="0" w:firstLineChars="0"/>
        <w:rPr>
          <w:rFonts w:hint="default"/>
          <w:lang w:val="en-US" w:eastAsia="zh-CN"/>
        </w:rPr>
      </w:pPr>
    </w:p>
    <w:p>
      <w:pPr>
        <w:pStyle w:val="2"/>
        <w:ind w:left="0" w:leftChars="0" w:firstLine="0" w:firstLineChars="0"/>
        <w:rPr>
          <w:rFonts w:hint="default"/>
          <w:lang w:val="en-US" w:eastAsia="zh-CN"/>
        </w:rPr>
      </w:pPr>
    </w:p>
    <w:p>
      <w:pPr>
        <w:pStyle w:val="2"/>
        <w:ind w:left="0" w:leftChars="0" w:firstLine="0" w:firstLineChars="0"/>
        <w:rPr>
          <w:rFonts w:hint="default"/>
          <w:lang w:val="en-US" w:eastAsia="zh-CN"/>
        </w:rPr>
      </w:pPr>
    </w:p>
    <w:p>
      <w:pPr>
        <w:pStyle w:val="2"/>
        <w:rPr>
          <w:rFonts w:hint="default"/>
          <w:lang w:val="en-US" w:eastAsia="zh-CN"/>
        </w:rPr>
      </w:pPr>
    </w:p>
    <w:p>
      <w:pPr>
        <w:pStyle w:val="12"/>
        <w:spacing w:line="360" w:lineRule="auto"/>
        <w:ind w:left="1260" w:leftChars="600"/>
        <w:rPr>
          <w:rFonts w:hint="eastAsia" w:asciiTheme="minorEastAsia" w:hAnsiTheme="minorEastAsia" w:eastAsiaTheme="minorEastAsia" w:cstheme="minorEastAsia"/>
          <w:b w:val="0"/>
          <w:bCs w:val="0"/>
          <w:color w:val="auto"/>
          <w:sz w:val="32"/>
          <w:szCs w:val="32"/>
          <w:lang w:val="en-US"/>
        </w:rPr>
      </w:pPr>
      <w:r>
        <w:rPr>
          <w:rFonts w:hint="eastAsia" w:asciiTheme="minorEastAsia" w:hAnsiTheme="minorEastAsia" w:eastAsiaTheme="minorEastAsia" w:cstheme="minorEastAsia"/>
          <w:b w:val="0"/>
          <w:bCs w:val="0"/>
          <w:color w:val="auto"/>
          <w:sz w:val="32"/>
          <w:szCs w:val="32"/>
        </w:rPr>
        <w:t>委托单位：</w:t>
      </w:r>
      <w:r>
        <w:rPr>
          <w:rFonts w:hint="eastAsia" w:asciiTheme="minorEastAsia" w:hAnsiTheme="minorEastAsia" w:eastAsiaTheme="minorEastAsia" w:cstheme="minorEastAsia"/>
          <w:b w:val="0"/>
          <w:bCs w:val="0"/>
          <w:color w:val="auto"/>
          <w:sz w:val="32"/>
          <w:szCs w:val="32"/>
          <w:lang w:val="en-US"/>
        </w:rPr>
        <w:t>菏泽市财政局</w:t>
      </w:r>
    </w:p>
    <w:p>
      <w:pPr>
        <w:pStyle w:val="13"/>
        <w:spacing w:line="360" w:lineRule="auto"/>
        <w:jc w:val="both"/>
        <w:rPr>
          <w:rFonts w:hint="default" w:eastAsiaTheme="minorEastAsia"/>
          <w:lang w:val="en-US" w:eastAsia="zh-CN"/>
        </w:rPr>
      </w:pPr>
      <w:r>
        <w:rPr>
          <w:rFonts w:hint="eastAsia" w:asciiTheme="minorEastAsia" w:hAnsiTheme="minorEastAsia" w:eastAsiaTheme="minorEastAsia" w:cstheme="minorEastAsia"/>
          <w:b w:val="0"/>
          <w:bCs w:val="0"/>
          <w:color w:val="auto"/>
          <w:sz w:val="32"/>
          <w:szCs w:val="32"/>
          <w:lang w:val="en-US" w:eastAsia="zh-CN"/>
        </w:rPr>
        <w:t xml:space="preserve">        建设单位：</w:t>
      </w:r>
      <w:r>
        <w:rPr>
          <w:rFonts w:hint="eastAsia" w:asciiTheme="minorEastAsia" w:hAnsiTheme="minorEastAsia" w:eastAsiaTheme="minorEastAsia" w:cstheme="minorEastAsia"/>
          <w:b w:val="0"/>
          <w:bCs w:val="0"/>
          <w:color w:val="auto"/>
          <w:kern w:val="0"/>
          <w:sz w:val="32"/>
          <w:szCs w:val="32"/>
          <w:lang w:val="en-US" w:eastAsia="zh-CN" w:bidi="ar-SA"/>
        </w:rPr>
        <w:t>明康科技投资有限公司</w:t>
      </w:r>
    </w:p>
    <w:p>
      <w:pPr>
        <w:pStyle w:val="12"/>
        <w:spacing w:line="360" w:lineRule="auto"/>
        <w:ind w:left="1260" w:leftChars="600"/>
        <w:rPr>
          <w:rFonts w:hint="eastAsia" w:asciiTheme="minorEastAsia" w:hAnsiTheme="minorEastAsia" w:eastAsiaTheme="minorEastAsia" w:cstheme="minorEastAsia"/>
          <w:b w:val="0"/>
          <w:bCs w:val="0"/>
          <w:color w:val="auto"/>
          <w:sz w:val="32"/>
          <w:szCs w:val="32"/>
          <w:lang w:eastAsia="zh-CN"/>
        </w:rPr>
      </w:pPr>
      <w:r>
        <w:rPr>
          <w:rFonts w:hint="eastAsia" w:asciiTheme="minorEastAsia" w:hAnsiTheme="minorEastAsia" w:eastAsiaTheme="minorEastAsia" w:cstheme="minorEastAsia"/>
          <w:b w:val="0"/>
          <w:bCs w:val="0"/>
          <w:color w:val="auto"/>
          <w:sz w:val="32"/>
          <w:szCs w:val="32"/>
        </w:rPr>
        <w:t>评价机构：</w:t>
      </w:r>
      <w:r>
        <w:rPr>
          <w:rFonts w:hint="eastAsia" w:asciiTheme="minorEastAsia" w:hAnsiTheme="minorEastAsia" w:eastAsiaTheme="minorEastAsia" w:cstheme="minorEastAsia"/>
          <w:b w:val="0"/>
          <w:bCs w:val="0"/>
          <w:color w:val="auto"/>
          <w:sz w:val="32"/>
          <w:szCs w:val="32"/>
          <w:lang w:eastAsia="zh-CN"/>
        </w:rPr>
        <w:t>山东中慧会计师事务所有限公司</w:t>
      </w:r>
    </w:p>
    <w:p>
      <w:pPr>
        <w:pStyle w:val="14"/>
        <w:jc w:val="both"/>
        <w:rPr>
          <w:rFonts w:hint="eastAsia" w:asciiTheme="minorEastAsia" w:hAnsiTheme="minorEastAsia" w:eastAsiaTheme="minorEastAsia" w:cstheme="minorEastAsia"/>
          <w:b w:val="0"/>
          <w:bCs w:val="0"/>
          <w:color w:val="auto"/>
          <w:sz w:val="32"/>
          <w:szCs w:val="32"/>
        </w:rPr>
      </w:pPr>
    </w:p>
    <w:p>
      <w:pPr>
        <w:pStyle w:val="13"/>
        <w:ind w:firstLine="2880" w:firstLineChars="900"/>
        <w:jc w:val="both"/>
        <w:rPr>
          <w:rFonts w:hint="eastAsia" w:asciiTheme="minorEastAsia" w:hAnsiTheme="minorEastAsia" w:eastAsiaTheme="minorEastAsia" w:cstheme="minorEastAsia"/>
          <w:b w:val="0"/>
          <w:bCs w:val="0"/>
          <w:color w:val="auto"/>
          <w:sz w:val="32"/>
          <w:szCs w:val="32"/>
        </w:rPr>
      </w:pPr>
      <w:r>
        <w:rPr>
          <w:rFonts w:hint="eastAsia" w:asciiTheme="minorEastAsia" w:hAnsiTheme="minorEastAsia" w:eastAsiaTheme="minorEastAsia" w:cstheme="minorEastAsia"/>
          <w:b w:val="0"/>
          <w:bCs w:val="0"/>
          <w:color w:val="auto"/>
          <w:sz w:val="32"/>
          <w:szCs w:val="32"/>
          <w:lang w:val="en-US" w:eastAsia="zh-CN"/>
        </w:rPr>
        <w:t>2022</w:t>
      </w:r>
      <w:r>
        <w:rPr>
          <w:rFonts w:hint="eastAsia" w:asciiTheme="minorEastAsia" w:hAnsiTheme="minorEastAsia" w:eastAsiaTheme="minorEastAsia" w:cstheme="minorEastAsia"/>
          <w:b w:val="0"/>
          <w:bCs w:val="0"/>
          <w:color w:val="auto"/>
          <w:sz w:val="32"/>
          <w:szCs w:val="32"/>
        </w:rPr>
        <w:t>年</w:t>
      </w:r>
      <w:r>
        <w:rPr>
          <w:rFonts w:hint="eastAsia" w:asciiTheme="minorEastAsia" w:hAnsiTheme="minorEastAsia" w:eastAsiaTheme="minorEastAsia" w:cstheme="minorEastAsia"/>
          <w:b w:val="0"/>
          <w:bCs w:val="0"/>
          <w:color w:val="auto"/>
          <w:sz w:val="32"/>
          <w:szCs w:val="32"/>
          <w:lang w:val="en-US" w:eastAsia="zh-CN"/>
        </w:rPr>
        <w:t>10</w:t>
      </w:r>
      <w:r>
        <w:rPr>
          <w:rFonts w:hint="eastAsia" w:asciiTheme="minorEastAsia" w:hAnsiTheme="minorEastAsia" w:eastAsiaTheme="minorEastAsia" w:cstheme="minorEastAsia"/>
          <w:b w:val="0"/>
          <w:bCs w:val="0"/>
          <w:color w:val="auto"/>
          <w:sz w:val="32"/>
          <w:szCs w:val="32"/>
        </w:rPr>
        <w:t>月</w:t>
      </w:r>
    </w:p>
    <w:p>
      <w:pPr>
        <w:pStyle w:val="8"/>
        <w:rPr>
          <w:rFonts w:hint="eastAsia" w:asciiTheme="minorEastAsia" w:hAnsiTheme="minorEastAsia" w:eastAsiaTheme="minorEastAsia" w:cstheme="minorEastAsia"/>
          <w:lang w:val="en-US" w:eastAsia="zh-CN"/>
        </w:rPr>
        <w:sectPr>
          <w:headerReference r:id="rId3" w:type="default"/>
          <w:footerReference r:id="rId4" w:type="default"/>
          <w:pgSz w:w="11907" w:h="16840"/>
          <w:pgMar w:top="1701" w:right="1474" w:bottom="1701" w:left="1474" w:header="851" w:footer="397" w:gutter="0"/>
          <w:pgBorders w:offsetFrom="page">
            <w:top w:val="none" w:sz="0" w:space="0"/>
            <w:left w:val="none" w:sz="0" w:space="0"/>
            <w:bottom w:val="none" w:sz="0" w:space="0"/>
            <w:right w:val="none" w:sz="0" w:space="0"/>
          </w:pgBorders>
          <w:pgNumType w:fmt="numberInDash" w:start="1"/>
          <w:cols w:space="720" w:num="1"/>
          <w:docGrid w:linePitch="286" w:charSpace="0"/>
        </w:sectPr>
      </w:pPr>
    </w:p>
    <w:p>
      <w:pPr>
        <w:pStyle w:val="2"/>
        <w:ind w:left="0" w:leftChars="0" w:firstLine="0" w:firstLineChars="0"/>
        <w:rPr>
          <w:rFonts w:hint="default"/>
          <w:lang w:val="en-US" w:eastAsia="zh-CN"/>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hint="eastAsia" w:asciiTheme="majorEastAsia" w:hAnsiTheme="majorEastAsia" w:eastAsiaTheme="majorEastAsia" w:cstheme="majorEastAsia"/>
          <w:b/>
          <w:bCs/>
          <w:color w:val="auto"/>
          <w:sz w:val="44"/>
          <w:szCs w:val="44"/>
          <w:lang w:val="en-US" w:eastAsia="zh-CN"/>
        </w:rPr>
      </w:pPr>
      <w:r>
        <w:rPr>
          <w:rFonts w:hint="eastAsia"/>
          <w:lang w:val="en-US" w:eastAsia="zh-CN"/>
        </w:rPr>
        <w:t xml:space="preserve"> </w:t>
      </w:r>
      <w:bookmarkStart w:id="0" w:name="_Toc17001"/>
      <w:bookmarkStart w:id="1" w:name="_Toc4924"/>
      <w:r>
        <w:rPr>
          <w:rFonts w:hint="eastAsia" w:asciiTheme="majorEastAsia" w:hAnsiTheme="majorEastAsia" w:eastAsiaTheme="majorEastAsia" w:cstheme="majorEastAsia"/>
          <w:b/>
          <w:bCs/>
          <w:color w:val="auto"/>
          <w:sz w:val="44"/>
          <w:szCs w:val="44"/>
          <w:lang w:val="en-US" w:eastAsia="zh-CN"/>
        </w:rPr>
        <w:t>菏泽医学专科学校新校区建设项目</w:t>
      </w:r>
      <w:bookmarkEnd w:id="0"/>
      <w:bookmarkEnd w:id="1"/>
    </w:p>
    <w:p>
      <w:pPr>
        <w:keepNext w:val="0"/>
        <w:keepLines w:val="0"/>
        <w:pageBreakBefore w:val="0"/>
        <w:kinsoku/>
        <w:wordWrap/>
        <w:overflowPunct/>
        <w:topLinePunct w:val="0"/>
        <w:autoSpaceDE/>
        <w:autoSpaceDN/>
        <w:bidi w:val="0"/>
        <w:adjustRightInd/>
        <w:snapToGrid/>
        <w:spacing w:line="360" w:lineRule="auto"/>
        <w:jc w:val="center"/>
        <w:textAlignment w:val="auto"/>
        <w:outlineLvl w:val="0"/>
        <w:rPr>
          <w:rFonts w:hint="eastAsia" w:asciiTheme="majorEastAsia" w:hAnsiTheme="majorEastAsia" w:eastAsiaTheme="majorEastAsia" w:cstheme="majorEastAsia"/>
          <w:b/>
          <w:bCs/>
          <w:color w:val="auto"/>
          <w:sz w:val="44"/>
          <w:szCs w:val="44"/>
        </w:rPr>
      </w:pPr>
      <w:bookmarkStart w:id="2" w:name="_Toc16358"/>
      <w:bookmarkStart w:id="3" w:name="_Toc19163"/>
      <w:r>
        <w:rPr>
          <w:rFonts w:hint="eastAsia" w:asciiTheme="majorEastAsia" w:hAnsiTheme="majorEastAsia" w:eastAsiaTheme="majorEastAsia" w:cstheme="majorEastAsia"/>
          <w:b/>
          <w:bCs/>
          <w:color w:val="auto"/>
          <w:sz w:val="44"/>
          <w:szCs w:val="44"/>
        </w:rPr>
        <w:t>绩效评价报告</w:t>
      </w:r>
      <w:bookmarkEnd w:id="2"/>
      <w:bookmarkEnd w:id="3"/>
    </w:p>
    <w:p>
      <w:pPr>
        <w:pStyle w:val="2"/>
        <w:ind w:left="0" w:leftChars="0" w:firstLine="2560" w:firstLineChars="800"/>
        <w:rPr>
          <w:rFonts w:hint="default"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鲁中慧咨字[2022]35号</w:t>
      </w:r>
    </w:p>
    <w:p>
      <w:pPr>
        <w:pStyle w:val="2"/>
        <w:spacing w:line="240" w:lineRule="auto"/>
        <w:ind w:left="0" w:leftChars="0" w:firstLine="640" w:firstLineChars="200"/>
      </w:pPr>
      <w:r>
        <w:rPr>
          <w:rFonts w:hint="eastAsia" w:ascii="仿宋" w:hAnsi="仿宋" w:eastAsia="仿宋" w:cs="仿宋"/>
          <w:b w:val="0"/>
          <w:bCs w:val="0"/>
          <w:color w:val="auto"/>
          <w:sz w:val="32"/>
          <w:szCs w:val="32"/>
          <w:lang w:val="en-US" w:eastAsia="zh-CN"/>
        </w:rPr>
        <w:t>受菏泽市财政局委托，山东中慧会计师事务所有限公司对菏泽医学专科学校新校区建设项目进行绩效评价。被评价单位责任是提供评价所需要的资料，并对所提供资料的真实性、合法性、完整性和有效性负责，我们的责任是根据《财政部项目支出绩效评价管理办法》（财预〔2020〕10号）、《山东省政府专项债券项目资金绩效管理办法的通知》（鲁财预〔2021〕53号），结合《会计师事务所财政支出绩效评价业务指引》，按照独立、客观、公正的原则，对项目的产出、管理、过程、效益进行客观评价。</w:t>
      </w:r>
    </w:p>
    <w:p>
      <w:pPr>
        <w:bidi w:val="0"/>
        <w:ind w:firstLine="640" w:firstLineChars="200"/>
        <w:rPr>
          <w:rFonts w:hint="eastAsia" w:ascii="黑体" w:hAnsi="黑体" w:eastAsia="黑体" w:cs="黑体"/>
          <w:b w:val="0"/>
          <w:bCs w:val="0"/>
          <w:sz w:val="32"/>
          <w:szCs w:val="32"/>
          <w:lang w:val="en-US" w:eastAsia="zh-CN"/>
        </w:rPr>
      </w:pPr>
      <w:bookmarkStart w:id="4" w:name="_Toc26896"/>
      <w:bookmarkStart w:id="5" w:name="_Toc23857"/>
      <w:r>
        <w:rPr>
          <w:rFonts w:hint="eastAsia" w:ascii="黑体" w:hAnsi="黑体" w:eastAsia="黑体" w:cs="黑体"/>
          <w:b w:val="0"/>
          <w:bCs w:val="0"/>
          <w:sz w:val="32"/>
          <w:szCs w:val="32"/>
          <w:lang w:val="en-US" w:eastAsia="zh-CN"/>
        </w:rPr>
        <w:t>一、项目概况</w:t>
      </w:r>
    </w:p>
    <w:p>
      <w:pPr>
        <w:bidi w:val="0"/>
        <w:ind w:firstLine="640" w:firstLineChars="200"/>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（一）项目</w:t>
      </w:r>
      <w:bookmarkEnd w:id="4"/>
      <w:bookmarkEnd w:id="5"/>
      <w:r>
        <w:rPr>
          <w:rFonts w:hint="eastAsia" w:ascii="楷体" w:hAnsi="楷体" w:eastAsia="楷体" w:cs="楷体"/>
          <w:b w:val="0"/>
          <w:bCs w:val="0"/>
          <w:sz w:val="32"/>
          <w:szCs w:val="32"/>
          <w:lang w:val="en-US" w:eastAsia="zh-CN"/>
        </w:rPr>
        <w:t>背景</w:t>
      </w:r>
    </w:p>
    <w:p>
      <w:pPr>
        <w:pStyle w:val="15"/>
        <w:widowControl w:val="0"/>
        <w:spacing w:line="240" w:lineRule="auto"/>
        <w:ind w:firstLine="640" w:firstLineChars="200"/>
        <w:outlineLvl w:val="9"/>
        <w:rPr>
          <w:rFonts w:hint="eastAsia" w:ascii="Times New Roman" w:hAnsi="Times New Roman" w:eastAsia="仿宋"/>
          <w:sz w:val="32"/>
          <w:szCs w:val="32"/>
          <w:highlight w:val="none"/>
          <w:lang w:val="en-US" w:eastAsia="zh-CN"/>
        </w:rPr>
      </w:pPr>
      <w:r>
        <w:rPr>
          <w:rFonts w:hint="eastAsia" w:ascii="Times New Roman" w:hAnsi="Times New Roman" w:eastAsia="仿宋"/>
          <w:sz w:val="32"/>
          <w:szCs w:val="32"/>
          <w:highlight w:val="none"/>
          <w:lang w:val="en-US" w:eastAsia="zh-CN"/>
        </w:rPr>
        <w:t>2018年9月6日，中共山东省委、山东省人民政府印发了《关于突破菏泽、鲁西崛起的若干意见》（鲁发〔2018〕39号），明确指出“推动菏泽医学专科学校提高办学层次，提升办学质量，适时升格为本科院校”，为学校改建本科院校提供了政策支持和依据。</w:t>
      </w:r>
    </w:p>
    <w:p>
      <w:pPr>
        <w:pStyle w:val="15"/>
        <w:widowControl w:val="0"/>
        <w:spacing w:line="240" w:lineRule="auto"/>
        <w:ind w:firstLine="640" w:firstLineChars="200"/>
        <w:outlineLvl w:val="9"/>
        <w:rPr>
          <w:rFonts w:hint="eastAsia" w:ascii="楷体" w:hAnsi="楷体" w:eastAsia="楷体" w:cs="楷体"/>
          <w:b w:val="0"/>
          <w:bCs w:val="0"/>
          <w:sz w:val="32"/>
          <w:szCs w:val="32"/>
          <w:highlight w:val="none"/>
          <w:lang w:val="en-US" w:eastAsia="zh-CN"/>
        </w:rPr>
      </w:pPr>
      <w:r>
        <w:rPr>
          <w:rFonts w:hint="eastAsia" w:ascii="楷体" w:hAnsi="楷体" w:eastAsia="楷体" w:cs="楷体"/>
          <w:b w:val="0"/>
          <w:bCs w:val="0"/>
          <w:sz w:val="32"/>
          <w:szCs w:val="32"/>
          <w:highlight w:val="none"/>
          <w:lang w:val="en-US" w:eastAsia="zh-CN"/>
        </w:rPr>
        <w:t>（二）项目内容及实施情况</w:t>
      </w:r>
    </w:p>
    <w:p>
      <w:pPr>
        <w:pStyle w:val="15"/>
        <w:widowControl w:val="0"/>
        <w:spacing w:line="360" w:lineRule="auto"/>
        <w:ind w:firstLine="640" w:firstLineChars="200"/>
        <w:outlineLvl w:val="9"/>
        <w:rPr>
          <w:rFonts w:hint="eastAsia" w:ascii="Times New Roman" w:hAnsi="Times New Roman" w:eastAsia="仿宋"/>
          <w:sz w:val="32"/>
          <w:szCs w:val="32"/>
          <w:highlight w:val="none"/>
          <w:lang w:val="en-US" w:eastAsia="zh-CN"/>
        </w:rPr>
      </w:pPr>
      <w:r>
        <w:rPr>
          <w:rFonts w:hint="eastAsia" w:ascii="Times New Roman" w:hAnsi="Times New Roman" w:eastAsia="仿宋"/>
          <w:sz w:val="32"/>
          <w:szCs w:val="32"/>
          <w:highlight w:val="none"/>
          <w:lang w:val="en-US" w:eastAsia="zh-CN"/>
        </w:rPr>
        <w:t>菏泽医学专科学校新校区项目计划总投资为319581万元，项目建筑面积共326320平方米。项目位于菏泽市牡丹区，南至北外环路、西至齐鲁工业大学菏泽校区、北至规划路、东至兴民路，项目占地面积649931平方米(974.9亩）。截止评价日，项目主体建筑共34幢已经全部开工，其中18幢建筑主体已经建设完成，7幢正在进行二次结构施工，16幢建筑主体尚在建设中，项目计划于2023年9月竣工验收交付菏泽医学专科学校使用。项目由菏泽市政府筹资建设，菏泽市政府委托明康科技投资有限公司负责项目立项、建设，建设后整体移交给菏泽医学专科学校。</w:t>
      </w:r>
    </w:p>
    <w:p>
      <w:pPr>
        <w:pStyle w:val="2"/>
        <w:ind w:left="0" w:leftChars="0" w:firstLine="640" w:firstLineChars="200"/>
        <w:outlineLvl w:val="0"/>
        <w:rPr>
          <w:rFonts w:hint="eastAsia" w:ascii="楷体" w:hAnsi="楷体" w:eastAsia="楷体" w:cs="楷体"/>
          <w:b w:val="0"/>
          <w:bCs w:val="0"/>
          <w:sz w:val="32"/>
          <w:szCs w:val="32"/>
          <w:highlight w:val="none"/>
          <w:lang w:val="en-US" w:eastAsia="zh-CN"/>
        </w:rPr>
      </w:pPr>
      <w:bookmarkStart w:id="6" w:name="_Toc30308"/>
      <w:r>
        <w:rPr>
          <w:rFonts w:hint="eastAsia" w:ascii="楷体" w:hAnsi="楷体" w:eastAsia="楷体" w:cs="楷体"/>
          <w:b w:val="0"/>
          <w:bCs w:val="0"/>
          <w:sz w:val="32"/>
          <w:szCs w:val="32"/>
          <w:highlight w:val="none"/>
          <w:lang w:val="en-US" w:eastAsia="zh-CN"/>
        </w:rPr>
        <w:t>（三）资金安排及支出情况</w:t>
      </w:r>
    </w:p>
    <w:p>
      <w:pPr>
        <w:pStyle w:val="2"/>
        <w:ind w:left="0" w:leftChars="0" w:firstLine="640" w:firstLineChars="200"/>
        <w:outlineLvl w:val="0"/>
        <w:rPr>
          <w:rFonts w:hint="eastAsia" w:ascii="黑体" w:hAnsi="黑体" w:eastAsia="黑体" w:cs="黑体"/>
          <w:b/>
          <w:bCs/>
          <w:sz w:val="32"/>
          <w:szCs w:val="32"/>
          <w:highlight w:val="none"/>
          <w:lang w:val="en-US" w:eastAsia="zh-CN" w:bidi="ar-SA"/>
        </w:rPr>
      </w:pPr>
      <w:r>
        <w:rPr>
          <w:rFonts w:hint="eastAsia" w:ascii="Times New Roman" w:hAnsi="Times New Roman" w:eastAsia="仿宋"/>
          <w:sz w:val="32"/>
          <w:szCs w:val="32"/>
          <w:highlight w:val="none"/>
          <w:lang w:val="en-US" w:eastAsia="zh-CN"/>
        </w:rPr>
        <w:t>本次评价对象为菏泽医学专科学校新校区项目支出的地方政府专项债券资金54000万元。截止评价日，菏泽医学专科学校新校区投入的建设资金共计152500万元，具体包括菏泽市财政拨付预算资金88500万元，地方政府专项债券资金54000万元，菏泽家政职业学院预付10000万元（新校区建成后菏泽医专老校区部分资产将置换给菏泽家政职业学院，10000万元为菏泽家政职业学院预付资产购置款）。</w:t>
      </w:r>
      <w:bookmarkEnd w:id="6"/>
    </w:p>
    <w:p>
      <w:pPr>
        <w:pStyle w:val="2"/>
        <w:ind w:left="0" w:leftChars="0" w:firstLine="640" w:firstLineChars="200"/>
        <w:outlineLvl w:val="0"/>
        <w:rPr>
          <w:rFonts w:hint="eastAsia" w:ascii="黑体" w:hAnsi="黑体" w:eastAsia="黑体" w:cs="黑体"/>
          <w:b w:val="0"/>
          <w:bCs w:val="0"/>
          <w:sz w:val="32"/>
          <w:szCs w:val="32"/>
          <w:highlight w:val="none"/>
          <w:lang w:val="en-US" w:eastAsia="zh-CN" w:bidi="ar-SA"/>
        </w:rPr>
      </w:pPr>
      <w:bookmarkStart w:id="7" w:name="_Toc10981"/>
      <w:r>
        <w:rPr>
          <w:rFonts w:hint="eastAsia" w:ascii="黑体" w:hAnsi="黑体" w:eastAsia="黑体" w:cs="黑体"/>
          <w:b w:val="0"/>
          <w:bCs w:val="0"/>
          <w:sz w:val="32"/>
          <w:szCs w:val="32"/>
          <w:highlight w:val="none"/>
          <w:lang w:val="en-US" w:eastAsia="zh-CN" w:bidi="ar-SA"/>
        </w:rPr>
        <w:t>二、评价结论</w:t>
      </w:r>
      <w:bookmarkEnd w:id="7"/>
    </w:p>
    <w:p>
      <w:pPr>
        <w:pStyle w:val="2"/>
        <w:ind w:left="0" w:leftChars="0" w:firstLine="640" w:firstLineChars="200"/>
        <w:rPr>
          <w:rFonts w:hint="eastAsia" w:ascii="仿宋_GB2312" w:hAnsi="Calibri" w:eastAsia="仿宋_GB2312" w:cs="Times New Roman"/>
          <w:sz w:val="32"/>
          <w:szCs w:val="32"/>
          <w:highlight w:val="none"/>
          <w:lang w:val="en-US" w:eastAsia="zh-CN" w:bidi="ar-SA"/>
        </w:rPr>
      </w:pPr>
      <w:r>
        <w:rPr>
          <w:rFonts w:hint="eastAsia" w:ascii="仿宋_GB2312" w:hAnsi="Calibri" w:eastAsia="仿宋_GB2312" w:cs="Times New Roman"/>
          <w:sz w:val="32"/>
          <w:szCs w:val="32"/>
          <w:highlight w:val="none"/>
          <w:lang w:val="en-US" w:eastAsia="zh-CN" w:bidi="ar-SA"/>
        </w:rPr>
        <w:t>经综合评价分析，菏泽医学专科学校新校区建设项目综合得分为</w:t>
      </w:r>
      <w:r>
        <w:rPr>
          <w:rFonts w:hint="eastAsia" w:ascii="仿宋" w:hAnsi="仿宋" w:eastAsia="仿宋" w:cs="仿宋"/>
          <w:sz w:val="32"/>
          <w:szCs w:val="32"/>
          <w:highlight w:val="none"/>
          <w:lang w:val="en-US" w:eastAsia="zh-CN" w:bidi="ar-SA"/>
        </w:rPr>
        <w:t>82.95</w:t>
      </w:r>
      <w:r>
        <w:rPr>
          <w:rFonts w:hint="eastAsia" w:ascii="仿宋_GB2312" w:hAnsi="Calibri" w:eastAsia="仿宋_GB2312" w:cs="Times New Roman"/>
          <w:sz w:val="32"/>
          <w:szCs w:val="32"/>
          <w:highlight w:val="none"/>
          <w:lang w:val="en-US" w:eastAsia="zh-CN" w:bidi="ar-SA"/>
        </w:rPr>
        <w:t>分，绩效评定级别为“良”。具体得分情况见下表：</w:t>
      </w:r>
    </w:p>
    <w:p>
      <w:pPr>
        <w:pStyle w:val="2"/>
        <w:spacing w:line="240" w:lineRule="auto"/>
        <w:ind w:left="0" w:leftChars="0" w:firstLine="640" w:firstLineChars="200"/>
        <w:rPr>
          <w:rFonts w:hint="default" w:ascii="仿宋_GB2312" w:hAnsi="Calibri" w:eastAsia="仿宋_GB2312" w:cs="Times New Roman"/>
          <w:sz w:val="32"/>
          <w:szCs w:val="32"/>
          <w:highlight w:val="none"/>
          <w:lang w:val="en-US" w:eastAsia="zh-CN" w:bidi="ar-SA"/>
        </w:rPr>
      </w:pPr>
      <w:r>
        <w:rPr>
          <w:rFonts w:hint="eastAsia" w:ascii="仿宋_GB2312" w:hAnsi="Calibri" w:eastAsia="仿宋_GB2312" w:cs="Times New Roman"/>
          <w:sz w:val="32"/>
          <w:szCs w:val="32"/>
          <w:highlight w:val="none"/>
          <w:lang w:val="en-US" w:eastAsia="zh-CN" w:bidi="ar-SA"/>
        </w:rPr>
        <w:t xml:space="preserve">        </w:t>
      </w:r>
      <w:r>
        <w:rPr>
          <w:rFonts w:hint="eastAsia" w:ascii="黑体" w:hAnsi="黑体" w:eastAsia="黑体" w:cs="黑体"/>
          <w:sz w:val="24"/>
          <w:szCs w:val="24"/>
          <w:highlight w:val="none"/>
          <w:lang w:val="en-US" w:eastAsia="zh-CN" w:bidi="ar-SA"/>
        </w:rPr>
        <w:t xml:space="preserve">   表1.项目绩效评价指标总体得分表</w:t>
      </w:r>
    </w:p>
    <w:tbl>
      <w:tblPr>
        <w:tblStyle w:val="10"/>
        <w:tblW w:w="0" w:type="auto"/>
        <w:jc w:val="center"/>
        <w:tblLayout w:type="fixed"/>
        <w:tblCellMar>
          <w:top w:w="0" w:type="dxa"/>
          <w:left w:w="108" w:type="dxa"/>
          <w:bottom w:w="0" w:type="dxa"/>
          <w:right w:w="108" w:type="dxa"/>
        </w:tblCellMar>
      </w:tblPr>
      <w:tblGrid>
        <w:gridCol w:w="2560"/>
        <w:gridCol w:w="2131"/>
        <w:gridCol w:w="1988"/>
        <w:gridCol w:w="2139"/>
      </w:tblGrid>
      <w:tr>
        <w:tblPrEx>
          <w:tblCellMar>
            <w:top w:w="0" w:type="dxa"/>
            <w:left w:w="108" w:type="dxa"/>
            <w:bottom w:w="0" w:type="dxa"/>
            <w:right w:w="108" w:type="dxa"/>
          </w:tblCellMar>
        </w:tblPrEx>
        <w:trPr>
          <w:trHeight w:val="437" w:hRule="atLeast"/>
          <w:tblHeader/>
          <w:jc w:val="center"/>
        </w:trPr>
        <w:tc>
          <w:tcPr>
            <w:tcW w:w="2560" w:type="dxa"/>
            <w:tcBorders>
              <w:top w:val="single" w:color="auto" w:sz="4" w:space="0"/>
              <w:left w:val="single" w:color="auto" w:sz="4" w:space="0"/>
              <w:bottom w:val="single" w:color="auto" w:sz="4" w:space="0"/>
              <w:right w:val="single" w:color="auto" w:sz="4" w:space="0"/>
            </w:tcBorders>
            <w:shd w:val="clear" w:color="000000" w:fill="BFBFBF"/>
            <w:noWrap w:val="0"/>
            <w:vAlign w:val="center"/>
          </w:tcPr>
          <w:p>
            <w:pPr>
              <w:pageBreakBefore w:val="0"/>
              <w:kinsoku/>
              <w:wordWrap/>
              <w:topLinePunct w:val="0"/>
              <w:bidi w:val="0"/>
              <w:snapToGrid/>
              <w:spacing w:line="240" w:lineRule="auto"/>
              <w:jc w:val="center"/>
              <w:rPr>
                <w:rFonts w:hint="eastAsia" w:ascii="黑体" w:hAnsi="黑体" w:eastAsia="黑体" w:cs="黑体"/>
                <w:bCs/>
                <w:sz w:val="24"/>
                <w:szCs w:val="24"/>
                <w:highlight w:val="none"/>
              </w:rPr>
            </w:pPr>
            <w:r>
              <w:rPr>
                <w:rFonts w:hint="eastAsia" w:ascii="黑体" w:hAnsi="黑体" w:eastAsia="黑体" w:cs="黑体"/>
                <w:bCs/>
                <w:sz w:val="24"/>
                <w:szCs w:val="24"/>
                <w:highlight w:val="none"/>
              </w:rPr>
              <w:t>评价内容</w:t>
            </w:r>
          </w:p>
        </w:tc>
        <w:tc>
          <w:tcPr>
            <w:tcW w:w="2131" w:type="dxa"/>
            <w:tcBorders>
              <w:top w:val="single" w:color="auto" w:sz="4" w:space="0"/>
              <w:left w:val="nil"/>
              <w:bottom w:val="single" w:color="auto" w:sz="4" w:space="0"/>
              <w:right w:val="single" w:color="auto" w:sz="4" w:space="0"/>
            </w:tcBorders>
            <w:shd w:val="clear" w:color="000000" w:fill="BFBFBF"/>
            <w:noWrap w:val="0"/>
            <w:vAlign w:val="center"/>
          </w:tcPr>
          <w:p>
            <w:pPr>
              <w:pageBreakBefore w:val="0"/>
              <w:kinsoku/>
              <w:wordWrap/>
              <w:topLinePunct w:val="0"/>
              <w:bidi w:val="0"/>
              <w:snapToGrid/>
              <w:spacing w:line="240" w:lineRule="auto"/>
              <w:jc w:val="center"/>
              <w:rPr>
                <w:rFonts w:hint="eastAsia" w:ascii="黑体" w:hAnsi="黑体" w:eastAsia="黑体" w:cs="黑体"/>
                <w:bCs/>
                <w:sz w:val="24"/>
                <w:szCs w:val="24"/>
                <w:highlight w:val="none"/>
              </w:rPr>
            </w:pPr>
            <w:r>
              <w:rPr>
                <w:rFonts w:hint="eastAsia" w:ascii="黑体" w:hAnsi="黑体" w:eastAsia="黑体" w:cs="黑体"/>
                <w:bCs/>
                <w:sz w:val="24"/>
                <w:szCs w:val="24"/>
                <w:highlight w:val="none"/>
              </w:rPr>
              <w:t>标准分值</w:t>
            </w:r>
          </w:p>
        </w:tc>
        <w:tc>
          <w:tcPr>
            <w:tcW w:w="1988" w:type="dxa"/>
            <w:tcBorders>
              <w:top w:val="single" w:color="auto" w:sz="4" w:space="0"/>
              <w:left w:val="nil"/>
              <w:bottom w:val="single" w:color="auto" w:sz="4" w:space="0"/>
              <w:right w:val="single" w:color="auto" w:sz="4" w:space="0"/>
            </w:tcBorders>
            <w:shd w:val="clear" w:color="000000" w:fill="BFBFBF"/>
            <w:noWrap w:val="0"/>
            <w:vAlign w:val="center"/>
          </w:tcPr>
          <w:p>
            <w:pPr>
              <w:pageBreakBefore w:val="0"/>
              <w:kinsoku/>
              <w:wordWrap/>
              <w:topLinePunct w:val="0"/>
              <w:bidi w:val="0"/>
              <w:snapToGrid/>
              <w:spacing w:line="240" w:lineRule="auto"/>
              <w:jc w:val="center"/>
              <w:rPr>
                <w:rFonts w:hint="eastAsia" w:ascii="黑体" w:hAnsi="黑体" w:eastAsia="黑体" w:cs="黑体"/>
                <w:bCs/>
                <w:sz w:val="24"/>
                <w:szCs w:val="24"/>
                <w:highlight w:val="none"/>
              </w:rPr>
            </w:pPr>
            <w:r>
              <w:rPr>
                <w:rFonts w:hint="eastAsia" w:ascii="黑体" w:hAnsi="黑体" w:eastAsia="黑体" w:cs="黑体"/>
                <w:bCs/>
                <w:sz w:val="24"/>
                <w:szCs w:val="24"/>
                <w:highlight w:val="none"/>
              </w:rPr>
              <w:t>评价得分</w:t>
            </w:r>
          </w:p>
        </w:tc>
        <w:tc>
          <w:tcPr>
            <w:tcW w:w="2139" w:type="dxa"/>
            <w:tcBorders>
              <w:top w:val="single" w:color="auto" w:sz="4" w:space="0"/>
              <w:left w:val="nil"/>
              <w:bottom w:val="single" w:color="auto" w:sz="4" w:space="0"/>
              <w:right w:val="single" w:color="auto" w:sz="4" w:space="0"/>
            </w:tcBorders>
            <w:shd w:val="clear" w:color="000000" w:fill="BFBFBF"/>
            <w:noWrap w:val="0"/>
            <w:vAlign w:val="center"/>
          </w:tcPr>
          <w:p>
            <w:pPr>
              <w:pageBreakBefore w:val="0"/>
              <w:kinsoku/>
              <w:wordWrap/>
              <w:topLinePunct w:val="0"/>
              <w:bidi w:val="0"/>
              <w:snapToGrid/>
              <w:spacing w:line="240" w:lineRule="auto"/>
              <w:jc w:val="center"/>
              <w:rPr>
                <w:rFonts w:hint="eastAsia" w:ascii="黑体" w:hAnsi="黑体" w:eastAsia="黑体" w:cs="黑体"/>
                <w:bCs/>
                <w:sz w:val="24"/>
                <w:szCs w:val="24"/>
                <w:highlight w:val="none"/>
              </w:rPr>
            </w:pPr>
            <w:r>
              <w:rPr>
                <w:rFonts w:hint="eastAsia" w:ascii="黑体" w:hAnsi="黑体" w:eastAsia="黑体" w:cs="黑体"/>
                <w:bCs/>
                <w:sz w:val="24"/>
                <w:szCs w:val="24"/>
                <w:highlight w:val="none"/>
              </w:rPr>
              <w:t>得分率</w:t>
            </w:r>
          </w:p>
        </w:tc>
      </w:tr>
      <w:tr>
        <w:tblPrEx>
          <w:tblCellMar>
            <w:top w:w="0" w:type="dxa"/>
            <w:left w:w="108" w:type="dxa"/>
            <w:bottom w:w="0" w:type="dxa"/>
            <w:right w:w="108" w:type="dxa"/>
          </w:tblCellMar>
        </w:tblPrEx>
        <w:trPr>
          <w:trHeight w:val="438" w:hRule="atLeast"/>
          <w:jc w:val="center"/>
        </w:trPr>
        <w:tc>
          <w:tcPr>
            <w:tcW w:w="2560" w:type="dxa"/>
            <w:tcBorders>
              <w:top w:val="nil"/>
              <w:left w:val="single" w:color="auto" w:sz="4" w:space="0"/>
              <w:bottom w:val="single" w:color="auto" w:sz="4" w:space="0"/>
              <w:right w:val="single" w:color="auto" w:sz="4" w:space="0"/>
            </w:tcBorders>
            <w:noWrap w:val="0"/>
            <w:vAlign w:val="center"/>
          </w:tcPr>
          <w:p>
            <w:pPr>
              <w:pageBreakBefore w:val="0"/>
              <w:kinsoku/>
              <w:wordWrap/>
              <w:topLinePunct w:val="0"/>
              <w:bidi w:val="0"/>
              <w:snapToGrid/>
              <w:spacing w:line="24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决策</w:t>
            </w:r>
          </w:p>
        </w:tc>
        <w:tc>
          <w:tcPr>
            <w:tcW w:w="213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sz w:val="21"/>
                <w:szCs w:val="21"/>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10</w:t>
            </w:r>
          </w:p>
        </w:tc>
        <w:tc>
          <w:tcPr>
            <w:tcW w:w="198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sz w:val="21"/>
                <w:szCs w:val="21"/>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9</w:t>
            </w:r>
          </w:p>
        </w:tc>
        <w:tc>
          <w:tcPr>
            <w:tcW w:w="213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sz w:val="21"/>
                <w:szCs w:val="21"/>
                <w:highlight w:val="none"/>
              </w:rPr>
            </w:pPr>
            <w:r>
              <w:rPr>
                <w:rFonts w:hint="eastAsia" w:ascii="黑体" w:hAnsi="黑体" w:eastAsia="黑体" w:cs="黑体"/>
                <w:i w:val="0"/>
                <w:iCs w:val="0"/>
                <w:color w:val="000000"/>
                <w:kern w:val="0"/>
                <w:sz w:val="24"/>
                <w:szCs w:val="24"/>
                <w:highlight w:val="none"/>
                <w:u w:val="none"/>
                <w:lang w:val="en-US" w:eastAsia="zh-CN" w:bidi="ar"/>
              </w:rPr>
              <w:t>90.00%</w:t>
            </w:r>
          </w:p>
        </w:tc>
      </w:tr>
      <w:tr>
        <w:tblPrEx>
          <w:tblCellMar>
            <w:top w:w="0" w:type="dxa"/>
            <w:left w:w="108" w:type="dxa"/>
            <w:bottom w:w="0" w:type="dxa"/>
            <w:right w:w="108" w:type="dxa"/>
          </w:tblCellMar>
        </w:tblPrEx>
        <w:trPr>
          <w:trHeight w:val="438" w:hRule="atLeast"/>
          <w:jc w:val="center"/>
        </w:trPr>
        <w:tc>
          <w:tcPr>
            <w:tcW w:w="2560" w:type="dxa"/>
            <w:tcBorders>
              <w:top w:val="nil"/>
              <w:left w:val="single" w:color="auto" w:sz="4" w:space="0"/>
              <w:bottom w:val="single" w:color="auto" w:sz="4" w:space="0"/>
              <w:right w:val="single" w:color="auto" w:sz="4" w:space="0"/>
            </w:tcBorders>
            <w:noWrap w:val="0"/>
            <w:vAlign w:val="center"/>
          </w:tcPr>
          <w:p>
            <w:pPr>
              <w:pageBreakBefore w:val="0"/>
              <w:kinsoku/>
              <w:wordWrap/>
              <w:topLinePunct w:val="0"/>
              <w:bidi w:val="0"/>
              <w:snapToGrid/>
              <w:spacing w:line="240" w:lineRule="auto"/>
              <w:jc w:val="center"/>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val="en-US" w:eastAsia="zh-CN"/>
              </w:rPr>
              <w:t>管理</w:t>
            </w:r>
          </w:p>
        </w:tc>
        <w:tc>
          <w:tcPr>
            <w:tcW w:w="213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sz w:val="21"/>
                <w:szCs w:val="21"/>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30</w:t>
            </w:r>
          </w:p>
        </w:tc>
        <w:tc>
          <w:tcPr>
            <w:tcW w:w="198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sz w:val="21"/>
                <w:szCs w:val="21"/>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25.95</w:t>
            </w:r>
          </w:p>
        </w:tc>
        <w:tc>
          <w:tcPr>
            <w:tcW w:w="213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sz w:val="21"/>
                <w:szCs w:val="21"/>
                <w:highlight w:val="none"/>
              </w:rPr>
            </w:pPr>
            <w:r>
              <w:rPr>
                <w:rFonts w:hint="eastAsia" w:ascii="黑体" w:hAnsi="黑体" w:eastAsia="黑体" w:cs="黑体"/>
                <w:i w:val="0"/>
                <w:iCs w:val="0"/>
                <w:color w:val="000000"/>
                <w:kern w:val="0"/>
                <w:sz w:val="24"/>
                <w:szCs w:val="24"/>
                <w:highlight w:val="none"/>
                <w:u w:val="none"/>
                <w:lang w:val="en-US" w:eastAsia="zh-CN" w:bidi="ar"/>
              </w:rPr>
              <w:t>86.50%</w:t>
            </w:r>
          </w:p>
        </w:tc>
      </w:tr>
      <w:tr>
        <w:tblPrEx>
          <w:tblCellMar>
            <w:top w:w="0" w:type="dxa"/>
            <w:left w:w="108" w:type="dxa"/>
            <w:bottom w:w="0" w:type="dxa"/>
            <w:right w:w="108" w:type="dxa"/>
          </w:tblCellMar>
        </w:tblPrEx>
        <w:trPr>
          <w:trHeight w:val="438" w:hRule="atLeast"/>
          <w:jc w:val="center"/>
        </w:trPr>
        <w:tc>
          <w:tcPr>
            <w:tcW w:w="2560" w:type="dxa"/>
            <w:tcBorders>
              <w:top w:val="nil"/>
              <w:left w:val="single" w:color="auto" w:sz="4" w:space="0"/>
              <w:bottom w:val="single" w:color="auto" w:sz="4" w:space="0"/>
              <w:right w:val="single" w:color="auto" w:sz="4" w:space="0"/>
            </w:tcBorders>
            <w:noWrap w:val="0"/>
            <w:vAlign w:val="center"/>
          </w:tcPr>
          <w:p>
            <w:pPr>
              <w:pageBreakBefore w:val="0"/>
              <w:kinsoku/>
              <w:wordWrap/>
              <w:topLinePunct w:val="0"/>
              <w:bidi w:val="0"/>
              <w:snapToGrid/>
              <w:spacing w:line="24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产出</w:t>
            </w:r>
          </w:p>
        </w:tc>
        <w:tc>
          <w:tcPr>
            <w:tcW w:w="213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sz w:val="21"/>
                <w:szCs w:val="21"/>
                <w:highlight w:val="none"/>
              </w:rPr>
            </w:pPr>
            <w:r>
              <w:rPr>
                <w:rFonts w:hint="eastAsia" w:ascii="黑体" w:hAnsi="黑体" w:eastAsia="黑体" w:cs="黑体"/>
                <w:i w:val="0"/>
                <w:iCs w:val="0"/>
                <w:color w:val="000000"/>
                <w:kern w:val="0"/>
                <w:sz w:val="24"/>
                <w:szCs w:val="24"/>
                <w:highlight w:val="none"/>
                <w:u w:val="none"/>
                <w:lang w:val="en-US" w:eastAsia="zh-CN" w:bidi="ar"/>
              </w:rPr>
              <w:t>45</w:t>
            </w:r>
          </w:p>
        </w:tc>
        <w:tc>
          <w:tcPr>
            <w:tcW w:w="198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sz w:val="21"/>
                <w:szCs w:val="21"/>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33</w:t>
            </w:r>
          </w:p>
        </w:tc>
        <w:tc>
          <w:tcPr>
            <w:tcW w:w="213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sz w:val="21"/>
                <w:szCs w:val="21"/>
                <w:highlight w:val="none"/>
              </w:rPr>
            </w:pPr>
            <w:r>
              <w:rPr>
                <w:rFonts w:hint="eastAsia" w:ascii="黑体" w:hAnsi="黑体" w:eastAsia="黑体" w:cs="黑体"/>
                <w:i w:val="0"/>
                <w:iCs w:val="0"/>
                <w:color w:val="000000"/>
                <w:kern w:val="0"/>
                <w:sz w:val="24"/>
                <w:szCs w:val="24"/>
                <w:highlight w:val="none"/>
                <w:u w:val="none"/>
                <w:lang w:val="en-US" w:eastAsia="zh-CN" w:bidi="ar"/>
              </w:rPr>
              <w:t>73.33%</w:t>
            </w:r>
          </w:p>
        </w:tc>
      </w:tr>
      <w:tr>
        <w:tblPrEx>
          <w:tblCellMar>
            <w:top w:w="0" w:type="dxa"/>
            <w:left w:w="108" w:type="dxa"/>
            <w:bottom w:w="0" w:type="dxa"/>
            <w:right w:w="108" w:type="dxa"/>
          </w:tblCellMar>
        </w:tblPrEx>
        <w:trPr>
          <w:trHeight w:val="438" w:hRule="atLeast"/>
          <w:jc w:val="center"/>
        </w:trPr>
        <w:tc>
          <w:tcPr>
            <w:tcW w:w="2560" w:type="dxa"/>
            <w:tcBorders>
              <w:top w:val="nil"/>
              <w:left w:val="single" w:color="auto" w:sz="4" w:space="0"/>
              <w:bottom w:val="single" w:color="auto" w:sz="4" w:space="0"/>
              <w:right w:val="single" w:color="auto" w:sz="4" w:space="0"/>
            </w:tcBorders>
            <w:noWrap w:val="0"/>
            <w:vAlign w:val="center"/>
          </w:tcPr>
          <w:p>
            <w:pPr>
              <w:pageBreakBefore w:val="0"/>
              <w:kinsoku/>
              <w:wordWrap/>
              <w:topLinePunct w:val="0"/>
              <w:bidi w:val="0"/>
              <w:snapToGrid/>
              <w:spacing w:line="240" w:lineRule="auto"/>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效</w:t>
            </w:r>
            <w:r>
              <w:rPr>
                <w:rFonts w:hint="eastAsia" w:ascii="仿宋" w:hAnsi="仿宋" w:eastAsia="仿宋" w:cs="仿宋"/>
                <w:sz w:val="21"/>
                <w:szCs w:val="21"/>
                <w:highlight w:val="none"/>
                <w:lang w:val="en-US" w:eastAsia="zh-CN"/>
              </w:rPr>
              <w:t>益</w:t>
            </w:r>
          </w:p>
        </w:tc>
        <w:tc>
          <w:tcPr>
            <w:tcW w:w="213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sz w:val="21"/>
                <w:szCs w:val="21"/>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15</w:t>
            </w:r>
          </w:p>
        </w:tc>
        <w:tc>
          <w:tcPr>
            <w:tcW w:w="198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sz w:val="21"/>
                <w:szCs w:val="21"/>
                <w:highlight w:val="none"/>
                <w:lang w:val="en-US" w:eastAsia="zh-CN"/>
              </w:rPr>
            </w:pPr>
            <w:r>
              <w:rPr>
                <w:rFonts w:hint="eastAsia" w:ascii="黑体" w:hAnsi="黑体" w:eastAsia="黑体" w:cs="黑体"/>
                <w:i w:val="0"/>
                <w:iCs w:val="0"/>
                <w:color w:val="000000"/>
                <w:kern w:val="0"/>
                <w:sz w:val="24"/>
                <w:szCs w:val="24"/>
                <w:highlight w:val="none"/>
                <w:u w:val="none"/>
                <w:lang w:val="en-US" w:eastAsia="zh-CN" w:bidi="ar"/>
              </w:rPr>
              <w:t>15</w:t>
            </w:r>
          </w:p>
        </w:tc>
        <w:tc>
          <w:tcPr>
            <w:tcW w:w="213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sz w:val="21"/>
                <w:szCs w:val="21"/>
                <w:highlight w:val="none"/>
                <w:lang w:val="en-US"/>
              </w:rPr>
            </w:pPr>
            <w:r>
              <w:rPr>
                <w:rFonts w:hint="eastAsia" w:ascii="黑体" w:hAnsi="黑体" w:eastAsia="黑体" w:cs="黑体"/>
                <w:i w:val="0"/>
                <w:iCs w:val="0"/>
                <w:color w:val="000000"/>
                <w:kern w:val="0"/>
                <w:sz w:val="24"/>
                <w:szCs w:val="24"/>
                <w:highlight w:val="none"/>
                <w:u w:val="none"/>
                <w:lang w:val="en-US" w:eastAsia="zh-CN" w:bidi="ar"/>
              </w:rPr>
              <w:t>100%</w:t>
            </w:r>
          </w:p>
        </w:tc>
      </w:tr>
      <w:tr>
        <w:tblPrEx>
          <w:tblCellMar>
            <w:top w:w="0" w:type="dxa"/>
            <w:left w:w="108" w:type="dxa"/>
            <w:bottom w:w="0" w:type="dxa"/>
            <w:right w:w="108" w:type="dxa"/>
          </w:tblCellMar>
        </w:tblPrEx>
        <w:trPr>
          <w:trHeight w:val="438" w:hRule="atLeast"/>
          <w:jc w:val="center"/>
        </w:trPr>
        <w:tc>
          <w:tcPr>
            <w:tcW w:w="2560" w:type="dxa"/>
            <w:tcBorders>
              <w:top w:val="nil"/>
              <w:left w:val="single" w:color="auto" w:sz="4" w:space="0"/>
              <w:bottom w:val="single" w:color="auto" w:sz="4" w:space="0"/>
              <w:right w:val="single" w:color="auto" w:sz="4" w:space="0"/>
            </w:tcBorders>
            <w:noWrap w:val="0"/>
            <w:vAlign w:val="center"/>
          </w:tcPr>
          <w:p>
            <w:pPr>
              <w:pageBreakBefore w:val="0"/>
              <w:kinsoku/>
              <w:wordWrap/>
              <w:topLinePunct w:val="0"/>
              <w:bidi w:val="0"/>
              <w:snapToGrid/>
              <w:spacing w:line="24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综合得分</w:t>
            </w:r>
          </w:p>
        </w:tc>
        <w:tc>
          <w:tcPr>
            <w:tcW w:w="213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sz w:val="21"/>
                <w:szCs w:val="21"/>
                <w:highlight w:val="none"/>
              </w:rPr>
            </w:pPr>
            <w:r>
              <w:rPr>
                <w:rFonts w:hint="eastAsia" w:ascii="黑体" w:hAnsi="黑体" w:eastAsia="黑体" w:cs="黑体"/>
                <w:b w:val="0"/>
                <w:bCs w:val="0"/>
                <w:i w:val="0"/>
                <w:iCs w:val="0"/>
                <w:color w:val="000000"/>
                <w:kern w:val="0"/>
                <w:sz w:val="24"/>
                <w:szCs w:val="24"/>
                <w:highlight w:val="none"/>
                <w:u w:val="none"/>
                <w:lang w:val="en-US" w:eastAsia="zh-CN" w:bidi="ar"/>
              </w:rPr>
              <w:t>100</w:t>
            </w:r>
          </w:p>
        </w:tc>
        <w:tc>
          <w:tcPr>
            <w:tcW w:w="198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sz w:val="21"/>
                <w:szCs w:val="21"/>
                <w:highlight w:val="none"/>
                <w:lang w:val="en-US" w:eastAsia="zh-CN"/>
              </w:rPr>
            </w:pPr>
            <w:r>
              <w:rPr>
                <w:rFonts w:hint="eastAsia" w:ascii="黑体" w:hAnsi="黑体" w:eastAsia="黑体" w:cs="黑体"/>
                <w:b w:val="0"/>
                <w:bCs w:val="0"/>
                <w:i w:val="0"/>
                <w:iCs w:val="0"/>
                <w:color w:val="000000"/>
                <w:kern w:val="0"/>
                <w:sz w:val="24"/>
                <w:szCs w:val="24"/>
                <w:highlight w:val="none"/>
                <w:u w:val="none"/>
                <w:lang w:val="en-US" w:eastAsia="zh-CN" w:bidi="ar"/>
              </w:rPr>
              <w:t>82.95</w:t>
            </w:r>
          </w:p>
        </w:tc>
        <w:tc>
          <w:tcPr>
            <w:tcW w:w="213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sz w:val="21"/>
                <w:szCs w:val="21"/>
                <w:highlight w:val="none"/>
                <w:lang w:val="en-US"/>
              </w:rPr>
            </w:pPr>
            <w:r>
              <w:rPr>
                <w:rFonts w:hint="eastAsia" w:ascii="黑体" w:hAnsi="黑体" w:eastAsia="黑体" w:cs="黑体"/>
                <w:b w:val="0"/>
                <w:bCs w:val="0"/>
                <w:i w:val="0"/>
                <w:iCs w:val="0"/>
                <w:color w:val="000000"/>
                <w:kern w:val="0"/>
                <w:sz w:val="24"/>
                <w:szCs w:val="24"/>
                <w:highlight w:val="none"/>
                <w:u w:val="none"/>
                <w:lang w:val="en-US" w:eastAsia="zh-CN" w:bidi="ar"/>
              </w:rPr>
              <w:t>82.95%</w:t>
            </w:r>
          </w:p>
        </w:tc>
      </w:tr>
      <w:tr>
        <w:tblPrEx>
          <w:tblCellMar>
            <w:top w:w="0" w:type="dxa"/>
            <w:left w:w="108" w:type="dxa"/>
            <w:bottom w:w="0" w:type="dxa"/>
            <w:right w:w="108" w:type="dxa"/>
          </w:tblCellMar>
        </w:tblPrEx>
        <w:trPr>
          <w:trHeight w:val="452" w:hRule="atLeast"/>
          <w:jc w:val="center"/>
        </w:trPr>
        <w:tc>
          <w:tcPr>
            <w:tcW w:w="2560" w:type="dxa"/>
            <w:tcBorders>
              <w:top w:val="nil"/>
              <w:left w:val="single" w:color="auto" w:sz="4" w:space="0"/>
              <w:bottom w:val="single" w:color="auto" w:sz="4" w:space="0"/>
              <w:right w:val="single" w:color="auto" w:sz="4" w:space="0"/>
            </w:tcBorders>
            <w:noWrap w:val="0"/>
            <w:vAlign w:val="center"/>
          </w:tcPr>
          <w:p>
            <w:pPr>
              <w:pageBreakBefore w:val="0"/>
              <w:kinsoku/>
              <w:wordWrap/>
              <w:topLinePunct w:val="0"/>
              <w:bidi w:val="0"/>
              <w:snapToGrid/>
              <w:spacing w:line="360" w:lineRule="auto"/>
              <w:jc w:val="center"/>
              <w:rPr>
                <w:rFonts w:hint="eastAsia" w:ascii="仿宋" w:hAnsi="仿宋" w:eastAsia="仿宋" w:cs="仿宋"/>
                <w:b/>
                <w:bCs/>
                <w:sz w:val="21"/>
                <w:szCs w:val="21"/>
                <w:highlight w:val="none"/>
              </w:rPr>
            </w:pPr>
            <w:r>
              <w:rPr>
                <w:rFonts w:hint="eastAsia" w:ascii="仿宋" w:hAnsi="仿宋" w:eastAsia="仿宋" w:cs="仿宋"/>
                <w:b w:val="0"/>
                <w:bCs w:val="0"/>
                <w:sz w:val="21"/>
                <w:szCs w:val="21"/>
                <w:highlight w:val="none"/>
              </w:rPr>
              <w:t>绩效级别评价</w:t>
            </w:r>
          </w:p>
        </w:tc>
        <w:tc>
          <w:tcPr>
            <w:tcW w:w="6258" w:type="dxa"/>
            <w:gridSpan w:val="3"/>
            <w:tcBorders>
              <w:top w:val="single" w:color="auto" w:sz="4" w:space="0"/>
              <w:left w:val="nil"/>
              <w:bottom w:val="single" w:color="auto" w:sz="4" w:space="0"/>
              <w:right w:val="single" w:color="auto" w:sz="4" w:space="0"/>
            </w:tcBorders>
            <w:noWrap w:val="0"/>
            <w:vAlign w:val="center"/>
          </w:tcPr>
          <w:p>
            <w:pPr>
              <w:pageBreakBefore w:val="0"/>
              <w:kinsoku/>
              <w:wordWrap/>
              <w:topLinePunct w:val="0"/>
              <w:bidi w:val="0"/>
              <w:snapToGrid/>
              <w:spacing w:line="240" w:lineRule="auto"/>
              <w:jc w:val="center"/>
              <w:outlineLvl w:val="9"/>
              <w:rPr>
                <w:rFonts w:hint="eastAsia" w:ascii="仿宋" w:hAnsi="仿宋" w:eastAsia="仿宋" w:cs="仿宋"/>
                <w:b/>
                <w:bCs/>
                <w:sz w:val="21"/>
                <w:szCs w:val="21"/>
                <w:highlight w:val="none"/>
                <w:lang w:eastAsia="zh-CN"/>
              </w:rPr>
            </w:pPr>
            <w:r>
              <w:rPr>
                <w:rFonts w:hint="eastAsia" w:ascii="仿宋" w:hAnsi="仿宋" w:eastAsia="仿宋" w:cs="仿宋"/>
                <w:b w:val="0"/>
                <w:bCs w:val="0"/>
                <w:sz w:val="24"/>
                <w:szCs w:val="24"/>
                <w:highlight w:val="none"/>
                <w:lang w:val="en-US" w:eastAsia="zh-CN"/>
              </w:rPr>
              <w:t>良</w:t>
            </w:r>
          </w:p>
        </w:tc>
      </w:tr>
    </w:tbl>
    <w:p>
      <w:pPr>
        <w:bidi w:val="0"/>
        <w:ind w:firstLine="640" w:firstLineChars="200"/>
        <w:rPr>
          <w:rFonts w:hint="eastAsia" w:ascii="黑体" w:hAnsi="黑体" w:eastAsia="黑体" w:cs="黑体"/>
          <w:b w:val="0"/>
          <w:bCs w:val="0"/>
          <w:sz w:val="32"/>
          <w:szCs w:val="32"/>
          <w:lang w:val="en-US" w:eastAsia="zh-CN"/>
        </w:rPr>
      </w:pPr>
      <w:bookmarkStart w:id="8" w:name="_Toc21275"/>
    </w:p>
    <w:p>
      <w:pPr>
        <w:bidi w:val="0"/>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三、项目绩效分析</w:t>
      </w:r>
      <w:bookmarkEnd w:id="8"/>
    </w:p>
    <w:p>
      <w:pPr>
        <w:bidi w:val="0"/>
        <w:ind w:firstLine="640" w:firstLineChars="200"/>
        <w:rPr>
          <w:rFonts w:hint="eastAsia" w:ascii="楷体" w:hAnsi="楷体" w:eastAsia="楷体" w:cs="楷体"/>
          <w:b w:val="0"/>
          <w:bCs w:val="0"/>
          <w:sz w:val="32"/>
          <w:szCs w:val="32"/>
          <w:lang w:val="en-US" w:eastAsia="zh-CN"/>
        </w:rPr>
      </w:pPr>
      <w:bookmarkStart w:id="9" w:name="_Toc14270"/>
      <w:bookmarkStart w:id="10" w:name="_Toc2323"/>
      <w:bookmarkStart w:id="11" w:name="_Toc19257"/>
      <w:r>
        <w:rPr>
          <w:rFonts w:hint="eastAsia" w:ascii="楷体" w:hAnsi="楷体" w:eastAsia="楷体" w:cs="楷体"/>
          <w:b w:val="0"/>
          <w:bCs w:val="0"/>
          <w:sz w:val="32"/>
          <w:szCs w:val="32"/>
          <w:lang w:val="en-US" w:eastAsia="zh-CN"/>
        </w:rPr>
        <w:t>（一）项目决策情况</w:t>
      </w:r>
      <w:bookmarkEnd w:id="9"/>
      <w:bookmarkEnd w:id="10"/>
      <w:bookmarkEnd w:id="11"/>
    </w:p>
    <w:p>
      <w:pPr>
        <w:widowControl w:val="0"/>
        <w:spacing w:line="240" w:lineRule="auto"/>
        <w:ind w:firstLine="640" w:firstLineChars="200"/>
        <w:jc w:val="left"/>
        <w:rPr>
          <w:rFonts w:hint="eastAsia" w:ascii="仿宋_GB2312" w:hAnsi="仿宋_GB2312" w:eastAsia="仿宋_GB2312" w:cs="仿宋_GB2312"/>
          <w:sz w:val="32"/>
          <w:szCs w:val="32"/>
          <w:highlight w:val="none"/>
          <w:lang w:val="en-US" w:eastAsia="zh-CN"/>
        </w:rPr>
      </w:pPr>
      <w:r>
        <w:rPr>
          <w:rFonts w:hint="eastAsia" w:ascii="仿宋" w:hAnsi="仿宋" w:eastAsia="仿宋" w:cs="仿宋"/>
          <w:sz w:val="32"/>
          <w:szCs w:val="32"/>
          <w:highlight w:val="none"/>
        </w:rPr>
        <w:t>1</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项目立项指标分值</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分，</w:t>
      </w:r>
      <w:r>
        <w:rPr>
          <w:rFonts w:hint="eastAsia" w:ascii="仿宋_GB2312" w:hAnsi="仿宋_GB2312" w:eastAsia="仿宋_GB2312" w:cs="仿宋_GB2312"/>
          <w:sz w:val="32"/>
          <w:szCs w:val="32"/>
          <w:highlight w:val="none"/>
        </w:rPr>
        <w:t>得分</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分。评价认为</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菏泽医学专科学校新校区项目立项依据充分，符合</w:t>
      </w:r>
      <w:r>
        <w:rPr>
          <w:rFonts w:hint="eastAsia" w:ascii="仿宋_GB2312" w:eastAsia="仿宋_GB2312"/>
          <w:sz w:val="32"/>
          <w:szCs w:val="32"/>
          <w:highlight w:val="none"/>
          <w:lang w:val="en-US" w:eastAsia="zh-CN"/>
        </w:rPr>
        <w:t>《中共山东省委山东省人民政府、关于突破菏泽、鲁西崛起的若干意见》等文件要求；</w:t>
      </w:r>
      <w:r>
        <w:rPr>
          <w:rFonts w:hint="eastAsia" w:ascii="仿宋_GB2312" w:hAnsi="仿宋_GB2312" w:eastAsia="仿宋_GB2312" w:cs="仿宋_GB2312"/>
          <w:sz w:val="32"/>
          <w:szCs w:val="32"/>
          <w:highlight w:val="none"/>
          <w:lang w:val="en-US" w:eastAsia="zh-CN"/>
        </w:rPr>
        <w:t>项目立项程序规范，项目按照规定的程序申请设立，事前已经过必要的可行性研究以及集体决策，各项审批文件、材料符合相关要求。</w:t>
      </w:r>
    </w:p>
    <w:p>
      <w:pPr>
        <w:widowControl w:val="0"/>
        <w:spacing w:line="600" w:lineRule="exact"/>
        <w:ind w:firstLine="640" w:firstLineChars="200"/>
        <w:jc w:val="left"/>
        <w:rPr>
          <w:rFonts w:hint="eastAsia"/>
          <w:highlight w:val="none"/>
          <w:lang w:val="en-US" w:eastAsia="zh-CN"/>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绩效目标指标分值</w:t>
      </w:r>
      <w:r>
        <w:rPr>
          <w:rFonts w:hint="eastAsia" w:ascii="仿宋_GB2312" w:hAnsi="仿宋_GB2312" w:eastAsia="仿宋_GB2312" w:cs="仿宋_GB2312"/>
          <w:sz w:val="32"/>
          <w:szCs w:val="32"/>
          <w:highlight w:val="none"/>
          <w:lang w:val="en-US" w:eastAsia="zh-CN" w:bidi="ar-SA"/>
        </w:rPr>
        <w:t>2分，得分2分。评</w:t>
      </w:r>
      <w:r>
        <w:rPr>
          <w:rFonts w:hint="eastAsia" w:ascii="仿宋_GB2312" w:hAnsi="仿宋_GB2312" w:eastAsia="仿宋_GB2312" w:cs="仿宋_GB2312"/>
          <w:sz w:val="32"/>
          <w:szCs w:val="32"/>
          <w:highlight w:val="none"/>
        </w:rPr>
        <w:t>价认为</w:t>
      </w:r>
      <w:r>
        <w:rPr>
          <w:rFonts w:hint="eastAsia" w:ascii="仿宋_GB2312" w:hAnsi="仿宋_GB2312" w:eastAsia="仿宋_GB2312" w:cs="仿宋_GB2312"/>
          <w:sz w:val="32"/>
          <w:szCs w:val="32"/>
          <w:highlight w:val="none"/>
          <w:lang w:eastAsia="zh-CN"/>
        </w:rPr>
        <w:t>：</w:t>
      </w:r>
      <w:r>
        <w:rPr>
          <w:rFonts w:hint="eastAsia" w:ascii="仿宋_GB2312" w:eastAsia="仿宋_GB2312"/>
          <w:sz w:val="32"/>
          <w:szCs w:val="32"/>
          <w:highlight w:val="none"/>
          <w:lang w:val="en-US" w:eastAsia="zh-CN"/>
        </w:rPr>
        <w:t>项目绩效目标依据项目实际建设内容设定，符合客观实际，与实际工作内容具有相关性，未发生偏离情况，项目效益能达到预期水平；项目绩效指标设置明确、清晰、可衡量，能够有效反映和考核项目绩效目标的实现程度情况。</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158" w:afterLines="50" w:line="360" w:lineRule="auto"/>
        <w:ind w:firstLine="640" w:firstLineChars="200"/>
        <w:textAlignment w:val="auto"/>
        <w:rPr>
          <w:rFonts w:hint="eastAsia" w:ascii="Times New Roman" w:hAnsi="Times New Roman" w:eastAsia="仿宋" w:cs="Times New Roman"/>
          <w:sz w:val="32"/>
          <w:szCs w:val="32"/>
          <w:highlight w:val="none"/>
          <w:lang w:val="en-US" w:eastAsia="zh-CN"/>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资金</w:t>
      </w:r>
      <w:r>
        <w:rPr>
          <w:rFonts w:hint="eastAsia" w:ascii="仿宋_GB2312" w:hAnsi="仿宋_GB2312" w:eastAsia="仿宋_GB2312" w:cs="仿宋_GB2312"/>
          <w:sz w:val="32"/>
          <w:szCs w:val="32"/>
          <w:highlight w:val="none"/>
          <w:lang w:val="en-US" w:eastAsia="zh-CN"/>
        </w:rPr>
        <w:t>投入</w:t>
      </w:r>
      <w:r>
        <w:rPr>
          <w:rFonts w:hint="eastAsia" w:ascii="仿宋_GB2312" w:hAnsi="仿宋_GB2312" w:eastAsia="仿宋_GB2312" w:cs="仿宋_GB2312"/>
          <w:sz w:val="32"/>
          <w:szCs w:val="32"/>
          <w:highlight w:val="none"/>
        </w:rPr>
        <w:t>指</w:t>
      </w:r>
      <w:r>
        <w:rPr>
          <w:rFonts w:hint="eastAsia" w:ascii="仿宋_GB2312" w:eastAsia="仿宋_GB2312"/>
          <w:sz w:val="32"/>
          <w:szCs w:val="32"/>
          <w:highlight w:val="none"/>
          <w:lang w:val="en-US" w:eastAsia="zh-CN" w:bidi="ar-SA"/>
        </w:rPr>
        <w:t>标分值5分，得分4分。</w:t>
      </w:r>
      <w:r>
        <w:rPr>
          <w:rFonts w:hint="eastAsia" w:ascii="Times New Roman" w:hAnsi="Times New Roman" w:eastAsia="仿宋" w:cs="Times New Roman"/>
          <w:sz w:val="32"/>
          <w:szCs w:val="32"/>
          <w:highlight w:val="none"/>
          <w:lang w:val="en-US" w:eastAsia="zh-CN"/>
        </w:rPr>
        <w:t>截止评价日，项目共投入资金1525</w:t>
      </w:r>
      <w:r>
        <w:rPr>
          <w:rFonts w:hint="eastAsia" w:ascii="仿宋_GB2312" w:hAnsi="仿宋_GB2312" w:eastAsia="仿宋_GB2312" w:cs="仿宋_GB2312"/>
          <w:sz w:val="32"/>
          <w:szCs w:val="32"/>
          <w:highlight w:val="none"/>
          <w:lang w:val="en-US" w:eastAsia="zh-CN"/>
        </w:rPr>
        <w:t>00万元，由市财政安排项目预算资金142500万元，其中政府性基金预算资金88500万元、地方政府专项债券资金54000万元；菏泽家政职业学院预付10000万元，评价认为项目</w:t>
      </w:r>
      <w:r>
        <w:rPr>
          <w:rFonts w:hint="eastAsia" w:ascii="Times New Roman" w:hAnsi="Times New Roman" w:eastAsia="仿宋" w:cs="Times New Roman"/>
          <w:sz w:val="32"/>
          <w:szCs w:val="32"/>
          <w:highlight w:val="none"/>
          <w:lang w:val="en-US" w:eastAsia="zh-CN"/>
        </w:rPr>
        <w:t>实际资金投入与项目实际资金需求（</w:t>
      </w:r>
      <w:r>
        <w:rPr>
          <w:rFonts w:hint="eastAsia" w:ascii="仿宋" w:hAnsi="仿宋" w:eastAsia="仿宋" w:cs="仿宋"/>
          <w:sz w:val="32"/>
          <w:szCs w:val="32"/>
          <w:highlight w:val="none"/>
          <w:lang w:val="en-US" w:eastAsia="zh-CN"/>
        </w:rPr>
        <w:t>319581万元</w:t>
      </w:r>
      <w:r>
        <w:rPr>
          <w:rFonts w:hint="eastAsia" w:ascii="Times New Roman" w:hAnsi="Times New Roman" w:eastAsia="仿宋" w:cs="Times New Roman"/>
          <w:sz w:val="32"/>
          <w:szCs w:val="32"/>
          <w:highlight w:val="none"/>
          <w:lang w:val="en-US" w:eastAsia="zh-CN"/>
        </w:rPr>
        <w:t>）不匹配，扣1分。</w:t>
      </w:r>
    </w:p>
    <w:p>
      <w:pPr>
        <w:bidi w:val="0"/>
        <w:ind w:firstLine="640" w:firstLineChars="200"/>
        <w:rPr>
          <w:rFonts w:hint="eastAsia" w:ascii="楷体" w:hAnsi="楷体" w:eastAsia="楷体" w:cs="楷体"/>
          <w:b w:val="0"/>
          <w:bCs w:val="0"/>
          <w:sz w:val="32"/>
          <w:szCs w:val="32"/>
          <w:lang w:val="en-US" w:eastAsia="zh-CN"/>
        </w:rPr>
      </w:pPr>
      <w:bookmarkStart w:id="12" w:name="_Toc19603"/>
      <w:bookmarkStart w:id="13" w:name="_Toc9907"/>
      <w:bookmarkStart w:id="14" w:name="_Toc5608"/>
      <w:r>
        <w:rPr>
          <w:rFonts w:hint="eastAsia" w:ascii="楷体" w:hAnsi="楷体" w:eastAsia="楷体" w:cs="楷体"/>
          <w:b w:val="0"/>
          <w:bCs w:val="0"/>
          <w:sz w:val="32"/>
          <w:szCs w:val="32"/>
          <w:lang w:val="en-US" w:eastAsia="zh-CN"/>
        </w:rPr>
        <w:t>（二）项目管理情况</w:t>
      </w:r>
      <w:bookmarkEnd w:id="12"/>
      <w:bookmarkEnd w:id="13"/>
      <w:bookmarkEnd w:id="14"/>
    </w:p>
    <w:p>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highlight w:val="none"/>
          <w:lang w:val="en-US" w:eastAsia="zh-CN"/>
        </w:rPr>
      </w:pPr>
      <w:bookmarkStart w:id="15" w:name="_Toc13340"/>
      <w:bookmarkStart w:id="16" w:name="_Toc1882"/>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rPr>
        <w:t>资</w:t>
      </w:r>
      <w:r>
        <w:rPr>
          <w:rFonts w:hint="eastAsia" w:ascii="仿宋" w:hAnsi="仿宋" w:eastAsia="仿宋" w:cs="仿宋"/>
          <w:sz w:val="32"/>
          <w:szCs w:val="32"/>
          <w:highlight w:val="none"/>
          <w:lang w:val="en-US" w:eastAsia="zh-CN" w:bidi="ar-SA"/>
        </w:rPr>
        <w:t>金管理指</w:t>
      </w:r>
      <w:r>
        <w:rPr>
          <w:rFonts w:hint="eastAsia" w:ascii="仿宋_GB2312" w:hAnsi="仿宋_GB2312" w:eastAsia="仿宋_GB2312" w:cs="仿宋_GB2312"/>
          <w:sz w:val="32"/>
          <w:szCs w:val="32"/>
          <w:highlight w:val="none"/>
          <w:lang w:val="en-US" w:eastAsia="zh-CN" w:bidi="ar-SA"/>
        </w:rPr>
        <w:t>标分值15分，得分10.95分。</w:t>
      </w:r>
      <w:r>
        <w:rPr>
          <w:rFonts w:hint="eastAsia" w:ascii="仿宋_GB2312" w:hAnsi="仿宋_GB2312" w:eastAsia="仿宋_GB2312" w:cs="仿宋_GB2312"/>
          <w:sz w:val="32"/>
          <w:szCs w:val="32"/>
          <w:highlight w:val="none"/>
          <w:lang w:val="en-US" w:eastAsia="zh-CN"/>
        </w:rPr>
        <w:t>截至评价日，项目计划投入152500万元，实际到位152500万元，资金到位率100%；项目实际支出66962万元，预算执行率43.91%，扣2.8分。根据项目建设进度分析，资金的使用进度与项目建设进度基本匹配，建设过程中不存在超进度拨付和拨付不及时的情况；债券的发行管理符合《地方政府专项债券发行管理暂行办法》，地方政府专项债券资金用于项目的建设，不存在截留、挤占、挪用、虚列支出等情况，债券资金主要用于支付项目的拆迁补偿费用，收到债券资金后未对专项债券资金进行专户管理，扣1.25分。</w:t>
      </w:r>
    </w:p>
    <w:p>
      <w:pPr>
        <w:bidi w:val="0"/>
        <w:ind w:firstLine="640" w:firstLineChars="200"/>
        <w:rPr>
          <w:rFonts w:hint="eastAsia" w:ascii="仿宋_GB2312" w:hAnsi="Calibri" w:eastAsia="仿宋_GB2312" w:cs="Times New Roman"/>
          <w:sz w:val="32"/>
          <w:szCs w:val="32"/>
          <w:highlight w:val="none"/>
          <w:lang w:val="en-US" w:eastAsia="zh-CN" w:bidi="ar-SA"/>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组织实施指标分</w:t>
      </w:r>
      <w:r>
        <w:rPr>
          <w:rFonts w:hint="eastAsia" w:ascii="仿宋_GB2312" w:hAnsi="仿宋_GB2312" w:eastAsia="仿宋_GB2312" w:cs="仿宋_GB2312"/>
          <w:sz w:val="32"/>
          <w:szCs w:val="32"/>
          <w:highlight w:val="none"/>
          <w:lang w:val="en-US" w:eastAsia="zh-CN" w:bidi="ar-SA"/>
        </w:rPr>
        <w:t>值10分，得分10分</w:t>
      </w:r>
      <w:r>
        <w:rPr>
          <w:rFonts w:hint="eastAsia" w:ascii="仿宋_GB2312" w:hAnsi="仿宋_GB2312" w:eastAsia="仿宋_GB2312" w:cs="仿宋_GB2312"/>
          <w:sz w:val="32"/>
          <w:szCs w:val="32"/>
          <w:highlight w:val="none"/>
        </w:rPr>
        <w:t>。</w:t>
      </w:r>
      <w:r>
        <w:rPr>
          <w:rFonts w:hint="eastAsia" w:ascii="仿宋" w:hAnsi="仿宋" w:eastAsia="仿宋" w:cs="仿宋"/>
          <w:sz w:val="32"/>
          <w:szCs w:val="32"/>
          <w:highlight w:val="none"/>
          <w:lang w:val="en-US" w:eastAsia="zh-CN"/>
        </w:rPr>
        <w:t>明康科技投资有限公司为菏泽市城市开发投资有限公司全资子公司，作为</w:t>
      </w:r>
      <w:r>
        <w:rPr>
          <w:rFonts w:hint="eastAsia" w:ascii="仿宋_GB2312" w:hAnsi="仿宋_GB2312" w:eastAsia="仿宋_GB2312" w:cs="仿宋_GB2312"/>
          <w:sz w:val="32"/>
          <w:szCs w:val="32"/>
          <w:highlight w:val="none"/>
          <w:lang w:val="en-US" w:eastAsia="zh-CN"/>
        </w:rPr>
        <w:t>菏泽医学专科学校新校区项目</w:t>
      </w:r>
      <w:r>
        <w:rPr>
          <w:rFonts w:hint="eastAsia" w:ascii="仿宋" w:hAnsi="仿宋" w:eastAsia="仿宋" w:cs="仿宋"/>
          <w:sz w:val="32"/>
          <w:szCs w:val="32"/>
          <w:highlight w:val="none"/>
          <w:lang w:val="en-US" w:eastAsia="zh-CN"/>
        </w:rPr>
        <w:t>建设单位，负责向上级管理部门申报建设项目的立项并办理项目报批手续、招标工作，实施项目建设的前期准备，负责项目前期手续工作的办理；根据校区的整体建设规划和具体实施要求，对校区建设实施全过程管理。公司制定的财务管理、预算管理、采购管理、招标管理等制度建立健全，</w:t>
      </w:r>
      <w:r>
        <w:rPr>
          <w:rFonts w:hint="eastAsia" w:ascii="仿宋_GB2312" w:hAnsi="仿宋_GB2312" w:eastAsia="仿宋_GB2312" w:cs="仿宋_GB2312"/>
          <w:sz w:val="32"/>
          <w:szCs w:val="32"/>
          <w:highlight w:val="none"/>
          <w:lang w:val="en-US" w:eastAsia="zh-CN"/>
        </w:rPr>
        <w:t>菏泽医学专科学校新校区项目在建设过程中遵守相关法律法规和相关管理规定，项目相关采购活动手续完整、合规，项目合同书、验收报告、材料检测等资料齐全并及时归档。项目施工环节中：施工方案、施工组织设计以及开工报告齐备，监理单位发现施工中的问题向施工提交监理通知单或隐患整改通知，施工单位整改后向监理单位提交整改回复，通过现场查看施工日志和监理日志，及时、完整，过程验收、分布分项验收情况制度执行到位，合同签订、资金支付等环节执行建设单位的相关制度</w:t>
      </w:r>
      <w:r>
        <w:rPr>
          <w:rFonts w:hint="eastAsia" w:ascii="仿宋_GB2312" w:hAnsi="Calibri" w:eastAsia="仿宋_GB2312" w:cs="Times New Roman"/>
          <w:sz w:val="32"/>
          <w:szCs w:val="32"/>
          <w:highlight w:val="none"/>
          <w:lang w:val="en-US" w:eastAsia="zh-CN" w:bidi="ar-SA"/>
        </w:rPr>
        <w:t>。</w:t>
      </w:r>
    </w:p>
    <w:p>
      <w:pPr>
        <w:pStyle w:val="2"/>
        <w:keepNext w:val="0"/>
        <w:keepLines w:val="0"/>
        <w:pageBreakBefore w:val="0"/>
        <w:widowControl/>
        <w:kinsoku/>
        <w:wordWrap/>
        <w:overflowPunct w:val="0"/>
        <w:topLinePunct w:val="0"/>
        <w:autoSpaceDE w:val="0"/>
        <w:autoSpaceDN w:val="0"/>
        <w:bidi w:val="0"/>
        <w:adjustRightInd w:val="0"/>
        <w:snapToGrid/>
        <w:spacing w:line="600" w:lineRule="exact"/>
        <w:ind w:left="0" w:leftChars="0" w:firstLine="640" w:firstLineChars="200"/>
        <w:textAlignment w:val="baseline"/>
        <w:rPr>
          <w:rFonts w:hint="eastAsia" w:ascii="仿宋_GB2312" w:hAnsi="仿宋_GB2312" w:eastAsia="仿宋_GB2312" w:cs="仿宋_GB2312"/>
          <w:sz w:val="32"/>
          <w:szCs w:val="32"/>
          <w:highlight w:val="none"/>
          <w:lang w:val="en-US" w:eastAsia="zh-CN" w:bidi="ar-SA"/>
        </w:rPr>
      </w:pPr>
      <w:r>
        <w:rPr>
          <w:rFonts w:hint="eastAsia" w:ascii="仿宋_GB2312" w:hAnsi="Calibri" w:eastAsia="仿宋_GB2312" w:cs="Times New Roman"/>
          <w:sz w:val="32"/>
          <w:szCs w:val="32"/>
          <w:highlight w:val="none"/>
          <w:lang w:val="en-US" w:eastAsia="zh-CN" w:bidi="ar-SA"/>
        </w:rPr>
        <w:t>债券还本付息</w:t>
      </w:r>
      <w:r>
        <w:rPr>
          <w:rFonts w:hint="eastAsia" w:ascii="仿宋_GB2312" w:hAnsi="仿宋_GB2312" w:eastAsia="仿宋_GB2312" w:cs="仿宋_GB2312"/>
          <w:sz w:val="32"/>
          <w:szCs w:val="32"/>
          <w:highlight w:val="none"/>
        </w:rPr>
        <w:t>指标分</w:t>
      </w:r>
      <w:r>
        <w:rPr>
          <w:rFonts w:hint="eastAsia" w:ascii="仿宋_GB2312" w:hAnsi="仿宋_GB2312" w:eastAsia="仿宋_GB2312" w:cs="仿宋_GB2312"/>
          <w:sz w:val="32"/>
          <w:szCs w:val="32"/>
          <w:highlight w:val="none"/>
          <w:lang w:val="en-US" w:eastAsia="zh-CN" w:bidi="ar-SA"/>
        </w:rPr>
        <w:t>值2分，得分2分。截止评价日，地方政府专项债券资金还未到还本日期，经查阅建设单位财务资料，2022年8月支付专项债券利息3002500元，利息在财政规定的时间内进行了支付。经与财政部门沟通，项目专项债券收支、还本付息纳入了财政政府性基金预算管理。</w:t>
      </w:r>
    </w:p>
    <w:p>
      <w:pPr>
        <w:pStyle w:val="2"/>
        <w:keepNext w:val="0"/>
        <w:keepLines w:val="0"/>
        <w:pageBreakBefore w:val="0"/>
        <w:widowControl/>
        <w:kinsoku/>
        <w:wordWrap/>
        <w:overflowPunct w:val="0"/>
        <w:topLinePunct w:val="0"/>
        <w:autoSpaceDE w:val="0"/>
        <w:autoSpaceDN w:val="0"/>
        <w:bidi w:val="0"/>
        <w:adjustRightInd w:val="0"/>
        <w:snapToGrid/>
        <w:spacing w:line="600" w:lineRule="exact"/>
        <w:ind w:left="0" w:leftChars="0" w:firstLine="640" w:firstLineChars="200"/>
        <w:textAlignment w:val="baseline"/>
        <w:rPr>
          <w:rFonts w:hint="default" w:ascii="仿宋_GB2312" w:hAnsi="仿宋_GB2312" w:eastAsia="仿宋_GB2312" w:cs="仿宋_GB2312"/>
          <w:sz w:val="32"/>
          <w:szCs w:val="32"/>
          <w:highlight w:val="none"/>
          <w:lang w:val="en-US" w:eastAsia="zh-CN" w:bidi="ar-SA"/>
        </w:rPr>
      </w:pPr>
      <w:r>
        <w:rPr>
          <w:rFonts w:hint="eastAsia" w:ascii="仿宋_GB2312" w:hAnsi="仿宋_GB2312" w:eastAsia="仿宋_GB2312" w:cs="仿宋_GB2312"/>
          <w:sz w:val="32"/>
          <w:szCs w:val="32"/>
          <w:highlight w:val="none"/>
          <w:lang w:val="en-US" w:eastAsia="zh-CN" w:bidi="ar-SA"/>
        </w:rPr>
        <w:t>信息公开</w:t>
      </w:r>
      <w:r>
        <w:rPr>
          <w:rFonts w:hint="eastAsia" w:ascii="仿宋_GB2312" w:hAnsi="仿宋_GB2312" w:eastAsia="仿宋_GB2312" w:cs="仿宋_GB2312"/>
          <w:sz w:val="32"/>
          <w:szCs w:val="32"/>
          <w:highlight w:val="none"/>
        </w:rPr>
        <w:t>指标分</w:t>
      </w:r>
      <w:r>
        <w:rPr>
          <w:rFonts w:hint="eastAsia" w:ascii="仿宋_GB2312" w:hAnsi="仿宋_GB2312" w:eastAsia="仿宋_GB2312" w:cs="仿宋_GB2312"/>
          <w:sz w:val="32"/>
          <w:szCs w:val="32"/>
          <w:highlight w:val="none"/>
          <w:lang w:val="en-US" w:eastAsia="zh-CN" w:bidi="ar-SA"/>
        </w:rPr>
        <w:t>值3分，得分3分。</w:t>
      </w:r>
      <w:r>
        <w:rPr>
          <w:rFonts w:hint="eastAsia" w:ascii="仿宋_GB2312" w:hAnsi="仿宋_GB2312" w:eastAsia="仿宋_GB2312" w:cs="仿宋_GB2312"/>
          <w:sz w:val="32"/>
          <w:szCs w:val="32"/>
          <w:highlight w:val="none"/>
          <w:lang w:val="en-US" w:eastAsia="zh-CN"/>
        </w:rPr>
        <w:t>菏泽医学专科学校新校区</w:t>
      </w:r>
      <w:r>
        <w:rPr>
          <w:rFonts w:hint="eastAsia" w:ascii="仿宋_GB2312" w:hAnsi="仿宋_GB2312" w:eastAsia="仿宋_GB2312" w:cs="仿宋_GB2312"/>
          <w:sz w:val="32"/>
          <w:szCs w:val="32"/>
          <w:highlight w:val="none"/>
          <w:lang w:val="en-US" w:eastAsia="zh-CN" w:bidi="ar-SA"/>
        </w:rPr>
        <w:t>项目在《中国地方政府债券信息公开平台》及时、真实的公开项目信息，符合专项债券公开要求。</w:t>
      </w:r>
    </w:p>
    <w:p>
      <w:pPr>
        <w:bidi w:val="0"/>
        <w:ind w:firstLine="640" w:firstLineChars="200"/>
        <w:rPr>
          <w:rFonts w:hint="eastAsia" w:ascii="楷体" w:hAnsi="楷体" w:eastAsia="楷体" w:cs="楷体"/>
          <w:b w:val="0"/>
          <w:bCs w:val="0"/>
          <w:sz w:val="32"/>
          <w:szCs w:val="32"/>
          <w:lang w:val="en-US" w:eastAsia="zh-CN"/>
        </w:rPr>
      </w:pPr>
      <w:bookmarkStart w:id="17" w:name="_Toc9511"/>
      <w:r>
        <w:rPr>
          <w:rFonts w:hint="eastAsia" w:ascii="楷体" w:hAnsi="楷体" w:eastAsia="楷体" w:cs="楷体"/>
          <w:b w:val="0"/>
          <w:bCs w:val="0"/>
          <w:sz w:val="32"/>
          <w:szCs w:val="32"/>
          <w:lang w:val="en-US" w:eastAsia="zh-CN"/>
        </w:rPr>
        <w:t>（三）项目产出情况</w:t>
      </w:r>
      <w:bookmarkEnd w:id="15"/>
      <w:bookmarkEnd w:id="16"/>
      <w:bookmarkEnd w:id="17"/>
    </w:p>
    <w:p>
      <w:pPr>
        <w:pStyle w:val="2"/>
        <w:keepNext w:val="0"/>
        <w:keepLines w:val="0"/>
        <w:pageBreakBefore w:val="0"/>
        <w:widowControl/>
        <w:kinsoku/>
        <w:wordWrap/>
        <w:overflowPunct w:val="0"/>
        <w:topLinePunct w:val="0"/>
        <w:autoSpaceDE w:val="0"/>
        <w:autoSpaceDN w:val="0"/>
        <w:bidi w:val="0"/>
        <w:adjustRightInd w:val="0"/>
        <w:snapToGrid/>
        <w:spacing w:line="360" w:lineRule="auto"/>
        <w:ind w:left="0" w:leftChars="0" w:firstLine="640" w:firstLineChars="200"/>
        <w:textAlignment w:val="baseline"/>
        <w:rPr>
          <w:rFonts w:hint="default" w:ascii="仿宋_GB2312" w:hAnsi="Calibri" w:eastAsia="仿宋_GB2312" w:cs="Times New Roman"/>
          <w:sz w:val="32"/>
          <w:szCs w:val="32"/>
          <w:highlight w:val="none"/>
          <w:lang w:val="en-US" w:eastAsia="zh-CN" w:bidi="ar-SA"/>
        </w:rPr>
      </w:pPr>
      <w:r>
        <w:rPr>
          <w:rFonts w:hint="eastAsia" w:ascii="仿宋" w:hAnsi="仿宋" w:eastAsia="仿宋" w:cs="仿宋"/>
          <w:sz w:val="32"/>
          <w:szCs w:val="32"/>
          <w:highlight w:val="none"/>
        </w:rPr>
        <w:t>1</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lang w:val="en-US" w:eastAsia="zh-CN" w:bidi="ar-SA"/>
        </w:rPr>
        <w:t>产出数量指标分值12分，得分12分。</w:t>
      </w:r>
      <w:r>
        <w:rPr>
          <w:rFonts w:hint="eastAsia" w:ascii="仿宋_GB2312" w:hAnsi="仿宋_GB2312" w:eastAsia="仿宋_GB2312" w:cs="仿宋_GB2312"/>
          <w:sz w:val="32"/>
          <w:szCs w:val="32"/>
          <w:highlight w:val="none"/>
          <w:lang w:val="en-US" w:eastAsia="zh-CN"/>
        </w:rPr>
        <w:t>菏泽医学专科学校新校区项目制定了项目建设计划，项目建设计划完备。评价组进入施工现场查看施工情况，检查监理月报以及施工单位、建设单位、监理单位参加的周例会会议记录以获取建设实际完成数。由于项目还在建设中，项目计划建设主体建筑共34幢，截止评价日实际建设34幢，评价组根据实际情况将建设实际完成数与建设计划数进行分析比对，项目建设计划完成率达到100%。</w:t>
      </w:r>
    </w:p>
    <w:p>
      <w:pPr>
        <w:keepNext w:val="0"/>
        <w:keepLines w:val="0"/>
        <w:pageBreakBefore w:val="0"/>
        <w:widowControl/>
        <w:kinsoku/>
        <w:wordWrap/>
        <w:overflowPunct w:val="0"/>
        <w:topLinePunct w:val="0"/>
        <w:autoSpaceDE w:val="0"/>
        <w:autoSpaceDN w:val="0"/>
        <w:bidi w:val="0"/>
        <w:adjustRightInd w:val="0"/>
        <w:snapToGrid/>
        <w:spacing w:line="360" w:lineRule="auto"/>
        <w:ind w:firstLine="640" w:firstLineChars="200"/>
        <w:textAlignment w:val="baseline"/>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val="en-US" w:eastAsia="zh-CN"/>
        </w:rPr>
        <w:t>.产出质量</w:t>
      </w:r>
      <w:r>
        <w:rPr>
          <w:rFonts w:hint="eastAsia" w:ascii="仿宋_GB2312" w:hAnsi="仿宋_GB2312" w:eastAsia="仿宋_GB2312" w:cs="仿宋_GB2312"/>
          <w:sz w:val="32"/>
          <w:szCs w:val="32"/>
          <w:highlight w:val="none"/>
        </w:rPr>
        <w:t>指标分</w:t>
      </w:r>
      <w:r>
        <w:rPr>
          <w:rFonts w:hint="eastAsia" w:ascii="仿宋_GB2312" w:hAnsi="Calibri" w:eastAsia="仿宋_GB2312" w:cs="Times New Roman"/>
          <w:sz w:val="32"/>
          <w:szCs w:val="32"/>
          <w:highlight w:val="none"/>
          <w:lang w:val="en-US" w:eastAsia="zh-CN" w:bidi="ar-SA"/>
        </w:rPr>
        <w:t>值12分，得分12分。基于项目特点，我们设置建筑材料检测合格率和过程验收合格率两个指标来进行质量评价。评价组核验材料进场相关制度执行情况</w:t>
      </w:r>
      <w:r>
        <w:rPr>
          <w:rFonts w:hint="eastAsia" w:ascii="仿宋" w:hAnsi="仿宋" w:eastAsia="仿宋" w:cs="仿宋"/>
          <w:sz w:val="32"/>
          <w:szCs w:val="32"/>
          <w:highlight w:val="none"/>
          <w:lang w:val="en-US" w:eastAsia="zh-CN" w:bidi="ar-SA"/>
        </w:rPr>
        <w:t>，</w:t>
      </w:r>
      <w:r>
        <w:rPr>
          <w:rFonts w:hint="eastAsia" w:ascii="仿宋_GB2312" w:hAnsi="仿宋_GB2312" w:eastAsia="仿宋_GB2312" w:cs="仿宋_GB2312"/>
          <w:sz w:val="32"/>
          <w:szCs w:val="32"/>
          <w:highlight w:val="none"/>
          <w:lang w:val="en-US" w:eastAsia="zh-CN"/>
        </w:rPr>
        <w:t>菏泽医学专科学校新校区项目建设施工过程中用到的各种建筑材料完全按照要求及时检测并出具检测报告，进场报验单、材料检测报告等资料齐全且按时归档。评价组抽取了50份包括钢筋、水泥、蒸压加气混凝土砌块等材料的检测报告，建筑材料检测合格率100%，达到目标值要求。</w:t>
      </w:r>
    </w:p>
    <w:p>
      <w:pPr>
        <w:keepNext w:val="0"/>
        <w:keepLines w:val="0"/>
        <w:pageBreakBefore w:val="0"/>
        <w:widowControl/>
        <w:kinsoku/>
        <w:wordWrap/>
        <w:overflowPunct w:val="0"/>
        <w:topLinePunct w:val="0"/>
        <w:autoSpaceDE w:val="0"/>
        <w:autoSpaceDN w:val="0"/>
        <w:bidi w:val="0"/>
        <w:adjustRightInd w:val="0"/>
        <w:snapToGrid/>
        <w:spacing w:line="360" w:lineRule="auto"/>
        <w:ind w:firstLine="640" w:firstLineChars="200"/>
        <w:textAlignment w:val="baseline"/>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评价组对项目施工过程中保证工程质量的相关制度和执行情况进行了跟踪评价。建设施工过程中按照行业规范进行了相应的过程验收、过程审查、和分步分项验收等工作，监理单位对发现的问题向施工单位提交监理通知单和隐患整改通知书，施工单位整改完成后提交整改报告书。评价组查阅了监理通知单、隐患整改报告书、监理月报等材料，截止评价日两个月前监理单位提出的整改要求，施工单位均按时整改完成并且提报整改通知单。截止评价日前两个月监理单位提出的个别问题，由于工艺比较复杂尚未整改完成，监理单位会在例行检查中对尚未整改的问题再次提交监理通知单，评价组通过检查监理月报、周例会会议记录和现场查看的方式来确认施工单位正在对现存的问题进行整改。</w:t>
      </w:r>
    </w:p>
    <w:p>
      <w:pPr>
        <w:pStyle w:val="2"/>
        <w:keepNext w:val="0"/>
        <w:keepLines w:val="0"/>
        <w:pageBreakBefore w:val="0"/>
        <w:widowControl/>
        <w:numPr>
          <w:ilvl w:val="0"/>
          <w:numId w:val="0"/>
        </w:numPr>
        <w:kinsoku/>
        <w:wordWrap/>
        <w:overflowPunct w:val="0"/>
        <w:topLinePunct w:val="0"/>
        <w:autoSpaceDE w:val="0"/>
        <w:autoSpaceDN w:val="0"/>
        <w:bidi w:val="0"/>
        <w:adjustRightInd w:val="0"/>
        <w:snapToGrid/>
        <w:spacing w:line="600" w:lineRule="exact"/>
        <w:ind w:firstLine="640" w:firstLineChars="200"/>
        <w:textAlignment w:val="baseline"/>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3.产出时效</w:t>
      </w:r>
      <w:r>
        <w:rPr>
          <w:rFonts w:hint="eastAsia" w:ascii="仿宋_GB2312" w:hAnsi="仿宋_GB2312" w:eastAsia="仿宋_GB2312" w:cs="仿宋_GB2312"/>
          <w:sz w:val="32"/>
          <w:szCs w:val="32"/>
          <w:highlight w:val="none"/>
        </w:rPr>
        <w:t>指标分</w:t>
      </w:r>
      <w:r>
        <w:rPr>
          <w:rFonts w:hint="eastAsia" w:ascii="仿宋_GB2312" w:hAnsi="仿宋_GB2312" w:eastAsia="仿宋_GB2312" w:cs="仿宋_GB2312"/>
          <w:sz w:val="32"/>
          <w:szCs w:val="32"/>
          <w:highlight w:val="none"/>
          <w:lang w:val="en-US" w:eastAsia="zh-CN"/>
        </w:rPr>
        <w:t>值12分，得分0分。菏泽医学专科学校新校区项目制定了建设进度计划，建设计划清晰、进度时间点明确。根据建设计划及工程施工合同，菏泽医专新校区（东区）约定预2022年6月30日前完成项目所有内容的的工程施工，具备使用条件；菏泽医专新校区（西区）约定：2022年10月31日前完成项目所有内容的的工程施工，具备使用条件；根据2021年9月2日召开的《菏泽医专建设推进会的要求》，新校区需在2022年6月底前完成建设任务，9月份开学时建成投入使用。截止评价日，项目主体建筑共34幢已经全部开工，其中18幢建筑主体已经建设完成，7幢正在进行二次结构施工，16幢建筑主体尚在建设中，项目整体建设进度及时率低于60%，扣除相应权重的分值12分。目前建设单位调整了施工进度计划，评价组通过现场勘查与建设单位提供的施工进度表相比较，截止评价日，施工进度中应当完成的分部工程都已经完成。</w:t>
      </w:r>
    </w:p>
    <w:p>
      <w:pPr>
        <w:pStyle w:val="2"/>
        <w:keepNext w:val="0"/>
        <w:keepLines w:val="0"/>
        <w:pageBreakBefore w:val="0"/>
        <w:widowControl/>
        <w:numPr>
          <w:ilvl w:val="0"/>
          <w:numId w:val="0"/>
        </w:numPr>
        <w:kinsoku/>
        <w:wordWrap/>
        <w:overflowPunct w:val="0"/>
        <w:topLinePunct w:val="0"/>
        <w:autoSpaceDE w:val="0"/>
        <w:autoSpaceDN w:val="0"/>
        <w:bidi w:val="0"/>
        <w:adjustRightInd w:val="0"/>
        <w:snapToGrid/>
        <w:spacing w:line="600" w:lineRule="exact"/>
        <w:ind w:firstLine="640" w:firstLineChars="200"/>
        <w:textAlignment w:val="baseline"/>
        <w:rPr>
          <w:rFonts w:hint="default" w:ascii="仿宋_GB2312" w:hAnsi="Calibri" w:eastAsia="仿宋_GB2312" w:cs="Times New Roman"/>
          <w:sz w:val="32"/>
          <w:szCs w:val="32"/>
          <w:highlight w:val="none"/>
          <w:lang w:val="en-US" w:eastAsia="zh-CN" w:bidi="ar-SA"/>
        </w:rPr>
      </w:pPr>
      <w:r>
        <w:rPr>
          <w:rFonts w:hint="eastAsia" w:ascii="仿宋_GB2312" w:hAnsi="仿宋_GB2312" w:eastAsia="仿宋_GB2312" w:cs="仿宋_GB2312"/>
          <w:sz w:val="32"/>
          <w:szCs w:val="32"/>
          <w:highlight w:val="none"/>
          <w:lang w:val="en-US" w:eastAsia="zh-CN"/>
        </w:rPr>
        <w:t>4.产出成</w:t>
      </w:r>
      <w:r>
        <w:rPr>
          <w:rFonts w:hint="eastAsia" w:ascii="仿宋_GB2312" w:hAnsi="Calibri" w:eastAsia="仿宋_GB2312" w:cs="Times New Roman"/>
          <w:sz w:val="32"/>
          <w:szCs w:val="32"/>
          <w:highlight w:val="none"/>
          <w:lang w:val="en-US" w:eastAsia="zh-CN" w:bidi="ar-SA"/>
        </w:rPr>
        <w:t>本指标分值9分，得分9分。</w:t>
      </w:r>
      <w:r>
        <w:rPr>
          <w:rFonts w:hint="eastAsia" w:ascii="仿宋_GB2312" w:hAnsi="仿宋_GB2312" w:eastAsia="仿宋_GB2312" w:cs="仿宋_GB2312"/>
          <w:sz w:val="32"/>
          <w:szCs w:val="32"/>
          <w:highlight w:val="none"/>
          <w:lang w:val="en-US" w:eastAsia="zh-CN"/>
        </w:rPr>
        <w:t>由于菏泽医学专科学校新校区项目还在建设中，评价组通过项目已经完工的进度与实际发生的项目支出进行分析，项目工程整体建设成本支出与建设计划进度匹配。评价组抽取了项目实施过程中已经支出完成的勘察设计费、招标代理费、前期工程咨询费等资料，将预算金额与实际支出金额比较分析，实际支出金额均小于预算金额，成本支出控制率达到100%</w:t>
      </w:r>
      <w:r>
        <w:rPr>
          <w:rFonts w:hint="eastAsia" w:ascii="Times New Roman" w:hAnsi="Times New Roman" w:eastAsia="仿宋" w:cs="Times New Roman"/>
          <w:sz w:val="32"/>
          <w:szCs w:val="32"/>
          <w:highlight w:val="none"/>
          <w:lang w:val="en-US" w:eastAsia="zh-CN"/>
        </w:rPr>
        <w:t>。</w:t>
      </w:r>
    </w:p>
    <w:p>
      <w:pPr>
        <w:bidi w:val="0"/>
        <w:ind w:firstLine="640" w:firstLineChars="200"/>
        <w:rPr>
          <w:rFonts w:hint="eastAsia" w:ascii="楷体" w:hAnsi="楷体" w:eastAsia="楷体" w:cs="楷体"/>
          <w:b w:val="0"/>
          <w:bCs w:val="0"/>
          <w:sz w:val="32"/>
          <w:szCs w:val="32"/>
          <w:lang w:val="en-US" w:eastAsia="zh-CN"/>
        </w:rPr>
      </w:pPr>
      <w:bookmarkStart w:id="18" w:name="_Toc18645"/>
      <w:bookmarkStart w:id="19" w:name="_Toc26036"/>
      <w:bookmarkStart w:id="20" w:name="_Toc8711"/>
      <w:r>
        <w:rPr>
          <w:rFonts w:hint="eastAsia" w:ascii="楷体" w:hAnsi="楷体" w:eastAsia="楷体" w:cs="楷体"/>
          <w:b w:val="0"/>
          <w:bCs w:val="0"/>
          <w:sz w:val="32"/>
          <w:szCs w:val="32"/>
          <w:lang w:val="en-US" w:eastAsia="zh-CN"/>
        </w:rPr>
        <w:t>（四）项目效益情况</w:t>
      </w:r>
      <w:bookmarkEnd w:id="18"/>
      <w:bookmarkEnd w:id="19"/>
      <w:bookmarkEnd w:id="20"/>
    </w:p>
    <w:p>
      <w:pPr>
        <w:pStyle w:val="2"/>
        <w:keepNext w:val="0"/>
        <w:keepLines w:val="0"/>
        <w:pageBreakBefore w:val="0"/>
        <w:widowControl/>
        <w:kinsoku/>
        <w:wordWrap/>
        <w:overflowPunct w:val="0"/>
        <w:topLinePunct w:val="0"/>
        <w:autoSpaceDE w:val="0"/>
        <w:autoSpaceDN w:val="0"/>
        <w:bidi w:val="0"/>
        <w:adjustRightInd w:val="0"/>
        <w:snapToGrid/>
        <w:spacing w:line="360" w:lineRule="auto"/>
        <w:ind w:left="0" w:leftChars="0" w:firstLine="640" w:firstLineChars="200"/>
        <w:textAlignment w:val="baseline"/>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人才培养和办学层次带动情况指标分值1</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分，得分1</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分</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主管部门、使用单位、周边群众满意度指标分值5分，得分</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分。</w:t>
      </w:r>
      <w:r>
        <w:rPr>
          <w:rFonts w:hint="eastAsia" w:ascii="仿宋_GB2312" w:hAnsi="仿宋_GB2312" w:eastAsia="仿宋_GB2312" w:cs="仿宋_GB2312"/>
          <w:sz w:val="32"/>
          <w:szCs w:val="32"/>
          <w:highlight w:val="none"/>
          <w:lang w:val="en-US" w:eastAsia="zh-CN"/>
        </w:rPr>
        <w:t>由于项目仍在建设中，新校区所带来的的各项效益还未得到实现，评价组选择对不同单位实行差异化调查的方式来获取满意度指标。评价组对主管单位采用访谈的形式，对使用单位、建设单位、施工单位、周边群众采用调查问卷的方式，针对不同的群体我们设置了不同问题来提高满意度指标的精准度。由于针对不同调查对象调查问卷的问题不同，我们通过线下逐个单位调查的方式来实现差异化调查。</w:t>
      </w:r>
    </w:p>
    <w:p>
      <w:pPr>
        <w:pStyle w:val="2"/>
        <w:keepNext w:val="0"/>
        <w:keepLines w:val="0"/>
        <w:pageBreakBefore w:val="0"/>
        <w:widowControl/>
        <w:kinsoku/>
        <w:wordWrap/>
        <w:overflowPunct w:val="0"/>
        <w:topLinePunct w:val="0"/>
        <w:autoSpaceDE w:val="0"/>
        <w:autoSpaceDN w:val="0"/>
        <w:bidi w:val="0"/>
        <w:adjustRightInd w:val="0"/>
        <w:snapToGrid/>
        <w:spacing w:line="360" w:lineRule="auto"/>
        <w:ind w:left="0" w:leftChars="0" w:firstLine="640" w:firstLineChars="200"/>
        <w:textAlignment w:val="baseline"/>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评价组对项目使用单位以及主管部门就菏泽医学专科学校新校区项目进行了访谈，使用单位以及主管部门对项目表示满意。在满意度社会调查中，评价组总共收回212份问卷，其中100%的被调查者认为菏泽医学专科学校新校区项目建设有利于带动医学人才培养、办学层次提高，93.99%被调查者对菏泽医学专科学校新校区项目表示非常满意或者满意，96.5%的被调查者认为菏泽医学专科学校新校区的建设能带动周边经济氛围。</w:t>
      </w:r>
    </w:p>
    <w:p>
      <w:pPr>
        <w:bidi w:val="0"/>
        <w:ind w:firstLine="640" w:firstLineChars="200"/>
        <w:rPr>
          <w:rFonts w:hint="eastAsia" w:ascii="黑体" w:hAnsi="黑体" w:eastAsia="黑体" w:cs="黑体"/>
          <w:b w:val="0"/>
          <w:bCs w:val="0"/>
          <w:sz w:val="32"/>
          <w:szCs w:val="32"/>
          <w:lang w:val="en-US" w:eastAsia="zh-CN"/>
        </w:rPr>
      </w:pPr>
      <w:bookmarkStart w:id="21" w:name="_Toc29725"/>
      <w:r>
        <w:rPr>
          <w:rFonts w:hint="eastAsia" w:ascii="黑体" w:hAnsi="黑体" w:eastAsia="黑体" w:cs="黑体"/>
          <w:b w:val="0"/>
          <w:bCs w:val="0"/>
          <w:sz w:val="32"/>
          <w:szCs w:val="32"/>
          <w:lang w:val="en-US" w:eastAsia="zh-CN"/>
        </w:rPr>
        <w:t>四、项目主要经验及做法</w:t>
      </w:r>
      <w:bookmarkEnd w:id="21"/>
    </w:p>
    <w:p>
      <w:pPr>
        <w:pStyle w:val="2"/>
        <w:keepNext w:val="0"/>
        <w:keepLines w:val="0"/>
        <w:pageBreakBefore w:val="0"/>
        <w:widowControl/>
        <w:kinsoku/>
        <w:wordWrap/>
        <w:overflowPunct w:val="0"/>
        <w:topLinePunct w:val="0"/>
        <w:autoSpaceDE w:val="0"/>
        <w:autoSpaceDN w:val="0"/>
        <w:bidi w:val="0"/>
        <w:adjustRightInd w:val="0"/>
        <w:snapToGrid/>
        <w:spacing w:line="360" w:lineRule="auto"/>
        <w:ind w:left="0" w:leftChars="0" w:firstLine="640" w:firstLineChars="200"/>
        <w:textAlignment w:val="baseline"/>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为提高项目现代化建设水平，本项目采用了多项新技术应用和安全管控措施，并取得了山东省建筑施工安全文明标准化工地等荣誉称号。具体情况如下：</w:t>
      </w:r>
    </w:p>
    <w:p>
      <w:pPr>
        <w:bidi w:val="0"/>
        <w:ind w:firstLine="640" w:firstLineChars="200"/>
        <w:rPr>
          <w:rFonts w:hint="eastAsia" w:ascii="楷体" w:hAnsi="楷体" w:eastAsia="楷体" w:cs="楷体"/>
          <w:b w:val="0"/>
          <w:bCs w:val="0"/>
          <w:sz w:val="32"/>
          <w:szCs w:val="32"/>
          <w:lang w:val="en-US" w:eastAsia="zh-CN"/>
        </w:rPr>
      </w:pPr>
      <w:bookmarkStart w:id="22" w:name="_Toc20327"/>
      <w:bookmarkStart w:id="23" w:name="_Toc13153"/>
      <w:r>
        <w:rPr>
          <w:rFonts w:hint="eastAsia" w:ascii="楷体" w:hAnsi="楷体" w:eastAsia="楷体" w:cs="楷体"/>
          <w:b w:val="0"/>
          <w:bCs w:val="0"/>
          <w:sz w:val="32"/>
          <w:szCs w:val="32"/>
          <w:lang w:val="en-US" w:eastAsia="zh-CN"/>
        </w:rPr>
        <w:t>（一）施工过程成本控制严谨</w:t>
      </w:r>
      <w:bookmarkEnd w:id="22"/>
      <w:bookmarkEnd w:id="23"/>
    </w:p>
    <w:p>
      <w:pPr>
        <w:pStyle w:val="2"/>
        <w:numPr>
          <w:ilvl w:val="0"/>
          <w:numId w:val="0"/>
        </w:numPr>
        <w:spacing w:line="360" w:lineRule="auto"/>
        <w:ind w:firstLine="640" w:firstLineChars="200"/>
        <w:rPr>
          <w:rFonts w:hint="eastAsia" w:ascii="仿宋" w:hAnsi="仿宋" w:eastAsia="仿宋" w:cs="仿宋"/>
          <w:sz w:val="32"/>
          <w:szCs w:val="32"/>
          <w:highlight w:val="none"/>
          <w:lang w:val="en-US" w:eastAsia="zh-CN" w:bidi="ar-SA"/>
        </w:rPr>
      </w:pPr>
      <w:r>
        <w:rPr>
          <w:rFonts w:hint="eastAsia" w:ascii="仿宋" w:hAnsi="仿宋" w:eastAsia="仿宋" w:cs="仿宋"/>
          <w:sz w:val="32"/>
          <w:szCs w:val="32"/>
          <w:highlight w:val="none"/>
          <w:lang w:val="en-US" w:eastAsia="zh-CN" w:bidi="ar-SA"/>
        </w:rPr>
        <w:t>为严格控制施工成本，高效利用财政资金，建设单位严格把控每个施工环节和工艺，对施工图纸和工艺进行了优化，以达到加快进度、节约成本的目标。根据现场实际情况和施工条件，建设单位及时与设计方沟通，将外墙饰面砖变更为了外墙真石漆，既节省了投资又加快了施工进度，做到又快又好的推进项目建设。</w:t>
      </w:r>
    </w:p>
    <w:p>
      <w:pPr>
        <w:bidi w:val="0"/>
        <w:ind w:firstLine="640" w:firstLineChars="200"/>
        <w:rPr>
          <w:rFonts w:hint="eastAsia" w:ascii="楷体" w:hAnsi="楷体" w:eastAsia="楷体" w:cs="楷体"/>
          <w:b w:val="0"/>
          <w:bCs w:val="0"/>
          <w:sz w:val="32"/>
          <w:szCs w:val="32"/>
          <w:lang w:val="en-US" w:eastAsia="zh-CN"/>
        </w:rPr>
      </w:pPr>
      <w:bookmarkStart w:id="24" w:name="_Toc1498"/>
      <w:bookmarkStart w:id="25" w:name="_Toc21105"/>
      <w:r>
        <w:rPr>
          <w:rFonts w:hint="eastAsia" w:ascii="楷体" w:hAnsi="楷体" w:eastAsia="楷体" w:cs="楷体"/>
          <w:b w:val="0"/>
          <w:bCs w:val="0"/>
          <w:sz w:val="32"/>
          <w:szCs w:val="32"/>
          <w:lang w:val="en-US" w:eastAsia="zh-CN"/>
        </w:rPr>
        <w:t>（二）现场安全和质量管控力度强</w:t>
      </w:r>
      <w:bookmarkEnd w:id="24"/>
      <w:bookmarkEnd w:id="25"/>
    </w:p>
    <w:p>
      <w:pPr>
        <w:pStyle w:val="2"/>
        <w:numPr>
          <w:ilvl w:val="0"/>
          <w:numId w:val="0"/>
        </w:numPr>
        <w:spacing w:line="360" w:lineRule="auto"/>
        <w:ind w:firstLine="640" w:firstLineChars="200"/>
        <w:rPr>
          <w:rFonts w:hint="eastAsia" w:ascii="仿宋" w:hAnsi="仿宋" w:eastAsia="仿宋" w:cs="仿宋"/>
          <w:sz w:val="32"/>
          <w:szCs w:val="32"/>
          <w:highlight w:val="none"/>
          <w:lang w:val="en-US" w:eastAsia="zh-CN" w:bidi="ar-SA"/>
        </w:rPr>
      </w:pPr>
      <w:r>
        <w:rPr>
          <w:rFonts w:hint="eastAsia" w:ascii="仿宋" w:hAnsi="仿宋" w:eastAsia="仿宋" w:cs="仿宋"/>
          <w:sz w:val="32"/>
          <w:szCs w:val="32"/>
          <w:highlight w:val="none"/>
          <w:lang w:val="en-US" w:eastAsia="zh-CN" w:bidi="ar-SA"/>
        </w:rPr>
        <w:t>从项目建设初期，建设单位对各参建单位在质量管控和安全文明施工方面提出严格要求，力争将本项目打造成样板工程、精品工程。在施工过程中，施工单位严格按规范和标准施工，严格落实省市安全文明工地相关要求。2022年度，本项目C-1图书馆获2021年山东省安全文明标准化工地荣誉称号，B-5实训楼获山东省优质结构杯荣誉称号，体现了较好的管理水平。</w:t>
      </w:r>
    </w:p>
    <w:p>
      <w:pPr>
        <w:bidi w:val="0"/>
        <w:ind w:firstLine="640" w:firstLineChars="200"/>
        <w:rPr>
          <w:rFonts w:hint="eastAsia" w:ascii="楷体" w:hAnsi="楷体" w:eastAsia="楷体" w:cs="楷体"/>
          <w:b w:val="0"/>
          <w:bCs w:val="0"/>
          <w:sz w:val="32"/>
          <w:szCs w:val="32"/>
          <w:lang w:val="en-US" w:eastAsia="zh-CN"/>
        </w:rPr>
      </w:pPr>
      <w:bookmarkStart w:id="26" w:name="_Toc4799"/>
      <w:bookmarkStart w:id="27" w:name="_Toc2652"/>
      <w:r>
        <w:rPr>
          <w:rFonts w:hint="eastAsia" w:ascii="楷体" w:hAnsi="楷体" w:eastAsia="楷体" w:cs="楷体"/>
          <w:b w:val="0"/>
          <w:bCs w:val="0"/>
          <w:sz w:val="32"/>
          <w:szCs w:val="32"/>
          <w:lang w:val="en-US" w:eastAsia="zh-CN"/>
        </w:rPr>
        <w:t>（三）积极引进新工艺，落实低碳环保节能措施</w:t>
      </w:r>
      <w:bookmarkEnd w:id="26"/>
      <w:bookmarkEnd w:id="27"/>
    </w:p>
    <w:p>
      <w:pPr>
        <w:pStyle w:val="2"/>
        <w:numPr>
          <w:ilvl w:val="0"/>
          <w:numId w:val="0"/>
        </w:numPr>
        <w:spacing w:line="360" w:lineRule="auto"/>
        <w:ind w:firstLine="640" w:firstLineChars="200"/>
        <w:rPr>
          <w:rFonts w:hint="eastAsia" w:ascii="仿宋" w:hAnsi="仿宋" w:eastAsia="仿宋" w:cs="仿宋"/>
          <w:sz w:val="32"/>
          <w:szCs w:val="32"/>
          <w:highlight w:val="none"/>
          <w:lang w:val="en-US" w:eastAsia="zh-CN" w:bidi="ar-SA"/>
        </w:rPr>
      </w:pPr>
      <w:r>
        <w:rPr>
          <w:rFonts w:hint="eastAsia" w:ascii="仿宋" w:hAnsi="仿宋" w:eastAsia="仿宋" w:cs="仿宋"/>
          <w:sz w:val="32"/>
          <w:szCs w:val="32"/>
          <w:highlight w:val="none"/>
          <w:lang w:val="en-US" w:eastAsia="zh-CN" w:bidi="ar-SA"/>
        </w:rPr>
        <w:t>项目改变了二次结构传统加气块砌筑方式，在不增加综合造价的前提下，引进ALC一体板和陶粒板施工工艺，落实低碳环保节能措施。</w:t>
      </w:r>
    </w:p>
    <w:p>
      <w:pPr>
        <w:bidi w:val="0"/>
        <w:ind w:firstLine="640" w:firstLineChars="200"/>
        <w:rPr>
          <w:rFonts w:hint="eastAsia" w:ascii="黑体" w:hAnsi="黑体" w:eastAsia="黑体" w:cs="黑体"/>
          <w:b w:val="0"/>
          <w:bCs w:val="0"/>
          <w:sz w:val="32"/>
          <w:szCs w:val="32"/>
          <w:lang w:val="en-US" w:eastAsia="zh-CN"/>
        </w:rPr>
      </w:pPr>
      <w:bookmarkStart w:id="28" w:name="_Toc32707"/>
      <w:r>
        <w:rPr>
          <w:rFonts w:hint="eastAsia" w:ascii="黑体" w:hAnsi="黑体" w:eastAsia="黑体" w:cs="黑体"/>
          <w:b w:val="0"/>
          <w:bCs w:val="0"/>
          <w:sz w:val="32"/>
          <w:szCs w:val="32"/>
          <w:lang w:val="en-US" w:eastAsia="zh-CN"/>
        </w:rPr>
        <w:t>五、存在的问题及原因分析</w:t>
      </w:r>
      <w:bookmarkEnd w:id="28"/>
    </w:p>
    <w:p>
      <w:pPr>
        <w:bidi w:val="0"/>
        <w:ind w:firstLine="640" w:firstLineChars="200"/>
        <w:rPr>
          <w:rFonts w:hint="eastAsia" w:ascii="楷体" w:hAnsi="楷体" w:eastAsia="楷体" w:cs="楷体"/>
          <w:b w:val="0"/>
          <w:bCs w:val="0"/>
          <w:sz w:val="32"/>
          <w:szCs w:val="32"/>
          <w:lang w:val="en-US" w:eastAsia="zh-CN"/>
        </w:rPr>
      </w:pPr>
      <w:bookmarkStart w:id="29" w:name="_Toc14099"/>
      <w:bookmarkStart w:id="30" w:name="_Toc31594"/>
      <w:bookmarkStart w:id="31" w:name="_Toc25732"/>
      <w:bookmarkStart w:id="32" w:name="_Toc1267"/>
      <w:bookmarkStart w:id="33" w:name="_Toc21185"/>
      <w:bookmarkStart w:id="34" w:name="_Toc19876"/>
      <w:bookmarkStart w:id="35" w:name="_Toc1954"/>
      <w:bookmarkStart w:id="36" w:name="_Toc21964"/>
      <w:bookmarkStart w:id="37" w:name="_Toc15867"/>
      <w:r>
        <w:rPr>
          <w:rFonts w:hint="eastAsia" w:ascii="楷体" w:hAnsi="楷体" w:eastAsia="楷体" w:cs="楷体"/>
          <w:b w:val="0"/>
          <w:bCs w:val="0"/>
          <w:sz w:val="32"/>
          <w:szCs w:val="32"/>
          <w:lang w:val="en-US" w:eastAsia="zh-CN"/>
        </w:rPr>
        <w:t>（一）项目建设进度滞后</w:t>
      </w:r>
      <w:bookmarkEnd w:id="29"/>
      <w:bookmarkEnd w:id="30"/>
      <w:bookmarkEnd w:id="31"/>
      <w:bookmarkEnd w:id="32"/>
      <w:bookmarkEnd w:id="33"/>
      <w:bookmarkEnd w:id="34"/>
    </w:p>
    <w:p>
      <w:pPr>
        <w:bidi w:val="0"/>
        <w:spacing w:line="360" w:lineRule="auto"/>
        <w:ind w:firstLine="640" w:firstLineChars="200"/>
        <w:rPr>
          <w:rFonts w:hint="eastAsia" w:ascii="仿宋" w:hAnsi="仿宋" w:eastAsia="仿宋" w:cs="仿宋"/>
          <w:sz w:val="32"/>
          <w:szCs w:val="32"/>
          <w:lang w:val="en-US" w:eastAsia="zh-CN"/>
        </w:rPr>
      </w:pPr>
      <w:bookmarkStart w:id="38" w:name="_Toc13856"/>
      <w:bookmarkStart w:id="39" w:name="_Toc23940"/>
      <w:bookmarkStart w:id="40" w:name="_Toc725"/>
      <w:bookmarkStart w:id="41" w:name="_Toc1395"/>
      <w:bookmarkStart w:id="42" w:name="_Toc20696"/>
      <w:bookmarkStart w:id="43" w:name="_Toc12591"/>
      <w:r>
        <w:rPr>
          <w:rFonts w:hint="eastAsia" w:ascii="仿宋" w:hAnsi="仿宋" w:eastAsia="仿宋" w:cs="仿宋"/>
          <w:sz w:val="32"/>
          <w:szCs w:val="32"/>
          <w:lang w:val="en-US" w:eastAsia="zh-CN"/>
        </w:rPr>
        <w:t>截止评价日，项目主体建筑共34幢已经全部开工，其中18幢建筑主体已经建设完成，7幢正在进行二次结构施工，16幢建筑主体尚在建设中，还有100亩土地尚未完成征收拆迁，项目建设进度滞后。</w:t>
      </w:r>
      <w:bookmarkEnd w:id="38"/>
      <w:bookmarkEnd w:id="39"/>
      <w:bookmarkEnd w:id="40"/>
      <w:bookmarkEnd w:id="41"/>
      <w:bookmarkEnd w:id="42"/>
      <w:bookmarkEnd w:id="43"/>
      <w:r>
        <w:rPr>
          <w:rFonts w:hint="eastAsia" w:ascii="仿宋_GB2312" w:hAnsi="仿宋_GB2312" w:eastAsia="仿宋_GB2312" w:cs="仿宋_GB2312"/>
          <w:sz w:val="32"/>
          <w:szCs w:val="32"/>
          <w:highlight w:val="none"/>
          <w:lang w:val="en-US" w:eastAsia="zh-CN"/>
        </w:rPr>
        <w:t>经进一步了解，主要是因为项目建设在拆迁清障过程中花费的时间大于计划时间以及疫情防控等因素，导致项目建设进度滞后。</w:t>
      </w:r>
    </w:p>
    <w:p>
      <w:pPr>
        <w:bidi w:val="0"/>
        <w:ind w:firstLine="640" w:firstLineChars="200"/>
        <w:rPr>
          <w:rFonts w:hint="eastAsia" w:ascii="楷体" w:hAnsi="楷体" w:eastAsia="楷体" w:cs="楷体"/>
          <w:b w:val="0"/>
          <w:bCs w:val="0"/>
          <w:sz w:val="32"/>
          <w:szCs w:val="32"/>
          <w:lang w:val="en-US" w:eastAsia="zh-CN"/>
        </w:rPr>
      </w:pPr>
      <w:bookmarkStart w:id="44" w:name="_Toc22333"/>
      <w:bookmarkStart w:id="45" w:name="_Toc5706"/>
      <w:bookmarkStart w:id="46" w:name="_Toc24427"/>
      <w:bookmarkStart w:id="47" w:name="_Toc19388"/>
      <w:bookmarkStart w:id="48" w:name="_Toc12378"/>
      <w:bookmarkStart w:id="49" w:name="_Toc22851"/>
      <w:r>
        <w:rPr>
          <w:rFonts w:hint="eastAsia" w:ascii="楷体" w:hAnsi="楷体" w:eastAsia="楷体" w:cs="楷体"/>
          <w:b w:val="0"/>
          <w:bCs w:val="0"/>
          <w:sz w:val="32"/>
          <w:szCs w:val="32"/>
          <w:lang w:val="en-US" w:eastAsia="zh-CN"/>
        </w:rPr>
        <w:t>（二）政府专项债券资金未通过专户核算</w:t>
      </w:r>
      <w:bookmarkEnd w:id="44"/>
      <w:bookmarkEnd w:id="45"/>
      <w:bookmarkEnd w:id="46"/>
      <w:bookmarkEnd w:id="47"/>
      <w:bookmarkEnd w:id="48"/>
      <w:bookmarkEnd w:id="49"/>
    </w:p>
    <w:p>
      <w:pPr>
        <w:bidi w:val="0"/>
        <w:spacing w:line="360" w:lineRule="auto"/>
        <w:ind w:firstLine="640" w:firstLineChars="200"/>
        <w:rPr>
          <w:rFonts w:hint="default" w:ascii="仿宋" w:hAnsi="仿宋" w:eastAsia="仿宋" w:cs="仿宋"/>
          <w:sz w:val="32"/>
          <w:szCs w:val="32"/>
          <w:lang w:val="en-US" w:eastAsia="zh-CN"/>
        </w:rPr>
      </w:pPr>
      <w:bookmarkStart w:id="50" w:name="_Toc9798"/>
      <w:bookmarkStart w:id="51" w:name="_Toc24150"/>
      <w:bookmarkStart w:id="52" w:name="_Toc30074"/>
      <w:bookmarkStart w:id="53" w:name="_Toc7965"/>
      <w:bookmarkStart w:id="54" w:name="_Toc26213"/>
      <w:bookmarkStart w:id="55" w:name="_Toc9328"/>
      <w:r>
        <w:rPr>
          <w:rFonts w:hint="eastAsia" w:ascii="仿宋" w:hAnsi="仿宋" w:eastAsia="仿宋" w:cs="仿宋"/>
          <w:sz w:val="32"/>
          <w:szCs w:val="32"/>
          <w:lang w:val="en-US" w:eastAsia="zh-CN"/>
        </w:rPr>
        <w:t>截止评价日，财政拨付菏泽医学专科学校新校区项目地方政府专项债券资金54000万元，建设单位对于收到政府专项债券资金未进行专户核算，不符合地方政府专项债券资金管理相关要求。</w:t>
      </w:r>
      <w:bookmarkEnd w:id="50"/>
      <w:bookmarkEnd w:id="51"/>
      <w:bookmarkEnd w:id="52"/>
      <w:bookmarkEnd w:id="53"/>
      <w:bookmarkEnd w:id="54"/>
      <w:bookmarkEnd w:id="55"/>
      <w:r>
        <w:rPr>
          <w:rFonts w:hint="eastAsia" w:ascii="仿宋" w:hAnsi="仿宋" w:eastAsia="仿宋" w:cs="仿宋"/>
          <w:sz w:val="32"/>
          <w:szCs w:val="32"/>
          <w:lang w:val="en-US" w:eastAsia="zh-CN"/>
        </w:rPr>
        <w:t>主要是因为建设单位对债券管理相关政策了解不充分。</w:t>
      </w:r>
    </w:p>
    <w:p>
      <w:pPr>
        <w:bidi w:val="0"/>
        <w:ind w:firstLine="640" w:firstLineChars="200"/>
        <w:rPr>
          <w:rFonts w:hint="default" w:ascii="楷体" w:hAnsi="楷体" w:eastAsia="楷体" w:cs="楷体"/>
          <w:b w:val="0"/>
          <w:bCs w:val="0"/>
          <w:sz w:val="32"/>
          <w:szCs w:val="32"/>
          <w:lang w:val="en-US" w:eastAsia="zh-CN"/>
        </w:rPr>
      </w:pPr>
      <w:bookmarkStart w:id="56" w:name="_Toc17491"/>
      <w:bookmarkStart w:id="57" w:name="_Toc1315"/>
      <w:bookmarkStart w:id="58" w:name="_Toc30674"/>
      <w:bookmarkStart w:id="59" w:name="_Toc11305"/>
      <w:bookmarkStart w:id="60" w:name="_Toc14090"/>
      <w:bookmarkStart w:id="61" w:name="_Toc5807"/>
      <w:r>
        <w:rPr>
          <w:rFonts w:hint="eastAsia" w:ascii="楷体" w:hAnsi="楷体" w:eastAsia="楷体" w:cs="楷体"/>
          <w:b w:val="0"/>
          <w:bCs w:val="0"/>
          <w:sz w:val="32"/>
          <w:szCs w:val="32"/>
          <w:lang w:val="en-US" w:eastAsia="zh-CN"/>
        </w:rPr>
        <w:t>（三）项目</w:t>
      </w:r>
      <w:bookmarkEnd w:id="56"/>
      <w:bookmarkEnd w:id="57"/>
      <w:bookmarkEnd w:id="58"/>
      <w:bookmarkEnd w:id="59"/>
      <w:bookmarkEnd w:id="60"/>
      <w:bookmarkEnd w:id="61"/>
      <w:r>
        <w:rPr>
          <w:rFonts w:hint="eastAsia" w:ascii="楷体" w:hAnsi="楷体" w:eastAsia="楷体" w:cs="楷体"/>
          <w:b w:val="0"/>
          <w:bCs w:val="0"/>
          <w:sz w:val="32"/>
          <w:szCs w:val="32"/>
          <w:lang w:val="en-US" w:eastAsia="zh-CN"/>
        </w:rPr>
        <w:t>置换来的资产运营方案未制定</w:t>
      </w:r>
    </w:p>
    <w:p>
      <w:pPr>
        <w:bidi w:val="0"/>
        <w:spacing w:line="360" w:lineRule="auto"/>
        <w:ind w:firstLine="640" w:firstLineChars="200"/>
        <w:rPr>
          <w:rFonts w:hint="default" w:ascii="仿宋" w:hAnsi="仿宋" w:eastAsia="仿宋" w:cs="仿宋"/>
          <w:sz w:val="32"/>
          <w:szCs w:val="32"/>
          <w:lang w:val="en-US" w:eastAsia="zh-CN"/>
        </w:rPr>
      </w:pPr>
      <w:bookmarkStart w:id="62" w:name="_Toc32407"/>
      <w:bookmarkStart w:id="63" w:name="_Toc30044"/>
      <w:bookmarkStart w:id="64" w:name="_Toc5305"/>
      <w:bookmarkStart w:id="65" w:name="_Toc26770"/>
      <w:bookmarkStart w:id="66" w:name="_Toc15122"/>
      <w:bookmarkStart w:id="67" w:name="_Toc21676"/>
      <w:r>
        <w:rPr>
          <w:rFonts w:hint="eastAsia" w:ascii="仿宋" w:hAnsi="仿宋" w:eastAsia="仿宋" w:cs="仿宋"/>
          <w:sz w:val="32"/>
          <w:szCs w:val="32"/>
          <w:lang w:val="en-US" w:eastAsia="zh-CN"/>
        </w:rPr>
        <w:t>经查阅项目资料及现场访谈，建设单位通过项目建设置换来的资产下一步如何运营，如何实现有效现金流，以增强项目专项债资金的还本付息能力，目前项目建设单位还未制定完善的运营方案</w:t>
      </w:r>
      <w:bookmarkEnd w:id="62"/>
      <w:bookmarkEnd w:id="63"/>
      <w:bookmarkEnd w:id="64"/>
      <w:bookmarkEnd w:id="65"/>
      <w:bookmarkEnd w:id="66"/>
      <w:bookmarkEnd w:id="67"/>
      <w:r>
        <w:rPr>
          <w:rFonts w:hint="eastAsia" w:ascii="仿宋" w:hAnsi="仿宋" w:eastAsia="仿宋" w:cs="仿宋"/>
          <w:sz w:val="32"/>
          <w:szCs w:val="32"/>
          <w:lang w:val="en-US" w:eastAsia="zh-CN"/>
        </w:rPr>
        <w:t>。主要原因是菏泽医学专科学校老校区置换工作还在评估审计过程中，以及新校区投资额与老校区评估价值的差额如何来兑现，目前尚无明确意见。</w:t>
      </w:r>
    </w:p>
    <w:p>
      <w:pPr>
        <w:bidi w:val="0"/>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六、项目建议</w:t>
      </w:r>
      <w:bookmarkEnd w:id="35"/>
      <w:bookmarkEnd w:id="36"/>
      <w:bookmarkEnd w:id="37"/>
    </w:p>
    <w:p>
      <w:pPr>
        <w:widowControl w:val="0"/>
        <w:spacing w:line="360" w:lineRule="auto"/>
        <w:ind w:firstLine="640" w:firstLineChars="200"/>
        <w:rPr>
          <w:rFonts w:hint="eastAsia" w:ascii="仿宋_GB2312" w:eastAsia="仿宋_GB2312" w:cs="仿宋_GB2312"/>
          <w:sz w:val="32"/>
          <w:szCs w:val="32"/>
          <w:highlight w:val="none"/>
          <w:lang w:eastAsia="zh-CN"/>
        </w:rPr>
      </w:pPr>
      <w:r>
        <w:rPr>
          <w:rFonts w:hint="eastAsia" w:ascii="仿宋" w:hAnsi="仿宋" w:eastAsia="仿宋" w:cs="仿宋"/>
          <w:sz w:val="32"/>
          <w:szCs w:val="32"/>
          <w:highlight w:val="none"/>
          <w:lang w:eastAsia="zh-CN"/>
        </w:rPr>
        <w:t>目前项目</w:t>
      </w:r>
      <w:r>
        <w:rPr>
          <w:rFonts w:hint="eastAsia" w:ascii="仿宋" w:hAnsi="仿宋" w:eastAsia="仿宋" w:cs="仿宋"/>
          <w:sz w:val="32"/>
          <w:szCs w:val="32"/>
          <w:highlight w:val="none"/>
          <w:lang w:val="en-US" w:eastAsia="zh-CN"/>
        </w:rPr>
        <w:t>还在建设</w:t>
      </w:r>
      <w:r>
        <w:rPr>
          <w:rFonts w:hint="eastAsia" w:ascii="仿宋" w:hAnsi="仿宋" w:eastAsia="仿宋" w:cs="仿宋"/>
          <w:sz w:val="32"/>
          <w:szCs w:val="32"/>
          <w:highlight w:val="none"/>
          <w:lang w:eastAsia="zh-CN"/>
        </w:rPr>
        <w:t>阶段，</w:t>
      </w:r>
      <w:r>
        <w:rPr>
          <w:rFonts w:hint="eastAsia" w:ascii="仿宋_GB2312" w:eastAsia="仿宋_GB2312" w:cs="仿宋_GB2312"/>
          <w:sz w:val="32"/>
          <w:szCs w:val="32"/>
          <w:highlight w:val="none"/>
          <w:lang w:val="en-US" w:eastAsia="zh-CN"/>
        </w:rPr>
        <w:t>建设</w:t>
      </w:r>
      <w:r>
        <w:rPr>
          <w:rFonts w:hint="eastAsia" w:ascii="仿宋_GB2312" w:eastAsia="仿宋_GB2312" w:cs="仿宋_GB2312"/>
          <w:sz w:val="32"/>
          <w:szCs w:val="32"/>
          <w:highlight w:val="none"/>
          <w:lang w:eastAsia="zh-CN"/>
        </w:rPr>
        <w:t>单位</w:t>
      </w:r>
      <w:r>
        <w:rPr>
          <w:rFonts w:hint="eastAsia" w:ascii="仿宋_GB2312" w:eastAsia="仿宋_GB2312" w:cs="仿宋_GB2312"/>
          <w:sz w:val="32"/>
          <w:szCs w:val="32"/>
          <w:highlight w:val="none"/>
          <w:lang w:val="en-US" w:eastAsia="zh-CN"/>
        </w:rPr>
        <w:t>应合理分配资金和加强建设进度把控</w:t>
      </w:r>
      <w:r>
        <w:rPr>
          <w:rFonts w:hint="eastAsia" w:ascii="仿宋_GB2312" w:eastAsia="仿宋_GB2312" w:cs="仿宋_GB2312"/>
          <w:sz w:val="32"/>
          <w:szCs w:val="32"/>
          <w:highlight w:val="none"/>
          <w:lang w:eastAsia="zh-CN"/>
        </w:rPr>
        <w:t>，按照</w:t>
      </w:r>
      <w:r>
        <w:rPr>
          <w:rFonts w:hint="eastAsia" w:ascii="仿宋_GB2312" w:eastAsia="仿宋_GB2312" w:cs="仿宋_GB2312"/>
          <w:sz w:val="32"/>
          <w:szCs w:val="32"/>
          <w:highlight w:val="none"/>
          <w:lang w:val="en-US" w:eastAsia="zh-CN"/>
        </w:rPr>
        <w:t>既定项目目标，合理规划，提高项目建设管理效率。</w:t>
      </w:r>
      <w:r>
        <w:rPr>
          <w:rFonts w:hint="eastAsia" w:ascii="仿宋_GB2312" w:eastAsia="仿宋_GB2312" w:cs="仿宋_GB2312"/>
          <w:sz w:val="32"/>
          <w:szCs w:val="32"/>
          <w:highlight w:val="none"/>
          <w:lang w:eastAsia="zh-CN"/>
        </w:rPr>
        <w:t>针对目前项目现状和性质，从项目建设总体目标出发，</w:t>
      </w:r>
      <w:r>
        <w:rPr>
          <w:rFonts w:hint="eastAsia" w:ascii="仿宋_GB2312" w:eastAsia="仿宋_GB2312" w:cs="仿宋_GB2312"/>
          <w:sz w:val="32"/>
          <w:szCs w:val="32"/>
          <w:highlight w:val="none"/>
          <w:lang w:val="en-US" w:eastAsia="zh-CN"/>
        </w:rPr>
        <w:t>对以下方面</w:t>
      </w:r>
      <w:r>
        <w:rPr>
          <w:rFonts w:hint="eastAsia" w:ascii="仿宋_GB2312" w:eastAsia="仿宋_GB2312" w:cs="仿宋_GB2312"/>
          <w:sz w:val="32"/>
          <w:szCs w:val="32"/>
          <w:highlight w:val="none"/>
          <w:lang w:eastAsia="zh-CN"/>
        </w:rPr>
        <w:t>提出建议：</w:t>
      </w:r>
    </w:p>
    <w:p>
      <w:pPr>
        <w:bidi w:val="0"/>
        <w:spacing w:line="360" w:lineRule="auto"/>
        <w:ind w:firstLine="640" w:firstLineChars="200"/>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（一）增加预算投入，加快项目建设进度。</w:t>
      </w:r>
    </w:p>
    <w:p>
      <w:pPr>
        <w:widowControl w:val="0"/>
        <w:numPr>
          <w:ilvl w:val="0"/>
          <w:numId w:val="0"/>
        </w:numPr>
        <w:spacing w:line="360" w:lineRule="auto"/>
        <w:ind w:firstLine="640" w:firstLineChars="200"/>
        <w:rPr>
          <w:rFonts w:hint="eastAsia" w:ascii="仿宋" w:hAnsi="仿宋" w:eastAsia="仿宋" w:cs="仿宋"/>
          <w:sz w:val="32"/>
          <w:szCs w:val="32"/>
          <w:highlight w:val="none"/>
          <w:lang w:val="en-US" w:eastAsia="zh-CN"/>
        </w:rPr>
      </w:pPr>
      <w:r>
        <w:rPr>
          <w:rFonts w:hint="eastAsia" w:ascii="仿宋_GB2312" w:hAnsi="Times New Roman" w:eastAsia="仿宋_GB2312" w:cs="仿宋_GB2312"/>
          <w:sz w:val="32"/>
          <w:szCs w:val="32"/>
          <w:highlight w:val="none"/>
          <w:lang w:val="en-US" w:eastAsia="zh-CN"/>
        </w:rPr>
        <w:t>1.截止评价日，</w:t>
      </w:r>
      <w:r>
        <w:rPr>
          <w:rFonts w:hint="eastAsia" w:ascii="仿宋" w:hAnsi="仿宋" w:eastAsia="仿宋" w:cs="仿宋"/>
          <w:sz w:val="32"/>
          <w:szCs w:val="32"/>
          <w:highlight w:val="none"/>
          <w:lang w:val="en-US" w:eastAsia="zh-CN"/>
        </w:rPr>
        <w:t>还有100亩土地尚未完成征收拆迁，整体建设进度还达不到60%，一是建设单位加大预算执行力度，合理分配资金使用，推动建设进度；二是建设单位要加强与财政资金管理科室关于项目预算资金分配额度的沟通，及时汇报项目工作进度和资金需求，加大政府性基金预算对本项目的投入力度，以保障项目正常交付使用和预期社会效益的实现。同时建设单位要通过土地开发收益、政府专项债券（续发）、固定资产置换等多种方式筹措资金，拓宽融资渠道，提高公司现金流以保障项目后续正常建设。</w:t>
      </w:r>
    </w:p>
    <w:p>
      <w:pPr>
        <w:widowControl w:val="0"/>
        <w:spacing w:line="360" w:lineRule="auto"/>
        <w:ind w:firstLine="640" w:firstLineChars="200"/>
        <w:rPr>
          <w:rFonts w:hint="eastAsia" w:ascii="楷体" w:hAnsi="楷体" w:eastAsia="楷体" w:cs="楷体"/>
          <w:b w:val="0"/>
          <w:bCs w:val="0"/>
          <w:sz w:val="32"/>
          <w:szCs w:val="32"/>
          <w:highlight w:val="none"/>
          <w:lang w:val="en-US" w:eastAsia="zh-CN"/>
        </w:rPr>
      </w:pPr>
      <w:r>
        <w:rPr>
          <w:rFonts w:hint="eastAsia" w:ascii="楷体" w:hAnsi="楷体" w:eastAsia="楷体" w:cs="楷体"/>
          <w:b w:val="0"/>
          <w:bCs w:val="0"/>
          <w:sz w:val="32"/>
          <w:szCs w:val="32"/>
          <w:highlight w:val="none"/>
          <w:lang w:val="en-US" w:eastAsia="zh-CN"/>
        </w:rPr>
        <w:t>（二）完善专项债券资金管理</w:t>
      </w:r>
    </w:p>
    <w:p>
      <w:pPr>
        <w:widowControl w:val="0"/>
        <w:spacing w:line="360" w:lineRule="auto"/>
        <w:ind w:firstLine="640" w:firstLineChars="200"/>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加强政府专项债券资金的核算管理，专门制定专项债券资金使用管理办法，建设单位应当设立专户进行管理、核算，以保证专项债券资金使用合规性，防止出现专项债券资金出现截留、挤占、挪用、虚列支出等情况。</w:t>
      </w:r>
    </w:p>
    <w:p>
      <w:pPr>
        <w:widowControl w:val="0"/>
        <w:spacing w:line="360" w:lineRule="auto"/>
        <w:ind w:firstLine="640" w:firstLineChars="200"/>
        <w:rPr>
          <w:rFonts w:hint="eastAsia" w:ascii="楷体" w:hAnsi="楷体" w:eastAsia="楷体" w:cs="楷体"/>
          <w:b w:val="0"/>
          <w:bCs w:val="0"/>
          <w:sz w:val="32"/>
          <w:szCs w:val="32"/>
          <w:highlight w:val="none"/>
          <w:lang w:val="en-US" w:eastAsia="zh-CN"/>
        </w:rPr>
      </w:pPr>
      <w:r>
        <w:rPr>
          <w:rFonts w:hint="eastAsia" w:ascii="楷体" w:hAnsi="楷体" w:eastAsia="楷体" w:cs="楷体"/>
          <w:b w:val="0"/>
          <w:bCs w:val="0"/>
          <w:sz w:val="32"/>
          <w:szCs w:val="32"/>
          <w:highlight w:val="none"/>
          <w:lang w:val="en-US" w:eastAsia="zh-CN"/>
        </w:rPr>
        <w:t>（三）制定资产运营方案，提高项目收益。</w:t>
      </w:r>
    </w:p>
    <w:p>
      <w:pPr>
        <w:pStyle w:val="2"/>
        <w:numPr>
          <w:ilvl w:val="0"/>
          <w:numId w:val="0"/>
        </w:numPr>
        <w:spacing w:line="360" w:lineRule="auto"/>
        <w:ind w:leftChars="0" w:firstLine="640" w:firstLineChars="200"/>
        <w:rPr>
          <w:rFonts w:hint="default" w:ascii="仿宋_GB2312" w:hAnsi="Times New Roman" w:eastAsia="仿宋_GB2312" w:cs="仿宋_GB2312"/>
          <w:sz w:val="32"/>
          <w:szCs w:val="32"/>
          <w:highlight w:val="none"/>
          <w:lang w:val="en-US" w:eastAsia="zh-CN"/>
        </w:rPr>
      </w:pPr>
      <w:r>
        <w:rPr>
          <w:rFonts w:hint="eastAsia" w:ascii="仿宋" w:hAnsi="仿宋" w:eastAsia="仿宋" w:cs="仿宋"/>
          <w:sz w:val="32"/>
          <w:szCs w:val="32"/>
          <w:highlight w:val="none"/>
          <w:lang w:val="en-US" w:eastAsia="zh-CN"/>
        </w:rPr>
        <w:t>项目建设单位</w:t>
      </w:r>
      <w:r>
        <w:rPr>
          <w:rFonts w:hint="eastAsia" w:ascii="仿宋_GB2312" w:hAnsi="Times New Roman" w:eastAsia="仿宋_GB2312" w:cs="仿宋_GB2312"/>
          <w:sz w:val="32"/>
          <w:szCs w:val="32"/>
          <w:highlight w:val="none"/>
          <w:lang w:val="en-US" w:eastAsia="zh-CN"/>
        </w:rPr>
        <w:t>明康科技投资有限公司作为专项债券还本付息的责任方，要加快制定将菏泽医学专科学校老校区资产置换后的运营方案，根据资产特点，提前做好运营规划，对于资产置换所带来的现金流有合理、科学估算，以保障债券资金还本付息的现金流的稳定性。另外，制定债券资金及利息还款计划，明确还款来源，</w:t>
      </w:r>
      <w:r>
        <w:rPr>
          <w:rFonts w:hint="eastAsia" w:ascii="仿宋" w:hAnsi="仿宋" w:eastAsia="仿宋" w:cs="仿宋"/>
          <w:sz w:val="32"/>
          <w:szCs w:val="32"/>
          <w:highlight w:val="none"/>
          <w:lang w:val="en-US" w:eastAsia="zh-CN"/>
        </w:rPr>
        <w:t>同时结合财政要把还款计划纳入政府性基金预算管理之中，以保障后续预算资金管理分配。</w:t>
      </w:r>
      <w:bookmarkStart w:id="68" w:name="_GoBack"/>
      <w:bookmarkEnd w:id="68"/>
    </w:p>
    <w:sectPr>
      <w:headerReference r:id="rId5" w:type="default"/>
      <w:footerReference r:id="rId6"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彩云">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姚体">
    <w:panose1 w:val="02010601030101010101"/>
    <w:charset w:val="86"/>
    <w:family w:val="auto"/>
    <w:pitch w:val="default"/>
    <w:sig w:usb0="00000003"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Malgun Gothic Semilight">
    <w:panose1 w:val="020B0502040204020203"/>
    <w:charset w:val="86"/>
    <w:family w:val="auto"/>
    <w:pitch w:val="default"/>
    <w:sig w:usb0="900002AF" w:usb1="01D77CFB" w:usb2="00000012" w:usb3="00000000" w:csb0="203E01BD" w:csb1="D7FF0000"/>
  </w:font>
  <w:font w:name="Malgun Gothic">
    <w:panose1 w:val="020B0503020000020004"/>
    <w:charset w:val="81"/>
    <w:family w:val="auto"/>
    <w:pitch w:val="default"/>
    <w:sig w:usb0="9000002F" w:usb1="29D77CFB" w:usb2="00000012" w:usb3="00000000" w:csb0="00080001" w:csb1="00000000"/>
  </w:font>
  <w:font w:name="华文中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2" name="矩形 2"/>
              <wp:cNvGraphicFramePr/>
              <a:graphic xmlns:a="http://schemas.openxmlformats.org/drawingml/2006/main">
                <a:graphicData uri="http://schemas.microsoft.com/office/word/2010/wordprocessingShape">
                  <wps:wsp>
                    <wps:cNvSpPr/>
                    <wps:spPr>
                      <a:xfrm>
                        <a:off x="0" y="0"/>
                        <a:ext cx="114935" cy="131445"/>
                      </a:xfrm>
                      <a:prstGeom prst="rect">
                        <a:avLst/>
                      </a:prstGeom>
                      <a:noFill/>
                      <a:ln>
                        <a:noFill/>
                      </a:ln>
                    </wps:spPr>
                    <wps:txbx>
                      <w:txbxContent>
                        <w:p>
                          <w:pPr>
                            <w:snapToGrid w:val="0"/>
                            <w:rPr>
                              <w:sz w:val="18"/>
                              <w:szCs w:val="18"/>
                            </w:rPr>
                          </w:pPr>
                        </w:p>
                      </w:txbxContent>
                    </wps:txbx>
                    <wps:bodyPr wrap="none" lIns="0" tIns="0" rIns="0" bIns="0" upright="1">
                      <a:spAutoFit/>
                    </wps:bodyPr>
                  </wps:wsp>
                </a:graphicData>
              </a:graphic>
            </wp:anchor>
          </w:drawing>
        </mc:Choice>
        <mc:Fallback>
          <w:pict>
            <v:rect id="_x0000_s1026" o:spid="_x0000_s1026" o:spt="1"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NL/SwtAAAAADAQAADwAAAAAAAAABACAAAAAiAAAAZHJzL2Rvd25yZXYueG1sUEsB&#10;AhQAFAAAAAgAh07iQK94I+7EAQAAigMAAA4AAAAAAAAAAQAgAAAAHwEAAGRycy9lMm9Eb2MueG1s&#10;UEsFBgAAAAAGAAYAWQEAAFUFAAAAAA==&#10;">
              <v:fill on="f" focussize="0,0"/>
              <v:stroke on="f"/>
              <v:imagedata o:title=""/>
              <o:lock v:ext="edit" aspectratio="f"/>
              <v:textbox inset="0mm,0mm,0mm,0mm" style="mso-fit-shape-to-text:t;">
                <w:txbxContent>
                  <w:p>
                    <w:pPr>
                      <w:snapToGrid w:val="0"/>
                      <w:rPr>
                        <w:sz w:val="18"/>
                        <w:szCs w:val="18"/>
                      </w:rPr>
                    </w:pP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6" w:space="1"/>
      </w:pBdr>
      <w:spacing w:line="240" w:lineRule="auto"/>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20320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- 30 -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1.6pt;height:144pt;width:144pt;mso-position-horizontal:outside;mso-position-horizontal-relative:margin;mso-wrap-style:none;z-index:251660288;mso-width-relative:page;mso-height-relative:page;" filled="f" stroked="f" coordsize="21600,21600" o:gfxdata="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S74ovtIAAAAGAQAADwAAAAAAAAABACAAAAAiAAAAZHJzL2Rvd25yZXYu&#10;eG1sUEsBAhQAFAAAAAgAh07iQDSS+knIAQAAmQMAAA4AAAAAAAAAAQAgAAAAIQEAAGRycy9lMm9E&#10;b2MueG1sUEsFBgAAAAAGAAYAWQEAAFsFA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- 30 -</w:t>
                    </w:r>
                    <w:r>
                      <w:fldChar w:fldCharType="end"/>
                    </w:r>
                  </w:p>
                </w:txbxContent>
              </v:textbox>
            </v:shape>
          </w:pict>
        </mc:Fallback>
      </mc:AlternateContent>
    </w:r>
  </w:p>
  <w:p>
    <w:pPr>
      <w:pStyle w:val="6"/>
      <w:pBdr>
        <w:bottom w:val="single" w:color="auto" w:sz="6" w:space="1"/>
      </w:pBdr>
      <w:spacing w:line="240" w:lineRule="auto"/>
      <w:ind w:firstLine="40"/>
      <w:rPr>
        <w:rFonts w:hint="eastAsia"/>
        <w:sz w:val="2"/>
        <w:szCs w:val="2"/>
      </w:rPr>
    </w:pPr>
  </w:p>
  <w:p>
    <w:pPr>
      <w:pStyle w:val="6"/>
      <w:spacing w:line="240" w:lineRule="auto"/>
      <w:ind w:right="360" w:firstLine="360"/>
      <w:rPr>
        <w:rFonts w:eastAsia="宋体"/>
      </w:rPr>
    </w:pPr>
    <w:r>
      <w:rPr>
        <w:rFonts w:hint="eastAsia"/>
      </w:rPr>
      <w:t>山东中慧会计师事务所有限公司电话：（0530）6202269</w:t>
    </w:r>
  </w:p>
  <w:p>
    <w:pPr>
      <w:pStyle w:val="6"/>
      <w:spacing w:line="240" w:lineRule="auto"/>
      <w:ind w:right="360" w:firstLine="360"/>
      <w:rPr>
        <w:rFonts w:hint="eastAsia" w:ascii="楷体_GB2312" w:eastAsia="楷体_GB2312"/>
        <w:sz w:val="21"/>
        <w:szCs w:val="21"/>
      </w:rPr>
    </w:pPr>
    <w:r>
      <w:rPr>
        <w:rFonts w:hint="eastAsia"/>
      </w:rPr>
      <w:t>地址：菏泽市珠江路1777号建树建筑科技产业园3号楼传真：（0530）6222622</w:t>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ascii="楷体_GB2312" w:eastAsia="楷体_GB2312"/>
        <w:sz w:val="32"/>
        <w:lang w:val="en-US" w:eastAsia="zh-CN"/>
      </w:rPr>
      <w:t xml:space="preserve">                              </w:t>
    </w:r>
    <w:r>
      <w:rPr>
        <w:rFonts w:hint="eastAsia" w:ascii="楷体_GB2312" w:eastAsia="楷体_GB2312"/>
        <w:sz w:val="32"/>
      </w:rPr>
      <w:drawing>
        <wp:inline distT="0" distB="0" distL="114300" distR="114300">
          <wp:extent cx="266700" cy="305435"/>
          <wp:effectExtent l="0" t="0" r="7620" b="14605"/>
          <wp:docPr id="1" name="图片 1" descr="中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慧"/>
                  <pic:cNvPicPr>
                    <a:picLocks noChangeAspect="1"/>
                  </pic:cNvPicPr>
                </pic:nvPicPr>
                <pic:blipFill>
                  <a:blip r:embed="rId1">
                    <a:lum bright="12000" contrast="-17999"/>
                  </a:blip>
                  <a:stretch>
                    <a:fillRect/>
                  </a:stretch>
                </pic:blipFill>
                <pic:spPr>
                  <a:xfrm>
                    <a:off x="0" y="0"/>
                    <a:ext cx="266700" cy="305435"/>
                  </a:xfrm>
                  <a:prstGeom prst="rect">
                    <a:avLst/>
                  </a:prstGeom>
                  <a:noFill/>
                  <a:ln>
                    <a:noFill/>
                  </a:ln>
                </pic:spPr>
              </pic:pic>
            </a:graphicData>
          </a:graphic>
        </wp:inline>
      </w:drawing>
    </w:r>
    <w:r>
      <w:rPr>
        <w:rFonts w:hint="eastAsia" w:ascii="楷体_GB2312" w:eastAsia="楷体_GB2312"/>
        <w:sz w:val="21"/>
        <w:szCs w:val="21"/>
      </w:rPr>
      <w:t>山东中慧会计师事务所有限公司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ascii="楷体_GB2312" w:eastAsia="楷体_GB2312"/>
        <w:sz w:val="32"/>
        <w:lang w:val="en-US" w:eastAsia="zh-CN"/>
      </w:rPr>
      <w:t xml:space="preserve">                              </w:t>
    </w:r>
    <w:r>
      <w:rPr>
        <w:rFonts w:hint="eastAsia" w:ascii="楷体_GB2312" w:eastAsia="楷体_GB2312"/>
        <w:sz w:val="32"/>
      </w:rPr>
      <w:drawing>
        <wp:inline distT="0" distB="0" distL="114300" distR="114300">
          <wp:extent cx="266700" cy="305435"/>
          <wp:effectExtent l="0" t="0" r="7620" b="14605"/>
          <wp:docPr id="7" name="图片 7" descr="中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中慧"/>
                  <pic:cNvPicPr>
                    <a:picLocks noChangeAspect="1"/>
                  </pic:cNvPicPr>
                </pic:nvPicPr>
                <pic:blipFill>
                  <a:blip r:embed="rId1">
                    <a:lum bright="12000" contrast="-17999"/>
                  </a:blip>
                  <a:stretch>
                    <a:fillRect/>
                  </a:stretch>
                </pic:blipFill>
                <pic:spPr>
                  <a:xfrm>
                    <a:off x="0" y="0"/>
                    <a:ext cx="266700" cy="305435"/>
                  </a:xfrm>
                  <a:prstGeom prst="rect">
                    <a:avLst/>
                  </a:prstGeom>
                  <a:noFill/>
                  <a:ln>
                    <a:noFill/>
                  </a:ln>
                </pic:spPr>
              </pic:pic>
            </a:graphicData>
          </a:graphic>
        </wp:inline>
      </w:drawing>
    </w:r>
    <w:r>
      <w:rPr>
        <w:rFonts w:hint="eastAsia" w:ascii="楷体_GB2312" w:eastAsia="楷体_GB2312"/>
        <w:sz w:val="21"/>
        <w:szCs w:val="21"/>
      </w:rPr>
      <w:t>山东中慧会计师事务所有限公司</w:t>
    </w:r>
    <w:r>
      <w:rPr>
        <w:rFonts w:hint="eastAsia" w:ascii="楷体_GB2312" w:eastAsia="楷体_GB2312"/>
        <w:sz w:val="32"/>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4OGU3ZWViODkzNGIxODA0NWY4MGIzMGY1MjM5NzYifQ=="/>
  </w:docVars>
  <w:rsids>
    <w:rsidRoot w:val="19536A68"/>
    <w:rsid w:val="19536A68"/>
    <w:rsid w:val="25C65B3A"/>
    <w:rsid w:val="2D371A59"/>
    <w:rsid w:val="2DD90EBD"/>
    <w:rsid w:val="35246EC1"/>
    <w:rsid w:val="4E8043BA"/>
    <w:rsid w:val="5507618C"/>
    <w:rsid w:val="5D2010C3"/>
    <w:rsid w:val="630A5BE9"/>
    <w:rsid w:val="71365202"/>
    <w:rsid w:val="78831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unhideWhenUsed/>
    <w:qFormat/>
    <w:uiPriority w:val="99"/>
    <w:pPr>
      <w:spacing w:after="120"/>
      <w:ind w:left="420" w:leftChars="2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semiHidden/>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style>
  <w:style w:type="paragraph" w:styleId="9">
    <w:name w:val="toc 2"/>
    <w:basedOn w:val="1"/>
    <w:next w:val="1"/>
    <w:qFormat/>
    <w:uiPriority w:val="0"/>
    <w:pPr>
      <w:ind w:left="420" w:leftChars="200"/>
    </w:pPr>
  </w:style>
  <w:style w:type="paragraph" w:customStyle="1" w:styleId="12">
    <w:name w:val="闻政封面项目信息"/>
    <w:basedOn w:val="1"/>
    <w:next w:val="13"/>
    <w:qFormat/>
    <w:uiPriority w:val="0"/>
    <w:pPr>
      <w:spacing w:before="120"/>
      <w:ind w:left="800" w:leftChars="800"/>
      <w:jc w:val="left"/>
    </w:pPr>
    <w:rPr>
      <w:rFonts w:ascii="Times New Roman" w:hAnsi="Times New Roman" w:eastAsia="黑体" w:cs="Times New Roman"/>
      <w:kern w:val="0"/>
      <w:sz w:val="28"/>
      <w:szCs w:val="28"/>
      <w:lang w:val="zh-CN"/>
    </w:rPr>
  </w:style>
  <w:style w:type="paragraph" w:customStyle="1" w:styleId="13">
    <w:name w:val="闻政封面完成时间"/>
    <w:basedOn w:val="12"/>
    <w:qFormat/>
    <w:uiPriority w:val="0"/>
    <w:pPr>
      <w:ind w:left="0" w:leftChars="0"/>
      <w:jc w:val="center"/>
    </w:pPr>
    <w:rPr>
      <w:b/>
    </w:rPr>
  </w:style>
  <w:style w:type="paragraph" w:customStyle="1" w:styleId="14">
    <w:name w:val="闻政页码"/>
    <w:qFormat/>
    <w:uiPriority w:val="6"/>
    <w:pPr>
      <w:jc w:val="center"/>
    </w:pPr>
    <w:rPr>
      <w:rFonts w:ascii="Times New Roman" w:hAnsi="Times New Roman" w:eastAsia="Times New Roman" w:cs="Times New Roman"/>
      <w:sz w:val="21"/>
      <w:szCs w:val="28"/>
      <w:lang w:val="en-US" w:eastAsia="zh-CN" w:bidi="ar-SA"/>
    </w:rPr>
  </w:style>
  <w:style w:type="paragraph" w:customStyle="1" w:styleId="15">
    <w:name w:val="p0"/>
    <w:basedOn w:val="1"/>
    <w:qFormat/>
    <w:uiPriority w:val="0"/>
    <w:pPr>
      <w:adjustRightInd/>
      <w:textAlignment w:val="auto"/>
    </w:pPr>
    <w:rPr>
      <w:rFonts w:ascii="Calibri" w:hAnsi="Calibri"/>
    </w:rPr>
  </w:style>
  <w:style w:type="paragraph" w:customStyle="1" w:styleId="16">
    <w:name w:val="WPSOffice手动目录 1"/>
    <w:qFormat/>
    <w:uiPriority w:val="0"/>
    <w:pPr>
      <w:ind w:leftChars="0"/>
    </w:pPr>
    <w:rPr>
      <w:rFonts w:asciiTheme="minorHAnsi" w:hAnsiTheme="minorHAnsi" w:eastAsiaTheme="minorEastAsia" w:cstheme="minorBidi"/>
      <w:sz w:val="20"/>
      <w:szCs w:val="20"/>
    </w:rPr>
  </w:style>
  <w:style w:type="paragraph" w:customStyle="1" w:styleId="17">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5492</Words>
  <Characters>5779</Characters>
  <Lines>0</Lines>
  <Paragraphs>0</Paragraphs>
  <TotalTime>26</TotalTime>
  <ScaleCrop>false</ScaleCrop>
  <LinksUpToDate>false</LinksUpToDate>
  <CharactersWithSpaces>5802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2022-11-10T13:05:00Z</dcterms:created>
  <dc:creator>乔振</dc:creator>
  <cp:lastModifiedBy>乔振</cp:lastModifiedBy>
  <dcterms:modified xsi:type="dcterms:W3CDTF">2022-12-14T02:37:23Z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9ED86248DFC44C9F9F6A8C9080BB57EC</vt:lpwstr>
  </property>
</Properties>
</file>