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kinsoku/>
        <w:autoSpaceDE/>
        <w:autoSpaceDN/>
        <w:adjustRightInd/>
        <w:snapToGrid/>
        <w:spacing w:before="0" w:after="0" w:line="360" w:lineRule="auto"/>
        <w:ind w:left="0" w:right="0"/>
        <w:jc w:val="center"/>
        <w:textAlignment w:val="auto"/>
        <w:outlineLvl w:val="0"/>
        <w:rPr>
          <w:rFonts w:hint="eastAsia" w:ascii="方正小标宋简体" w:hAnsi="等线" w:eastAsia="方正小标宋简体" w:cs="Times New Roman"/>
          <w:bCs/>
          <w:snapToGrid/>
          <w:color w:val="auto"/>
          <w:kern w:val="44"/>
          <w:sz w:val="44"/>
          <w:szCs w:val="44"/>
          <w:lang w:val="zh-CN"/>
        </w:rPr>
      </w:pPr>
      <w:r>
        <w:rPr>
          <w:rFonts w:hint="eastAsia" w:ascii="方正小标宋简体" w:hAnsi="黑体" w:eastAsia="方正小标宋简体" w:cs="Times New Roman"/>
          <w:snapToGrid/>
          <w:color w:val="auto"/>
          <w:kern w:val="2"/>
          <w:sz w:val="44"/>
          <w:szCs w:val="44"/>
          <w:lang w:val="zh-CN" w:eastAsia="zh-CN" w:bidi="ar-SA"/>
        </w:rPr>
        <w:t>菏泽家政职业学院平安校园视频监控升级改造</w:t>
      </w:r>
      <w:r>
        <w:rPr>
          <w:rFonts w:hint="eastAsia" w:ascii="方正小标宋简体" w:hAnsi="黑体" w:eastAsia="方正小标宋简体" w:cs="Times New Roman"/>
          <w:snapToGrid/>
          <w:color w:val="auto"/>
          <w:kern w:val="2"/>
          <w:sz w:val="44"/>
          <w:szCs w:val="44"/>
          <w:lang w:val="en-US" w:eastAsia="zh-CN" w:bidi="ar-SA"/>
        </w:rPr>
        <w:t>政府采购</w:t>
      </w:r>
      <w:r>
        <w:rPr>
          <w:rFonts w:hint="eastAsia" w:ascii="方正小标宋简体" w:hAnsi="黑体" w:eastAsia="方正小标宋简体" w:cs="Times New Roman"/>
          <w:snapToGrid/>
          <w:color w:val="auto"/>
          <w:kern w:val="2"/>
          <w:sz w:val="44"/>
          <w:szCs w:val="44"/>
          <w:lang w:val="zh-CN" w:eastAsia="zh-CN" w:bidi="ar-SA"/>
        </w:rPr>
        <w:t>项目</w:t>
      </w:r>
      <w:r>
        <w:rPr>
          <w:rFonts w:hint="eastAsia" w:ascii="方正小标宋简体" w:hAnsi="黑体" w:eastAsia="方正小标宋简体" w:cs="Times New Roman"/>
          <w:snapToGrid/>
          <w:color w:val="auto"/>
          <w:kern w:val="2"/>
          <w:sz w:val="44"/>
          <w:szCs w:val="44"/>
          <w:lang w:val="en-US" w:eastAsia="zh-CN" w:bidi="ar-SA"/>
        </w:rPr>
        <w:t>支出</w:t>
      </w:r>
      <w:r>
        <w:rPr>
          <w:rFonts w:hint="eastAsia" w:ascii="方正小标宋简体" w:hAnsi="黑体" w:eastAsia="方正小标宋简体" w:cs="Times New Roman"/>
          <w:snapToGrid/>
          <w:color w:val="auto"/>
          <w:kern w:val="2"/>
          <w:sz w:val="44"/>
          <w:szCs w:val="44"/>
          <w:lang w:val="zh-CN" w:eastAsia="zh-CN" w:bidi="ar-SA"/>
        </w:rPr>
        <w:t>绩效评价报告</w:t>
      </w:r>
    </w:p>
    <w:p>
      <w:pPr>
        <w:pStyle w:val="5"/>
        <w:keepNext w:val="0"/>
        <w:keepLines w:val="0"/>
        <w:pageBreakBefore w:val="0"/>
        <w:kinsoku/>
        <w:wordWrap/>
        <w:overflowPunct w:val="0"/>
        <w:topLinePunct w:val="0"/>
        <w:bidi w:val="0"/>
        <w:adjustRightInd/>
        <w:snapToGrid/>
        <w:spacing w:before="0" w:beforeLines="0" w:after="0" w:afterLines="0" w:line="560" w:lineRule="exact"/>
        <w:ind w:firstLine="640" w:firstLineChars="200"/>
        <w:jc w:val="both"/>
        <w:rPr>
          <w:b w:val="0"/>
          <w:bCs w:val="0"/>
          <w:color w:val="auto"/>
        </w:rPr>
      </w:pPr>
      <w:r>
        <w:rPr>
          <w:rFonts w:hint="eastAsia"/>
          <w:b w:val="0"/>
          <w:bCs w:val="0"/>
          <w:color w:val="auto"/>
        </w:rPr>
        <w:t>一、项目</w:t>
      </w:r>
      <w:r>
        <w:rPr>
          <w:rFonts w:hint="eastAsia"/>
          <w:b w:val="0"/>
          <w:bCs w:val="0"/>
          <w:color w:val="auto"/>
          <w:lang w:val="en-US" w:eastAsia="zh-CN"/>
        </w:rPr>
        <w:t>概</w:t>
      </w:r>
      <w:r>
        <w:rPr>
          <w:rFonts w:hint="eastAsia"/>
          <w:b w:val="0"/>
          <w:bCs w:val="0"/>
          <w:color w:val="auto"/>
        </w:rPr>
        <w:t>况</w:t>
      </w:r>
    </w:p>
    <w:p>
      <w:pPr>
        <w:pStyle w:val="2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val="0"/>
        <w:wordWrap/>
        <w:overflowPunct w:val="0"/>
        <w:topLinePunct w:val="0"/>
        <w:autoSpaceDE w:val="0"/>
        <w:autoSpaceDN w:val="0"/>
        <w:bidi w:val="0"/>
        <w:adjustRightInd/>
        <w:snapToGrid/>
        <w:spacing w:before="0" w:beforeLines="0" w:beforeAutospacing="0" w:after="0" w:afterLines="0" w:afterAutospacing="0" w:line="560" w:lineRule="exact"/>
        <w:ind w:left="0" w:right="0" w:firstLine="640" w:firstLineChars="200"/>
        <w:jc w:val="both"/>
        <w:textAlignment w:val="auto"/>
        <w:rPr>
          <w:rFonts w:hint="eastAsia" w:ascii="仿宋_GB2312" w:hAnsi="仿宋_GB2312" w:eastAsia="仿宋_GB2312" w:cs="仿宋_GB2312"/>
          <w:snapToGrid w:val="0"/>
          <w:kern w:val="2"/>
          <w:sz w:val="32"/>
          <w:szCs w:val="32"/>
          <w:lang w:val="en-US" w:eastAsia="zh-CN" w:bidi="zh-CN"/>
        </w:rPr>
      </w:pPr>
      <w:r>
        <w:rPr>
          <w:rFonts w:hint="eastAsia" w:ascii="仿宋_GB2312" w:hAnsi="仿宋_GB2312" w:eastAsia="仿宋_GB2312" w:cs="仿宋_GB2312"/>
          <w:snapToGrid w:val="0"/>
          <w:kern w:val="2"/>
          <w:sz w:val="32"/>
          <w:szCs w:val="32"/>
          <w:lang w:val="en-US" w:eastAsia="zh-CN" w:bidi="zh-CN"/>
        </w:rPr>
        <w:t>菏泽家政职业学院是经</w:t>
      </w:r>
      <w:r>
        <w:rPr>
          <w:rFonts w:hint="eastAsia" w:ascii="仿宋_GB2312" w:hAnsi="仿宋_GB2312" w:eastAsia="仿宋_GB2312" w:cs="仿宋_GB2312"/>
          <w:snapToGrid w:val="0"/>
          <w:kern w:val="2"/>
          <w:sz w:val="32"/>
          <w:szCs w:val="32"/>
          <w:lang w:val="en-US" w:eastAsia="zh-CN" w:bidi="zh-CN"/>
        </w:rPr>
        <w:fldChar w:fldCharType="begin"/>
      </w:r>
      <w:r>
        <w:rPr>
          <w:rFonts w:hint="eastAsia" w:ascii="仿宋_GB2312" w:hAnsi="仿宋_GB2312" w:eastAsia="仿宋_GB2312" w:cs="仿宋_GB2312"/>
          <w:snapToGrid w:val="0"/>
          <w:kern w:val="2"/>
          <w:sz w:val="32"/>
          <w:szCs w:val="32"/>
          <w:lang w:val="en-US" w:eastAsia="zh-CN" w:bidi="zh-CN"/>
        </w:rPr>
        <w:instrText xml:space="preserve"> HYPERLINK "https://baike.sogou.com/lemma/ShowInnerLink.htm?lemmaId=8410099&amp;ss_c=ssc.citiao.link" \t "https://baike.sogou.com/_blank" </w:instrText>
      </w:r>
      <w:r>
        <w:rPr>
          <w:rFonts w:hint="eastAsia" w:ascii="仿宋_GB2312" w:hAnsi="仿宋_GB2312" w:eastAsia="仿宋_GB2312" w:cs="仿宋_GB2312"/>
          <w:snapToGrid w:val="0"/>
          <w:kern w:val="2"/>
          <w:sz w:val="32"/>
          <w:szCs w:val="32"/>
          <w:lang w:val="en-US" w:eastAsia="zh-CN" w:bidi="zh-CN"/>
        </w:rPr>
        <w:fldChar w:fldCharType="separate"/>
      </w:r>
      <w:r>
        <w:rPr>
          <w:rFonts w:hint="eastAsia" w:ascii="仿宋_GB2312" w:hAnsi="仿宋_GB2312" w:eastAsia="仿宋_GB2312" w:cs="仿宋_GB2312"/>
          <w:snapToGrid w:val="0"/>
          <w:kern w:val="2"/>
          <w:sz w:val="32"/>
          <w:szCs w:val="32"/>
          <w:lang w:val="en-US" w:eastAsia="zh-CN" w:bidi="zh-CN"/>
        </w:rPr>
        <w:t>山东省人民政府</w:t>
      </w:r>
      <w:r>
        <w:rPr>
          <w:rFonts w:hint="eastAsia" w:ascii="仿宋_GB2312" w:hAnsi="仿宋_GB2312" w:eastAsia="仿宋_GB2312" w:cs="仿宋_GB2312"/>
          <w:snapToGrid w:val="0"/>
          <w:kern w:val="2"/>
          <w:sz w:val="32"/>
          <w:szCs w:val="32"/>
          <w:lang w:val="en-US" w:eastAsia="zh-CN" w:bidi="zh-CN"/>
        </w:rPr>
        <w:fldChar w:fldCharType="end"/>
      </w:r>
      <w:r>
        <w:rPr>
          <w:rFonts w:hint="eastAsia" w:ascii="仿宋_GB2312" w:hAnsi="仿宋_GB2312" w:eastAsia="仿宋_GB2312" w:cs="仿宋_GB2312"/>
          <w:snapToGrid w:val="0"/>
          <w:kern w:val="2"/>
          <w:sz w:val="32"/>
          <w:szCs w:val="32"/>
          <w:lang w:val="en-US" w:eastAsia="zh-CN" w:bidi="zh-CN"/>
        </w:rPr>
        <w:t>批准、教育部备案的专科层次的国办全日制普通高校，始建于1958年，坐落于单县。该校是中国第一所独立的家政学院。随着招生规模的不断扩大，学生与社会的互动也越来越频繁，校内安全管理环境日趋复杂，而学院现有校园监控设备已不能满足现阶段学校安防综合管理的需求，同时结合《山东省学校安全条例》第二十七条规定，亟需建设一套智能安防综合管理平台系统，以满足平安校园建设的基本要求。由此，学院向菏泽市财政局申请设立2021年度平安校园视频监控升级改造项目（以下简称“该项目”或“项目”），用于对学院视频监控设备的升级改造。</w:t>
      </w:r>
    </w:p>
    <w:p>
      <w:pPr>
        <w:pStyle w:val="5"/>
        <w:keepNext w:val="0"/>
        <w:keepLines w:val="0"/>
        <w:pageBreakBefore w:val="0"/>
        <w:kinsoku/>
        <w:wordWrap/>
        <w:overflowPunct w:val="0"/>
        <w:topLinePunct w:val="0"/>
        <w:autoSpaceDE w:val="0"/>
        <w:autoSpaceDN w:val="0"/>
        <w:bidi w:val="0"/>
        <w:adjustRightInd/>
        <w:snapToGrid/>
        <w:spacing w:before="0" w:beforeLines="0" w:after="0" w:afterLines="0" w:line="560" w:lineRule="exact"/>
        <w:ind w:firstLine="640" w:firstLineChars="200"/>
        <w:jc w:val="both"/>
        <w:rPr>
          <w:rFonts w:hint="eastAsia" w:ascii="Arial" w:hAnsi="Arial" w:eastAsia="黑体" w:cs="Arial"/>
          <w:b w:val="0"/>
          <w:bCs w:val="0"/>
          <w:color w:val="auto"/>
          <w:sz w:val="32"/>
          <w:szCs w:val="44"/>
          <w:highlight w:val="none"/>
        </w:rPr>
      </w:pPr>
      <w:r>
        <w:rPr>
          <w:rFonts w:hint="eastAsia" w:ascii="Arial" w:hAnsi="Arial" w:eastAsia="黑体" w:cs="Arial"/>
          <w:b w:val="0"/>
          <w:bCs w:val="0"/>
          <w:color w:val="auto"/>
          <w:sz w:val="32"/>
          <w:szCs w:val="44"/>
          <w:highlight w:val="none"/>
          <w:lang w:val="en-US" w:eastAsia="zh-CN"/>
        </w:rPr>
        <w:t>二、</w:t>
      </w:r>
      <w:r>
        <w:rPr>
          <w:rFonts w:hint="eastAsia" w:cs="Arial"/>
          <w:b w:val="0"/>
          <w:bCs w:val="0"/>
          <w:color w:val="auto"/>
          <w:sz w:val="32"/>
          <w:szCs w:val="44"/>
          <w:lang w:val="en-US" w:eastAsia="zh-CN"/>
        </w:rPr>
        <w:t>资金</w:t>
      </w:r>
      <w:r>
        <w:rPr>
          <w:rFonts w:hint="eastAsia" w:ascii="Arial" w:hAnsi="Arial" w:eastAsia="黑体" w:cs="Arial"/>
          <w:b w:val="0"/>
          <w:bCs w:val="0"/>
          <w:color w:val="auto"/>
          <w:sz w:val="32"/>
          <w:szCs w:val="44"/>
          <w:highlight w:val="none"/>
        </w:rPr>
        <w:t>安排</w:t>
      </w:r>
      <w:r>
        <w:rPr>
          <w:rFonts w:hint="eastAsia" w:cs="Arial"/>
          <w:b w:val="0"/>
          <w:bCs w:val="0"/>
          <w:color w:val="auto"/>
          <w:sz w:val="32"/>
          <w:szCs w:val="44"/>
          <w:lang w:val="en-US" w:eastAsia="zh-CN"/>
        </w:rPr>
        <w:t>及</w:t>
      </w:r>
      <w:r>
        <w:rPr>
          <w:rFonts w:hint="eastAsia" w:ascii="Arial" w:hAnsi="Arial" w:eastAsia="黑体" w:cs="Arial"/>
          <w:b w:val="0"/>
          <w:bCs w:val="0"/>
          <w:color w:val="auto"/>
          <w:sz w:val="32"/>
          <w:szCs w:val="44"/>
          <w:highlight w:val="none"/>
        </w:rPr>
        <w:t>支出情况</w:t>
      </w:r>
    </w:p>
    <w:p>
      <w:pPr>
        <w:keepNext w:val="0"/>
        <w:keepLines w:val="0"/>
        <w:pageBreakBefore w:val="0"/>
        <w:widowControl w:val="0"/>
        <w:kinsoku/>
        <w:wordWrap/>
        <w:overflowPunct w:val="0"/>
        <w:topLinePunct w:val="0"/>
        <w:autoSpaceDE w:val="0"/>
        <w:autoSpaceDN w:val="0"/>
        <w:bidi w:val="0"/>
        <w:adjustRightInd/>
        <w:snapToGrid/>
        <w:spacing w:beforeLines="0" w:afterLines="0" w:line="560" w:lineRule="exact"/>
        <w:ind w:firstLine="608" w:firstLineChars="200"/>
        <w:jc w:val="both"/>
        <w:rPr>
          <w:rFonts w:hint="eastAsia" w:ascii="楷体_GB2312" w:hAnsi="楷体_GB2312" w:eastAsia="楷体_GB2312" w:cs="楷体_GB2312"/>
          <w:b w:val="0"/>
          <w:bCs w:val="0"/>
          <w:snapToGrid w:val="0"/>
          <w:color w:val="auto"/>
          <w:spacing w:val="-8"/>
          <w:kern w:val="0"/>
          <w:sz w:val="32"/>
          <w:szCs w:val="32"/>
          <w:lang w:val="en-US" w:eastAsia="zh-CN"/>
        </w:rPr>
      </w:pPr>
      <w:r>
        <w:rPr>
          <w:rFonts w:hint="eastAsia" w:ascii="楷体_GB2312" w:hAnsi="楷体_GB2312" w:eastAsia="楷体_GB2312" w:cs="楷体_GB2312"/>
          <w:b w:val="0"/>
          <w:bCs w:val="0"/>
          <w:snapToGrid w:val="0"/>
          <w:color w:val="auto"/>
          <w:spacing w:val="-8"/>
          <w:kern w:val="0"/>
          <w:sz w:val="32"/>
          <w:szCs w:val="32"/>
          <w:lang w:val="en-US" w:eastAsia="zh-CN"/>
        </w:rPr>
        <w:t>（一）资金安排</w:t>
      </w:r>
    </w:p>
    <w:p>
      <w:pPr>
        <w:keepNext w:val="0"/>
        <w:keepLines w:val="0"/>
        <w:pageBreakBefore w:val="0"/>
        <w:widowControl w:val="0"/>
        <w:kinsoku/>
        <w:wordWrap/>
        <w:overflowPunct w:val="0"/>
        <w:topLinePunct w:val="0"/>
        <w:autoSpaceDE w:val="0"/>
        <w:autoSpaceDN w:val="0"/>
        <w:bidi w:val="0"/>
        <w:adjustRightInd/>
        <w:snapToGrid/>
        <w:spacing w:beforeLines="0" w:afterLines="0" w:line="560" w:lineRule="exact"/>
        <w:ind w:firstLine="608" w:firstLineChars="200"/>
        <w:jc w:val="both"/>
        <w:rPr>
          <w:rFonts w:hint="eastAsia" w:ascii="仿宋_GB2312" w:hAnsi="仿宋_GB2312" w:eastAsia="仿宋_GB2312" w:cs="仿宋_GB2312"/>
          <w:color w:val="auto"/>
          <w:kern w:val="2"/>
          <w:sz w:val="32"/>
          <w:szCs w:val="32"/>
          <w:highlight w:val="none"/>
          <w:lang w:bidi="zh-CN"/>
        </w:rPr>
      </w:pPr>
      <w:r>
        <w:rPr>
          <w:rFonts w:hint="eastAsia" w:ascii="仿宋_GB2312" w:hAnsi="仿宋_GB2312" w:eastAsia="仿宋_GB2312" w:cs="仿宋_GB2312"/>
          <w:b w:val="0"/>
          <w:bCs w:val="0"/>
          <w:snapToGrid w:val="0"/>
          <w:color w:val="auto"/>
          <w:spacing w:val="-8"/>
          <w:kern w:val="0"/>
          <w:sz w:val="32"/>
          <w:szCs w:val="32"/>
          <w:lang w:val="en-US" w:eastAsia="zh-CN"/>
        </w:rPr>
        <w:t>该</w:t>
      </w:r>
      <w:r>
        <w:rPr>
          <w:rFonts w:hint="eastAsia" w:ascii="仿宋_GB2312" w:hAnsi="仿宋_GB2312" w:eastAsia="仿宋_GB2312" w:cs="仿宋_GB2312"/>
          <w:b w:val="0"/>
          <w:bCs w:val="0"/>
          <w:snapToGrid w:val="0"/>
          <w:color w:val="auto"/>
          <w:spacing w:val="-8"/>
          <w:kern w:val="0"/>
          <w:sz w:val="32"/>
          <w:szCs w:val="32"/>
        </w:rPr>
        <w:t>项目资金来源为</w:t>
      </w:r>
      <w:r>
        <w:rPr>
          <w:rFonts w:hint="eastAsia" w:ascii="仿宋_GB2312" w:hAnsi="仿宋_GB2312" w:eastAsia="仿宋_GB2312" w:cs="仿宋_GB2312"/>
          <w:b w:val="0"/>
          <w:bCs w:val="0"/>
          <w:snapToGrid w:val="0"/>
          <w:color w:val="auto"/>
          <w:spacing w:val="-8"/>
          <w:kern w:val="0"/>
          <w:sz w:val="32"/>
          <w:szCs w:val="32"/>
          <w:lang w:val="en-US" w:eastAsia="zh-CN"/>
        </w:rPr>
        <w:t>市级</w:t>
      </w:r>
      <w:r>
        <w:rPr>
          <w:rFonts w:hint="eastAsia" w:ascii="仿宋_GB2312" w:hAnsi="仿宋_GB2312" w:eastAsia="仿宋_GB2312" w:cs="仿宋_GB2312"/>
          <w:b w:val="0"/>
          <w:bCs w:val="0"/>
          <w:snapToGrid w:val="0"/>
          <w:color w:val="auto"/>
          <w:spacing w:val="-8"/>
          <w:kern w:val="0"/>
          <w:sz w:val="32"/>
          <w:szCs w:val="32"/>
        </w:rPr>
        <w:t>财政资金，</w:t>
      </w:r>
      <w:r>
        <w:rPr>
          <w:rFonts w:hint="eastAsia" w:ascii="仿宋_GB2312" w:hAnsi="仿宋_GB2312" w:eastAsia="仿宋_GB2312" w:cs="仿宋_GB2312"/>
          <w:b w:val="0"/>
          <w:bCs w:val="0"/>
          <w:snapToGrid w:val="0"/>
          <w:color w:val="auto"/>
          <w:spacing w:val="-8"/>
          <w:kern w:val="0"/>
          <w:sz w:val="32"/>
          <w:szCs w:val="32"/>
          <w:lang w:val="en-US" w:eastAsia="zh-CN" w:bidi="ar-SA"/>
        </w:rPr>
        <w:t>菏泽家政职业学院于2021年向菏泽市财政局申</w:t>
      </w:r>
      <w:bookmarkStart w:id="1" w:name="_GoBack"/>
      <w:bookmarkEnd w:id="1"/>
      <w:r>
        <w:rPr>
          <w:rFonts w:hint="eastAsia" w:ascii="仿宋_GB2312" w:hAnsi="仿宋_GB2312" w:eastAsia="仿宋_GB2312" w:cs="仿宋_GB2312"/>
          <w:b w:val="0"/>
          <w:bCs w:val="0"/>
          <w:snapToGrid w:val="0"/>
          <w:color w:val="auto"/>
          <w:spacing w:val="-8"/>
          <w:kern w:val="0"/>
          <w:sz w:val="32"/>
          <w:szCs w:val="32"/>
          <w:lang w:val="en-US" w:eastAsia="zh-CN" w:bidi="ar-SA"/>
        </w:rPr>
        <w:t>请</w:t>
      </w:r>
      <w:r>
        <w:rPr>
          <w:rFonts w:hint="eastAsia" w:ascii="仿宋_GB2312" w:hAnsi="仿宋_GB2312" w:eastAsia="仿宋_GB2312" w:cs="仿宋_GB2312"/>
          <w:b w:val="0"/>
          <w:bCs w:val="0"/>
          <w:snapToGrid w:val="0"/>
          <w:color w:val="auto"/>
          <w:spacing w:val="-8"/>
          <w:kern w:val="0"/>
          <w:sz w:val="32"/>
          <w:szCs w:val="32"/>
          <w:lang w:val="en-US" w:eastAsia="zh-CN"/>
        </w:rPr>
        <w:t>项目</w:t>
      </w:r>
      <w:r>
        <w:rPr>
          <w:rFonts w:hint="eastAsia" w:ascii="仿宋_GB2312" w:hAnsi="仿宋_GB2312" w:eastAsia="仿宋_GB2312" w:cs="仿宋_GB2312"/>
          <w:b w:val="0"/>
          <w:bCs w:val="0"/>
          <w:snapToGrid w:val="0"/>
          <w:color w:val="auto"/>
          <w:spacing w:val="-8"/>
          <w:kern w:val="0"/>
          <w:sz w:val="32"/>
          <w:szCs w:val="32"/>
        </w:rPr>
        <w:t>资金</w:t>
      </w:r>
      <w:r>
        <w:rPr>
          <w:rFonts w:hint="eastAsia" w:ascii="仿宋_GB2312" w:hAnsi="仿宋_GB2312" w:eastAsia="仿宋_GB2312" w:cs="仿宋_GB2312"/>
          <w:b w:val="0"/>
          <w:bCs w:val="0"/>
          <w:snapToGrid w:val="0"/>
          <w:color w:val="auto"/>
          <w:spacing w:val="-8"/>
          <w:kern w:val="0"/>
          <w:sz w:val="32"/>
          <w:szCs w:val="32"/>
          <w:lang w:val="en-US" w:eastAsia="zh-CN"/>
        </w:rPr>
        <w:t>292万元，后于年底收回。2022年4月8日，学院向</w:t>
      </w:r>
      <w:r>
        <w:rPr>
          <w:rFonts w:hint="eastAsia" w:ascii="仿宋_GB2312" w:hAnsi="仿宋_GB2312" w:eastAsia="仿宋_GB2312" w:cs="仿宋_GB2312"/>
          <w:b w:val="0"/>
          <w:bCs w:val="0"/>
          <w:snapToGrid w:val="0"/>
          <w:color w:val="auto"/>
          <w:spacing w:val="-8"/>
          <w:kern w:val="0"/>
          <w:sz w:val="32"/>
          <w:szCs w:val="32"/>
          <w:lang w:val="en-US" w:eastAsia="zh-CN" w:bidi="ar-SA"/>
        </w:rPr>
        <w:t>菏泽</w:t>
      </w:r>
      <w:r>
        <w:rPr>
          <w:rFonts w:hint="eastAsia" w:ascii="仿宋_GB2312" w:hAnsi="仿宋_GB2312" w:eastAsia="仿宋_GB2312" w:cs="仿宋_GB2312"/>
          <w:b w:val="0"/>
          <w:bCs w:val="0"/>
          <w:snapToGrid w:val="0"/>
          <w:color w:val="auto"/>
          <w:spacing w:val="-8"/>
          <w:kern w:val="0"/>
          <w:sz w:val="32"/>
          <w:szCs w:val="32"/>
          <w:lang w:val="en-US" w:eastAsia="zh-CN"/>
        </w:rPr>
        <w:t>市财政局申请该项目2022年度预算286.5万元。</w:t>
      </w:r>
      <w:r>
        <w:rPr>
          <w:rFonts w:hint="eastAsia" w:ascii="仿宋_GB2312" w:hAnsi="仿宋_GB2312" w:eastAsia="仿宋_GB2312" w:cs="仿宋_GB2312"/>
          <w:b w:val="0"/>
          <w:bCs w:val="0"/>
          <w:snapToGrid w:val="0"/>
          <w:color w:val="auto"/>
          <w:spacing w:val="-8"/>
          <w:kern w:val="0"/>
          <w:sz w:val="32"/>
          <w:szCs w:val="32"/>
          <w:lang w:val="en-US" w:eastAsia="zh-CN" w:bidi="ar-SA"/>
        </w:rPr>
        <w:t>菏泽</w:t>
      </w:r>
      <w:r>
        <w:rPr>
          <w:rFonts w:hint="eastAsia" w:ascii="仿宋_GB2312" w:hAnsi="仿宋_GB2312" w:eastAsia="仿宋_GB2312" w:cs="仿宋_GB2312"/>
          <w:b w:val="0"/>
          <w:bCs w:val="0"/>
          <w:snapToGrid w:val="0"/>
          <w:color w:val="auto"/>
          <w:spacing w:val="-8"/>
          <w:kern w:val="0"/>
          <w:sz w:val="32"/>
          <w:szCs w:val="32"/>
          <w:lang w:val="en-US" w:eastAsia="zh-CN"/>
        </w:rPr>
        <w:t>市</w:t>
      </w:r>
      <w:r>
        <w:rPr>
          <w:rFonts w:hint="eastAsia" w:ascii="仿宋_GB2312" w:hAnsi="仿宋_GB2312" w:eastAsia="仿宋_GB2312" w:cs="仿宋_GB2312"/>
          <w:color w:val="auto"/>
          <w:kern w:val="2"/>
          <w:sz w:val="32"/>
          <w:szCs w:val="32"/>
          <w:lang w:bidi="zh-CN"/>
        </w:rPr>
        <w:t>财政</w:t>
      </w:r>
      <w:r>
        <w:rPr>
          <w:rFonts w:hint="eastAsia" w:ascii="仿宋_GB2312" w:hAnsi="仿宋_GB2312" w:eastAsia="仿宋_GB2312" w:cs="仿宋_GB2312"/>
          <w:color w:val="auto"/>
          <w:kern w:val="2"/>
          <w:sz w:val="32"/>
          <w:szCs w:val="32"/>
          <w:lang w:val="en-US" w:bidi="zh-CN"/>
        </w:rPr>
        <w:t>局实际</w:t>
      </w:r>
      <w:r>
        <w:rPr>
          <w:rFonts w:hint="eastAsia" w:ascii="仿宋_GB2312" w:hAnsi="仿宋_GB2312" w:eastAsia="仿宋_GB2312" w:cs="仿宋_GB2312"/>
          <w:color w:val="auto"/>
          <w:kern w:val="2"/>
          <w:sz w:val="32"/>
          <w:szCs w:val="32"/>
          <w:lang w:bidi="zh-CN"/>
        </w:rPr>
        <w:t>批复</w:t>
      </w:r>
      <w:r>
        <w:rPr>
          <w:rFonts w:hint="eastAsia" w:ascii="仿宋_GB2312" w:hAnsi="仿宋_GB2312" w:eastAsia="仿宋_GB2312" w:cs="仿宋_GB2312"/>
          <w:color w:val="auto"/>
          <w:kern w:val="2"/>
          <w:sz w:val="32"/>
          <w:szCs w:val="32"/>
          <w:lang w:val="en-US" w:bidi="zh-CN"/>
        </w:rPr>
        <w:t>预算286.5</w:t>
      </w:r>
      <w:r>
        <w:rPr>
          <w:rFonts w:hint="eastAsia" w:ascii="仿宋_GB2312" w:hAnsi="仿宋_GB2312" w:eastAsia="仿宋_GB2312" w:cs="仿宋_GB2312"/>
          <w:color w:val="auto"/>
          <w:kern w:val="2"/>
          <w:sz w:val="32"/>
          <w:szCs w:val="32"/>
          <w:lang w:bidi="zh-CN"/>
        </w:rPr>
        <w:t>万元</w:t>
      </w:r>
      <w:r>
        <w:rPr>
          <w:rFonts w:hint="eastAsia" w:ascii="仿宋_GB2312" w:hAnsi="仿宋_GB2312" w:eastAsia="仿宋_GB2312" w:cs="仿宋_GB2312"/>
          <w:color w:val="auto"/>
          <w:kern w:val="2"/>
          <w:sz w:val="32"/>
          <w:szCs w:val="32"/>
          <w:highlight w:val="none"/>
          <w:lang w:bidi="zh-CN"/>
        </w:rPr>
        <w:t>。</w:t>
      </w:r>
    </w:p>
    <w:p>
      <w:pPr>
        <w:keepNext w:val="0"/>
        <w:keepLines w:val="0"/>
        <w:pageBreakBefore w:val="0"/>
        <w:widowControl w:val="0"/>
        <w:kinsoku/>
        <w:wordWrap/>
        <w:overflowPunct w:val="0"/>
        <w:topLinePunct w:val="0"/>
        <w:autoSpaceDE w:val="0"/>
        <w:autoSpaceDN w:val="0"/>
        <w:bidi w:val="0"/>
        <w:adjustRightInd/>
        <w:snapToGrid/>
        <w:spacing w:beforeLines="0" w:afterLines="0" w:line="560" w:lineRule="exact"/>
        <w:ind w:firstLine="608" w:firstLineChars="200"/>
        <w:jc w:val="both"/>
        <w:rPr>
          <w:rFonts w:hint="eastAsia" w:ascii="楷体_GB2312" w:hAnsi="楷体_GB2312" w:eastAsia="楷体_GB2312" w:cs="楷体_GB2312"/>
          <w:snapToGrid w:val="0"/>
          <w:kern w:val="0"/>
          <w:sz w:val="32"/>
          <w:szCs w:val="32"/>
          <w:highlight w:val="none"/>
          <w:lang w:val="en-US" w:eastAsia="zh-CN" w:bidi="ar-SA"/>
        </w:rPr>
      </w:pPr>
      <w:r>
        <w:rPr>
          <w:rFonts w:hint="eastAsia" w:ascii="楷体_GB2312" w:hAnsi="楷体_GB2312" w:eastAsia="楷体_GB2312" w:cs="楷体_GB2312"/>
          <w:b w:val="0"/>
          <w:bCs w:val="0"/>
          <w:snapToGrid w:val="0"/>
          <w:color w:val="auto"/>
          <w:spacing w:val="-8"/>
          <w:kern w:val="0"/>
          <w:sz w:val="32"/>
          <w:szCs w:val="32"/>
          <w:lang w:val="en-US" w:eastAsia="zh-CN"/>
        </w:rPr>
        <w:t>（二）支出情况</w:t>
      </w:r>
    </w:p>
    <w:p>
      <w:pPr>
        <w:keepNext w:val="0"/>
        <w:keepLines w:val="0"/>
        <w:pageBreakBefore w:val="0"/>
        <w:widowControl w:val="0"/>
        <w:kinsoku/>
        <w:wordWrap/>
        <w:overflowPunct w:val="0"/>
        <w:topLinePunct w:val="0"/>
        <w:autoSpaceDE w:val="0"/>
        <w:autoSpaceDN w:val="0"/>
        <w:bidi w:val="0"/>
        <w:adjustRightInd/>
        <w:snapToGrid/>
        <w:spacing w:beforeLines="0" w:afterLines="0" w:line="560" w:lineRule="exact"/>
        <w:ind w:firstLine="640" w:firstLineChars="200"/>
        <w:jc w:val="both"/>
        <w:rPr>
          <w:rFonts w:hint="eastAsia" w:ascii="仿宋" w:hAnsi="仿宋" w:eastAsia="仿宋" w:cs="仿宋"/>
          <w:color w:val="auto"/>
          <w:kern w:val="2"/>
          <w:sz w:val="32"/>
          <w:szCs w:val="32"/>
          <w:highlight w:val="yellow"/>
          <w:lang w:val="en-US" w:bidi="zh-CN"/>
        </w:rPr>
      </w:pPr>
      <w:r>
        <w:rPr>
          <w:rFonts w:hint="eastAsia" w:ascii="仿宋_GB2312" w:hAnsi="仿宋_GB2312" w:eastAsia="仿宋_GB2312" w:cs="仿宋_GB2312"/>
          <w:snapToGrid w:val="0"/>
          <w:kern w:val="0"/>
          <w:sz w:val="32"/>
          <w:szCs w:val="32"/>
          <w:highlight w:val="none"/>
          <w:lang w:val="en-US" w:eastAsia="zh-CN" w:bidi="ar-SA"/>
        </w:rPr>
        <w:t>截至2022年8月31日，</w:t>
      </w:r>
      <w:r>
        <w:rPr>
          <w:rFonts w:hint="eastAsia" w:ascii="仿宋_GB2312" w:hAnsi="仿宋_GB2312" w:eastAsia="仿宋_GB2312" w:cs="仿宋_GB2312"/>
          <w:snapToGrid w:val="0"/>
          <w:kern w:val="0"/>
          <w:sz w:val="32"/>
          <w:szCs w:val="32"/>
          <w:lang w:val="en-US" w:eastAsia="zh-CN" w:bidi="ar-SA"/>
        </w:rPr>
        <w:t>菏泽</w:t>
      </w:r>
      <w:r>
        <w:rPr>
          <w:rFonts w:hint="eastAsia" w:ascii="仿宋_GB2312" w:hAnsi="仿宋_GB2312" w:eastAsia="仿宋_GB2312" w:cs="仿宋_GB2312"/>
          <w:snapToGrid w:val="0"/>
          <w:kern w:val="0"/>
          <w:sz w:val="32"/>
          <w:szCs w:val="32"/>
          <w:highlight w:val="none"/>
          <w:lang w:val="en-US" w:eastAsia="zh-CN" w:bidi="ar-SA"/>
        </w:rPr>
        <w:t>市财政局拨付</w:t>
      </w:r>
      <w:r>
        <w:rPr>
          <w:rFonts w:hint="eastAsia" w:ascii="仿宋_GB2312" w:hAnsi="仿宋_GB2312" w:eastAsia="仿宋_GB2312" w:cs="仿宋_GB2312"/>
          <w:snapToGrid w:val="0"/>
          <w:kern w:val="0"/>
          <w:sz w:val="32"/>
          <w:szCs w:val="32"/>
          <w:lang w:val="en-US" w:eastAsia="zh-CN" w:bidi="ar-SA"/>
        </w:rPr>
        <w:t>项目资金</w:t>
      </w:r>
      <w:r>
        <w:rPr>
          <w:rFonts w:hint="eastAsia" w:ascii="仿宋_GB2312" w:hAnsi="仿宋_GB2312" w:eastAsia="仿宋_GB2312" w:cs="仿宋_GB2312"/>
          <w:snapToGrid w:val="0"/>
          <w:kern w:val="0"/>
          <w:sz w:val="32"/>
          <w:szCs w:val="32"/>
          <w:highlight w:val="none"/>
          <w:lang w:val="en-US" w:eastAsia="zh-CN" w:bidi="ar-SA"/>
        </w:rPr>
        <w:t>286.5</w:t>
      </w:r>
      <w:r>
        <w:rPr>
          <w:rFonts w:hint="eastAsia" w:ascii="仿宋_GB2312" w:hAnsi="仿宋_GB2312" w:eastAsia="仿宋_GB2312" w:cs="仿宋_GB2312"/>
          <w:snapToGrid w:val="0"/>
          <w:kern w:val="0"/>
          <w:sz w:val="32"/>
          <w:szCs w:val="32"/>
          <w:lang w:val="en-US" w:eastAsia="zh-CN" w:bidi="ar-SA"/>
        </w:rPr>
        <w:t>万元，学院实际支出281.0361万元，结余5.4639万元，预算执行率为98.09%。</w:t>
      </w:r>
    </w:p>
    <w:p>
      <w:pPr>
        <w:pStyle w:val="5"/>
        <w:keepNext w:val="0"/>
        <w:keepLines w:val="0"/>
        <w:pageBreakBefore w:val="0"/>
        <w:kinsoku/>
        <w:wordWrap/>
        <w:overflowPunct w:val="0"/>
        <w:topLinePunct w:val="0"/>
        <w:autoSpaceDE w:val="0"/>
        <w:autoSpaceDN w:val="0"/>
        <w:bidi w:val="0"/>
        <w:adjustRightInd/>
        <w:snapToGrid/>
        <w:spacing w:before="0" w:beforeLines="0" w:after="0" w:afterLines="0" w:line="560" w:lineRule="exact"/>
        <w:ind w:firstLine="640" w:firstLineChars="200"/>
        <w:jc w:val="both"/>
        <w:rPr>
          <w:rFonts w:hint="eastAsia" w:ascii="Arial" w:hAnsi="Arial" w:eastAsia="黑体" w:cs="Arial"/>
          <w:b w:val="0"/>
          <w:bCs w:val="0"/>
          <w:color w:val="auto"/>
          <w:sz w:val="32"/>
          <w:szCs w:val="44"/>
          <w:highlight w:val="yellow"/>
          <w:lang w:val="en-US" w:eastAsia="zh-CN"/>
        </w:rPr>
      </w:pPr>
      <w:r>
        <w:rPr>
          <w:rFonts w:hint="eastAsia" w:ascii="Arial" w:hAnsi="Arial" w:eastAsia="黑体" w:cs="Arial"/>
          <w:b w:val="0"/>
          <w:bCs w:val="0"/>
          <w:color w:val="auto"/>
          <w:sz w:val="32"/>
          <w:szCs w:val="44"/>
          <w:lang w:val="en-US" w:eastAsia="zh-CN"/>
        </w:rPr>
        <w:t>三、</w:t>
      </w:r>
      <w:r>
        <w:rPr>
          <w:rFonts w:hint="eastAsia" w:ascii="Arial" w:hAnsi="Arial" w:eastAsia="黑体" w:cs="Arial"/>
          <w:b w:val="0"/>
          <w:bCs w:val="0"/>
          <w:color w:val="auto"/>
          <w:sz w:val="32"/>
          <w:szCs w:val="44"/>
        </w:rPr>
        <w:t>项目内容</w:t>
      </w:r>
      <w:r>
        <w:rPr>
          <w:rFonts w:hint="eastAsia" w:ascii="Arial" w:hAnsi="Arial" w:eastAsia="黑体" w:cs="Arial"/>
          <w:b w:val="0"/>
          <w:bCs w:val="0"/>
          <w:color w:val="auto"/>
          <w:sz w:val="32"/>
          <w:szCs w:val="44"/>
          <w:lang w:val="en-US" w:eastAsia="zh-CN"/>
        </w:rPr>
        <w:t>及实施情况</w:t>
      </w:r>
    </w:p>
    <w:p>
      <w:pPr>
        <w:pStyle w:val="93"/>
        <w:keepNext w:val="0"/>
        <w:keepLines w:val="0"/>
        <w:pageBreakBefore w:val="0"/>
        <w:widowControl w:val="0"/>
        <w:kinsoku/>
        <w:wordWrap/>
        <w:overflowPunct w:val="0"/>
        <w:topLinePunct w:val="0"/>
        <w:autoSpaceDE/>
        <w:autoSpaceDN/>
        <w:bidi w:val="0"/>
        <w:adjustRightInd/>
        <w:snapToGrid/>
        <w:spacing w:beforeLines="0" w:afterLines="0" w:line="560" w:lineRule="exact"/>
        <w:ind w:firstLine="608" w:firstLineChars="200"/>
        <w:jc w:val="both"/>
        <w:textAlignment w:val="auto"/>
        <w:rPr>
          <w:rFonts w:hint="eastAsia" w:ascii="楷体_GB2312" w:hAnsi="楷体_GB2312" w:eastAsia="楷体_GB2312" w:cs="楷体_GB2312"/>
          <w:snapToGrid w:val="0"/>
          <w:kern w:val="0"/>
          <w:sz w:val="32"/>
          <w:szCs w:val="32"/>
          <w:lang w:val="en-US" w:eastAsia="zh-CN" w:bidi="ar-SA"/>
        </w:rPr>
      </w:pPr>
      <w:r>
        <w:rPr>
          <w:rFonts w:hint="eastAsia" w:ascii="楷体_GB2312" w:hAnsi="楷体_GB2312" w:eastAsia="楷体_GB2312" w:cs="楷体_GB2312"/>
          <w:b w:val="0"/>
          <w:bCs w:val="0"/>
          <w:snapToGrid w:val="0"/>
          <w:color w:val="auto"/>
          <w:spacing w:val="-8"/>
          <w:kern w:val="0"/>
          <w:sz w:val="32"/>
          <w:szCs w:val="32"/>
          <w:lang w:val="en-US" w:eastAsia="zh-CN"/>
        </w:rPr>
        <w:t>（一）项目内容</w:t>
      </w:r>
    </w:p>
    <w:p>
      <w:pPr>
        <w:pStyle w:val="93"/>
        <w:keepNext w:val="0"/>
        <w:keepLines w:val="0"/>
        <w:pageBreakBefore w:val="0"/>
        <w:widowControl w:val="0"/>
        <w:kinsoku/>
        <w:wordWrap/>
        <w:overflowPunct w:val="0"/>
        <w:topLinePunct w:val="0"/>
        <w:autoSpaceDE/>
        <w:autoSpaceDN/>
        <w:bidi w:val="0"/>
        <w:adjustRightInd/>
        <w:snapToGrid/>
        <w:spacing w:beforeLines="0" w:afterLines="0" w:line="560" w:lineRule="exact"/>
        <w:ind w:firstLine="640" w:firstLineChars="200"/>
        <w:jc w:val="both"/>
        <w:textAlignment w:val="auto"/>
        <w:rPr>
          <w:rFonts w:hint="eastAsia" w:ascii="仿宋" w:hAnsi="仿宋" w:eastAsia="仿宋" w:cs="仿宋"/>
          <w:snapToGrid w:val="0"/>
          <w:kern w:val="0"/>
          <w:sz w:val="32"/>
          <w:szCs w:val="32"/>
          <w:highlight w:val="none"/>
          <w:lang w:val="en-US" w:eastAsia="zh-CN" w:bidi="ar-SA"/>
        </w:rPr>
      </w:pPr>
      <w:r>
        <w:rPr>
          <w:rFonts w:hint="eastAsia" w:ascii="仿宋_GB2312" w:hAnsi="仿宋_GB2312" w:eastAsia="仿宋_GB2312" w:cs="仿宋_GB2312"/>
          <w:snapToGrid w:val="0"/>
          <w:kern w:val="0"/>
          <w:sz w:val="32"/>
          <w:szCs w:val="32"/>
          <w:lang w:val="en-US" w:eastAsia="zh-CN" w:bidi="ar-SA"/>
        </w:rPr>
        <w:t>项目计划建设内容包括</w:t>
      </w:r>
      <w:r>
        <w:rPr>
          <w:rFonts w:hint="eastAsia" w:ascii="仿宋_GB2312" w:hAnsi="仿宋_GB2312" w:eastAsia="仿宋_GB2312" w:cs="仿宋_GB2312"/>
          <w:snapToGrid w:val="0"/>
          <w:kern w:val="0"/>
          <w:sz w:val="32"/>
          <w:szCs w:val="32"/>
          <w:highlight w:val="none"/>
          <w:lang w:val="en-US" w:eastAsia="zh-CN" w:bidi="ar-SA"/>
        </w:rPr>
        <w:t>新建设点位</w:t>
      </w:r>
      <w:r>
        <w:rPr>
          <w:rFonts w:hint="eastAsia" w:ascii="仿宋_GB2312" w:hAnsi="仿宋_GB2312" w:eastAsia="仿宋_GB2312" w:cs="仿宋_GB2312"/>
          <w:color w:val="auto"/>
          <w:kern w:val="0"/>
          <w:sz w:val="32"/>
          <w:szCs w:val="32"/>
          <w:highlight w:val="none"/>
          <w:lang w:val="en-US" w:eastAsia="zh-CN" w:bidi="ar-SA"/>
        </w:rPr>
        <w:t>680个</w:t>
      </w:r>
      <w:r>
        <w:rPr>
          <w:rFonts w:hint="eastAsia" w:ascii="仿宋_GB2312" w:hAnsi="仿宋_GB2312" w:eastAsia="仿宋_GB2312" w:cs="仿宋_GB2312"/>
          <w:snapToGrid w:val="0"/>
          <w:kern w:val="0"/>
          <w:sz w:val="32"/>
          <w:szCs w:val="32"/>
          <w:highlight w:val="none"/>
          <w:lang w:val="en-US" w:eastAsia="zh-CN" w:bidi="ar-SA"/>
        </w:rPr>
        <w:t>和改造现有点位71个，</w:t>
      </w:r>
      <w:r>
        <w:rPr>
          <w:rFonts w:hint="eastAsia" w:ascii="仿宋_GB2312" w:hAnsi="仿宋_GB2312" w:eastAsia="仿宋_GB2312" w:cs="仿宋_GB2312"/>
          <w:snapToGrid w:val="0"/>
          <w:kern w:val="0"/>
          <w:sz w:val="32"/>
          <w:szCs w:val="32"/>
          <w:lang w:val="en-US" w:eastAsia="zh-CN" w:bidi="ar-SA"/>
        </w:rPr>
        <w:t>主要内容如下：一是</w:t>
      </w:r>
      <w:r>
        <w:rPr>
          <w:rFonts w:hint="eastAsia" w:ascii="仿宋_GB2312" w:hAnsi="仿宋_GB2312" w:eastAsia="仿宋_GB2312" w:cs="仿宋_GB2312"/>
          <w:snapToGrid w:val="0"/>
          <w:kern w:val="0"/>
          <w:sz w:val="32"/>
          <w:szCs w:val="32"/>
          <w:highlight w:val="none"/>
          <w:lang w:val="en-US" w:eastAsia="zh-CN" w:bidi="ar-SA"/>
        </w:rPr>
        <w:t>实现学校室外场所视频监控全覆盖；二</w:t>
      </w:r>
      <w:r>
        <w:rPr>
          <w:rFonts w:hint="eastAsia" w:ascii="仿宋_GB2312" w:hAnsi="仿宋_GB2312" w:eastAsia="仿宋_GB2312" w:cs="仿宋_GB2312"/>
          <w:snapToGrid w:val="0"/>
          <w:kern w:val="0"/>
          <w:sz w:val="32"/>
          <w:szCs w:val="32"/>
          <w:lang w:val="en-US" w:eastAsia="zh-CN" w:bidi="ar-SA"/>
        </w:rPr>
        <w:t>是</w:t>
      </w:r>
      <w:r>
        <w:rPr>
          <w:rFonts w:hint="eastAsia" w:ascii="仿宋_GB2312" w:hAnsi="仿宋_GB2312" w:eastAsia="仿宋_GB2312" w:cs="仿宋_GB2312"/>
          <w:snapToGrid w:val="0"/>
          <w:kern w:val="0"/>
          <w:sz w:val="32"/>
          <w:szCs w:val="32"/>
          <w:highlight w:val="none"/>
          <w:lang w:val="en-US" w:eastAsia="zh-CN" w:bidi="ar-SA"/>
        </w:rPr>
        <w:t>实现学校各楼宇内走廊、楼梯、楼宇出入口等全覆盖；</w:t>
      </w:r>
      <w:r>
        <w:rPr>
          <w:rFonts w:hint="eastAsia" w:ascii="仿宋_GB2312" w:hAnsi="仿宋_GB2312" w:eastAsia="仿宋_GB2312" w:cs="仿宋_GB2312"/>
          <w:snapToGrid w:val="0"/>
          <w:kern w:val="0"/>
          <w:sz w:val="32"/>
          <w:szCs w:val="32"/>
          <w:lang w:val="en-US" w:eastAsia="zh-CN" w:bidi="ar-SA"/>
        </w:rPr>
        <w:t>三是</w:t>
      </w:r>
      <w:r>
        <w:rPr>
          <w:rFonts w:hint="eastAsia" w:ascii="仿宋_GB2312" w:hAnsi="仿宋_GB2312" w:eastAsia="仿宋_GB2312" w:cs="仿宋_GB2312"/>
          <w:snapToGrid w:val="0"/>
          <w:kern w:val="0"/>
          <w:sz w:val="32"/>
          <w:szCs w:val="32"/>
          <w:highlight w:val="none"/>
          <w:lang w:val="en-US" w:eastAsia="zh-CN" w:bidi="ar-SA"/>
        </w:rPr>
        <w:t>实现校园出入口管理、车辆识别管理、周界防护、电子巡查等应用；</w:t>
      </w:r>
      <w:r>
        <w:rPr>
          <w:rFonts w:hint="eastAsia" w:ascii="仿宋_GB2312" w:hAnsi="仿宋_GB2312" w:eastAsia="仿宋_GB2312" w:cs="仿宋_GB2312"/>
          <w:snapToGrid w:val="0"/>
          <w:kern w:val="0"/>
          <w:sz w:val="32"/>
          <w:szCs w:val="32"/>
          <w:lang w:val="en-US" w:eastAsia="zh-CN" w:bidi="ar-SA"/>
        </w:rPr>
        <w:t>四是</w:t>
      </w:r>
      <w:r>
        <w:rPr>
          <w:rFonts w:hint="eastAsia" w:ascii="仿宋_GB2312" w:hAnsi="仿宋_GB2312" w:eastAsia="仿宋_GB2312" w:cs="仿宋_GB2312"/>
          <w:snapToGrid w:val="0"/>
          <w:kern w:val="0"/>
          <w:sz w:val="32"/>
          <w:szCs w:val="32"/>
          <w:highlight w:val="none"/>
          <w:lang w:val="en-US" w:eastAsia="zh-CN" w:bidi="ar-SA"/>
        </w:rPr>
        <w:t>建设监控应急与指挥中心，实现校园24小时监控视频服务。</w:t>
      </w:r>
    </w:p>
    <w:p>
      <w:pPr>
        <w:pStyle w:val="93"/>
        <w:keepNext w:val="0"/>
        <w:keepLines w:val="0"/>
        <w:pageBreakBefore w:val="0"/>
        <w:widowControl w:val="0"/>
        <w:kinsoku/>
        <w:wordWrap/>
        <w:overflowPunct w:val="0"/>
        <w:topLinePunct w:val="0"/>
        <w:autoSpaceDE/>
        <w:autoSpaceDN/>
        <w:bidi w:val="0"/>
        <w:adjustRightInd/>
        <w:snapToGrid/>
        <w:spacing w:beforeLines="0" w:afterLines="0" w:line="560" w:lineRule="exact"/>
        <w:ind w:firstLine="608" w:firstLineChars="200"/>
        <w:jc w:val="both"/>
        <w:textAlignment w:val="auto"/>
        <w:rPr>
          <w:rFonts w:hint="eastAsia" w:ascii="楷体_GB2312" w:hAnsi="楷体_GB2312" w:eastAsia="楷体_GB2312" w:cs="楷体_GB2312"/>
          <w:snapToGrid w:val="0"/>
          <w:kern w:val="0"/>
          <w:sz w:val="32"/>
          <w:szCs w:val="32"/>
          <w:highlight w:val="none"/>
          <w:lang w:val="en-US" w:eastAsia="zh-CN" w:bidi="ar-SA"/>
        </w:rPr>
      </w:pPr>
      <w:r>
        <w:rPr>
          <w:rFonts w:hint="eastAsia" w:ascii="楷体_GB2312" w:hAnsi="楷体_GB2312" w:eastAsia="楷体_GB2312" w:cs="楷体_GB2312"/>
          <w:b w:val="0"/>
          <w:bCs w:val="0"/>
          <w:snapToGrid w:val="0"/>
          <w:color w:val="auto"/>
          <w:spacing w:val="-8"/>
          <w:kern w:val="0"/>
          <w:sz w:val="32"/>
          <w:szCs w:val="32"/>
          <w:highlight w:val="none"/>
          <w:lang w:val="en-US" w:eastAsia="zh-CN"/>
        </w:rPr>
        <w:t>（二）实施情况</w:t>
      </w:r>
    </w:p>
    <w:p>
      <w:pPr>
        <w:pStyle w:val="93"/>
        <w:keepNext w:val="0"/>
        <w:keepLines w:val="0"/>
        <w:pageBreakBefore w:val="0"/>
        <w:widowControl w:val="0"/>
        <w:kinsoku/>
        <w:wordWrap/>
        <w:overflowPunct w:val="0"/>
        <w:topLinePunct w:val="0"/>
        <w:autoSpaceDE/>
        <w:autoSpaceDN/>
        <w:bidi w:val="0"/>
        <w:adjustRightInd/>
        <w:snapToGrid/>
        <w:spacing w:beforeLines="0" w:afterLines="0" w:line="560" w:lineRule="exact"/>
        <w:ind w:firstLine="608" w:firstLineChars="200"/>
        <w:jc w:val="both"/>
        <w:textAlignment w:val="auto"/>
        <w:rPr>
          <w:rFonts w:hint="eastAsia" w:ascii="仿宋_GB2312" w:hAnsi="仿宋_GB2312" w:eastAsia="仿宋_GB2312" w:cs="仿宋_GB2312"/>
          <w:snapToGrid w:val="0"/>
          <w:kern w:val="0"/>
          <w:sz w:val="32"/>
          <w:szCs w:val="32"/>
          <w:highlight w:val="none"/>
          <w:lang w:val="en-US" w:eastAsia="zh-CN" w:bidi="ar-SA"/>
        </w:rPr>
      </w:pPr>
      <w:r>
        <w:rPr>
          <w:rFonts w:hint="eastAsia" w:ascii="仿宋_GB2312" w:hAnsi="仿宋_GB2312" w:eastAsia="仿宋_GB2312" w:cs="仿宋_GB2312"/>
          <w:b w:val="0"/>
          <w:bCs w:val="0"/>
          <w:color w:val="auto"/>
          <w:spacing w:val="-8"/>
          <w:sz w:val="32"/>
          <w:szCs w:val="32"/>
          <w:highlight w:val="none"/>
          <w:lang w:val="en-US" w:eastAsia="zh-CN"/>
        </w:rPr>
        <w:t>截至2022年8月13日（合同约定完成时间），项目工作未能全部完成；截至2022年9月30日，</w:t>
      </w:r>
      <w:r>
        <w:rPr>
          <w:rFonts w:hint="eastAsia" w:ascii="仿宋_GB2312" w:hAnsi="仿宋_GB2312" w:eastAsia="仿宋_GB2312" w:cs="仿宋_GB2312"/>
          <w:color w:val="000000"/>
          <w:kern w:val="0"/>
          <w:sz w:val="32"/>
          <w:szCs w:val="32"/>
          <w:highlight w:val="none"/>
          <w:lang w:bidi="ar-SA"/>
        </w:rPr>
        <w:t>系统软件功能调整</w:t>
      </w:r>
      <w:r>
        <w:rPr>
          <w:rFonts w:hint="eastAsia" w:ascii="仿宋_GB2312" w:hAnsi="仿宋_GB2312" w:eastAsia="仿宋_GB2312" w:cs="仿宋_GB2312"/>
          <w:b w:val="0"/>
          <w:bCs w:val="0"/>
          <w:color w:val="auto"/>
          <w:spacing w:val="-8"/>
          <w:sz w:val="32"/>
          <w:szCs w:val="32"/>
          <w:highlight w:val="none"/>
          <w:lang w:val="en-US" w:eastAsia="zh-CN"/>
        </w:rPr>
        <w:t>工作仍未完成。</w:t>
      </w:r>
      <w:r>
        <w:rPr>
          <w:rFonts w:hint="eastAsia" w:ascii="仿宋_GB2312" w:hAnsi="仿宋_GB2312" w:eastAsia="仿宋_GB2312" w:cs="仿宋_GB2312"/>
          <w:b w:val="0"/>
          <w:bCs w:val="0"/>
          <w:color w:val="auto"/>
          <w:spacing w:val="-8"/>
          <w:sz w:val="32"/>
          <w:szCs w:val="32"/>
          <w:lang w:val="en-US" w:eastAsia="zh-CN"/>
        </w:rPr>
        <w:t>项目总体产出完成率</w:t>
      </w:r>
      <w:r>
        <w:rPr>
          <w:rFonts w:hint="eastAsia" w:ascii="仿宋_GB2312" w:hAnsi="仿宋_GB2312" w:eastAsia="仿宋_GB2312" w:cs="仿宋_GB2312"/>
          <w:b w:val="0"/>
          <w:bCs w:val="0"/>
          <w:color w:val="auto"/>
          <w:spacing w:val="-8"/>
          <w:sz w:val="32"/>
          <w:szCs w:val="32"/>
          <w:highlight w:val="none"/>
          <w:lang w:val="en-US" w:eastAsia="zh-CN"/>
        </w:rPr>
        <w:t>约为90%</w:t>
      </w:r>
      <w:r>
        <w:rPr>
          <w:rFonts w:hint="eastAsia" w:ascii="仿宋_GB2312" w:hAnsi="仿宋_GB2312" w:eastAsia="仿宋_GB2312" w:cs="仿宋_GB2312"/>
          <w:b w:val="0"/>
          <w:bCs w:val="0"/>
          <w:color w:val="auto"/>
          <w:spacing w:val="-8"/>
          <w:sz w:val="32"/>
          <w:szCs w:val="32"/>
          <w:lang w:val="en-US" w:eastAsia="zh-CN"/>
        </w:rPr>
        <w:t>。</w:t>
      </w:r>
    </w:p>
    <w:p>
      <w:pPr>
        <w:pStyle w:val="5"/>
        <w:keepNext w:val="0"/>
        <w:keepLines w:val="0"/>
        <w:pageBreakBefore w:val="0"/>
        <w:kinsoku/>
        <w:wordWrap/>
        <w:overflowPunct w:val="0"/>
        <w:topLinePunct w:val="0"/>
        <w:bidi w:val="0"/>
        <w:adjustRightInd/>
        <w:snapToGrid/>
        <w:spacing w:before="0" w:beforeLines="0" w:after="0" w:afterLines="0" w:line="560" w:lineRule="exact"/>
        <w:ind w:firstLine="640" w:firstLineChars="200"/>
        <w:jc w:val="both"/>
        <w:rPr>
          <w:rFonts w:hint="default" w:eastAsia="黑体"/>
          <w:b w:val="0"/>
          <w:bCs w:val="0"/>
          <w:color w:val="auto"/>
          <w:lang w:val="en-US" w:eastAsia="zh-CN"/>
        </w:rPr>
      </w:pPr>
      <w:r>
        <w:rPr>
          <w:rFonts w:hint="eastAsia"/>
          <w:b w:val="0"/>
          <w:bCs w:val="0"/>
          <w:color w:val="auto"/>
          <w:lang w:val="en-US" w:eastAsia="zh-CN"/>
        </w:rPr>
        <w:t>四</w:t>
      </w:r>
      <w:r>
        <w:rPr>
          <w:rFonts w:hint="eastAsia"/>
          <w:b w:val="0"/>
          <w:bCs w:val="0"/>
          <w:color w:val="auto"/>
        </w:rPr>
        <w:t>、绩效评价</w:t>
      </w:r>
      <w:r>
        <w:rPr>
          <w:rFonts w:hint="eastAsia"/>
          <w:b w:val="0"/>
          <w:bCs w:val="0"/>
          <w:color w:val="auto"/>
          <w:lang w:val="en-US" w:eastAsia="zh-CN"/>
        </w:rPr>
        <w:t>得分及等级</w:t>
      </w:r>
    </w:p>
    <w:p>
      <w:pPr>
        <w:keepNext w:val="0"/>
        <w:keepLines w:val="0"/>
        <w:pageBreakBefore w:val="0"/>
        <w:widowControl w:val="0"/>
        <w:kinsoku/>
        <w:wordWrap/>
        <w:overflowPunct w:val="0"/>
        <w:topLinePunct w:val="0"/>
        <w:bidi w:val="0"/>
        <w:adjustRightInd/>
        <w:snapToGrid/>
        <w:spacing w:beforeLines="0" w:afterLines="0" w:line="560" w:lineRule="exact"/>
        <w:ind w:firstLine="640" w:firstLineChars="200"/>
        <w:jc w:val="both"/>
        <w:rPr>
          <w:rFonts w:hint="eastAsia" w:ascii="仿宋_GB2312" w:hAnsi="仿宋_GB2312" w:eastAsia="仿宋_GB2312" w:cs="仿宋_GB2312"/>
          <w:color w:val="000000"/>
          <w:spacing w:val="0"/>
          <w:sz w:val="32"/>
          <w:szCs w:val="32"/>
          <w:highlight w:val="none"/>
          <w:lang w:val="en-US" w:eastAsia="zh-CN"/>
        </w:rPr>
      </w:pPr>
      <w:r>
        <w:rPr>
          <w:rFonts w:hint="eastAsia" w:ascii="仿宋_GB2312" w:hAnsi="仿宋_GB2312" w:eastAsia="仿宋_GB2312" w:cs="仿宋_GB2312"/>
          <w:sz w:val="32"/>
          <w:szCs w:val="32"/>
        </w:rPr>
        <w:t>通过评价，</w:t>
      </w:r>
      <w:r>
        <w:rPr>
          <w:rFonts w:hint="eastAsia" w:ascii="仿宋_GB2312" w:hAnsi="仿宋_GB2312" w:eastAsia="仿宋_GB2312" w:cs="仿宋_GB2312"/>
          <w:sz w:val="32"/>
          <w:szCs w:val="32"/>
          <w:lang w:val="en-US" w:eastAsia="zh-CN"/>
        </w:rPr>
        <w:t>该项</w:t>
      </w:r>
      <w:r>
        <w:rPr>
          <w:rFonts w:hint="eastAsia" w:ascii="仿宋_GB2312" w:hAnsi="仿宋_GB2312" w:eastAsia="仿宋_GB2312" w:cs="仿宋_GB2312"/>
          <w:sz w:val="32"/>
          <w:szCs w:val="32"/>
          <w:highlight w:val="none"/>
          <w:lang w:val="en-US" w:eastAsia="zh-CN"/>
        </w:rPr>
        <w:t>目最终</w:t>
      </w:r>
      <w:r>
        <w:rPr>
          <w:rFonts w:hint="eastAsia" w:ascii="仿宋_GB2312" w:hAnsi="仿宋_GB2312" w:eastAsia="仿宋_GB2312" w:cs="仿宋_GB2312"/>
          <w:sz w:val="32"/>
          <w:szCs w:val="32"/>
          <w:highlight w:val="none"/>
        </w:rPr>
        <w:t>得分</w:t>
      </w:r>
      <w:r>
        <w:rPr>
          <w:rFonts w:hint="eastAsia" w:ascii="仿宋_GB2312" w:hAnsi="仿宋_GB2312" w:eastAsia="仿宋_GB2312" w:cs="仿宋_GB2312"/>
          <w:b/>
          <w:bCs/>
          <w:spacing w:val="-8"/>
          <w:sz w:val="32"/>
          <w:szCs w:val="32"/>
          <w:highlight w:val="none"/>
          <w:lang w:val="en-US" w:eastAsia="zh-CN"/>
        </w:rPr>
        <w:t>85.60</w:t>
      </w:r>
      <w:r>
        <w:rPr>
          <w:rFonts w:hint="eastAsia" w:ascii="仿宋_GB2312" w:hAnsi="仿宋_GB2312" w:eastAsia="仿宋_GB2312" w:cs="仿宋_GB2312"/>
          <w:sz w:val="32"/>
          <w:szCs w:val="32"/>
          <w:highlight w:val="none"/>
        </w:rPr>
        <w:t>分，评价等级为</w:t>
      </w:r>
      <w:r>
        <w:rPr>
          <w:rFonts w:hint="eastAsia" w:ascii="仿宋_GB2312" w:hAnsi="仿宋_GB2312" w:eastAsia="仿宋_GB2312" w:cs="仿宋_GB2312"/>
          <w:b/>
          <w:bCs/>
          <w:sz w:val="32"/>
          <w:szCs w:val="32"/>
          <w:highlight w:val="none"/>
        </w:rPr>
        <w:t>“</w:t>
      </w:r>
      <w:r>
        <w:rPr>
          <w:rFonts w:hint="eastAsia" w:ascii="仿宋_GB2312" w:hAnsi="仿宋_GB2312" w:eastAsia="仿宋_GB2312" w:cs="仿宋_GB2312"/>
          <w:b/>
          <w:bCs/>
          <w:sz w:val="32"/>
          <w:szCs w:val="32"/>
          <w:highlight w:val="none"/>
          <w:lang w:val="en-US" w:eastAsia="zh-CN"/>
        </w:rPr>
        <w:t>良</w:t>
      </w:r>
      <w:r>
        <w:rPr>
          <w:rFonts w:hint="eastAsia" w:ascii="仿宋_GB2312" w:hAnsi="仿宋_GB2312" w:eastAsia="仿宋_GB2312" w:cs="仿宋_GB2312"/>
          <w:b/>
          <w:bCs/>
          <w:sz w:val="32"/>
          <w:szCs w:val="32"/>
          <w:highlight w:val="none"/>
        </w:rPr>
        <w:t>”</w:t>
      </w:r>
      <w:r>
        <w:rPr>
          <w:rFonts w:hint="eastAsia" w:ascii="仿宋_GB2312" w:hAnsi="仿宋_GB2312" w:eastAsia="仿宋_GB2312" w:cs="仿宋_GB2312"/>
          <w:color w:val="000000"/>
          <w:spacing w:val="0"/>
          <w:sz w:val="32"/>
          <w:szCs w:val="32"/>
          <w:highlight w:val="none"/>
          <w:lang w:val="en-US" w:eastAsia="zh-CN"/>
        </w:rPr>
        <w:t>。</w:t>
      </w:r>
      <w:r>
        <w:rPr>
          <w:rFonts w:hint="eastAsia" w:ascii="仿宋_GB2312" w:hAnsi="仿宋_GB2312" w:eastAsia="仿宋_GB2312" w:cs="仿宋_GB2312"/>
          <w:color w:val="auto"/>
          <w:spacing w:val="-8"/>
          <w:sz w:val="32"/>
          <w:szCs w:val="32"/>
          <w:highlight w:val="none"/>
          <w:lang w:val="en-US" w:eastAsia="zh-CN"/>
        </w:rPr>
        <w:t>其中，</w:t>
      </w:r>
      <w:r>
        <w:rPr>
          <w:rFonts w:hint="eastAsia" w:ascii="仿宋_GB2312" w:hAnsi="仿宋_GB2312" w:eastAsia="仿宋_GB2312" w:cs="仿宋_GB2312"/>
          <w:color w:val="auto"/>
          <w:spacing w:val="-8"/>
          <w:sz w:val="32"/>
          <w:szCs w:val="32"/>
          <w:highlight w:val="none"/>
        </w:rPr>
        <w:t>项目</w:t>
      </w:r>
      <w:r>
        <w:rPr>
          <w:rFonts w:hint="eastAsia" w:ascii="仿宋_GB2312" w:hAnsi="仿宋_GB2312" w:eastAsia="仿宋_GB2312" w:cs="仿宋_GB2312"/>
          <w:color w:val="auto"/>
          <w:spacing w:val="-8"/>
          <w:sz w:val="32"/>
          <w:szCs w:val="32"/>
          <w:highlight w:val="none"/>
          <w:lang w:val="en-US" w:eastAsia="zh-CN"/>
        </w:rPr>
        <w:t>决策</w:t>
      </w:r>
      <w:r>
        <w:rPr>
          <w:rFonts w:hint="eastAsia" w:ascii="仿宋_GB2312" w:hAnsi="仿宋_GB2312" w:eastAsia="仿宋_GB2312" w:cs="仿宋_GB2312"/>
          <w:color w:val="auto"/>
          <w:spacing w:val="-8"/>
          <w:sz w:val="32"/>
          <w:szCs w:val="32"/>
          <w:highlight w:val="none"/>
        </w:rPr>
        <w:t>满分1</w:t>
      </w:r>
      <w:r>
        <w:rPr>
          <w:rFonts w:hint="eastAsia" w:ascii="仿宋_GB2312" w:hAnsi="仿宋_GB2312" w:eastAsia="仿宋_GB2312" w:cs="仿宋_GB2312"/>
          <w:color w:val="auto"/>
          <w:spacing w:val="-8"/>
          <w:sz w:val="32"/>
          <w:szCs w:val="32"/>
          <w:highlight w:val="none"/>
          <w:lang w:val="en-US" w:eastAsia="zh-CN"/>
        </w:rPr>
        <w:t>0</w:t>
      </w:r>
      <w:r>
        <w:rPr>
          <w:rFonts w:hint="eastAsia" w:ascii="仿宋_GB2312" w:hAnsi="仿宋_GB2312" w:eastAsia="仿宋_GB2312" w:cs="仿宋_GB2312"/>
          <w:color w:val="auto"/>
          <w:spacing w:val="-8"/>
          <w:sz w:val="32"/>
          <w:szCs w:val="32"/>
          <w:highlight w:val="none"/>
        </w:rPr>
        <w:t>分，得分</w:t>
      </w:r>
      <w:r>
        <w:rPr>
          <w:rFonts w:hint="eastAsia" w:ascii="仿宋_GB2312" w:hAnsi="仿宋_GB2312" w:eastAsia="仿宋_GB2312" w:cs="仿宋_GB2312"/>
          <w:color w:val="auto"/>
          <w:spacing w:val="-8"/>
          <w:sz w:val="32"/>
          <w:szCs w:val="32"/>
          <w:highlight w:val="none"/>
          <w:lang w:val="en-US" w:eastAsia="zh-CN"/>
        </w:rPr>
        <w:t>10</w:t>
      </w:r>
      <w:r>
        <w:rPr>
          <w:rFonts w:hint="eastAsia" w:ascii="仿宋_GB2312" w:hAnsi="仿宋_GB2312" w:eastAsia="仿宋_GB2312" w:cs="仿宋_GB2312"/>
          <w:color w:val="auto"/>
          <w:spacing w:val="-8"/>
          <w:sz w:val="32"/>
          <w:szCs w:val="32"/>
          <w:highlight w:val="none"/>
        </w:rPr>
        <w:t>分，得分率</w:t>
      </w:r>
      <w:r>
        <w:rPr>
          <w:rFonts w:hint="eastAsia" w:ascii="仿宋_GB2312" w:hAnsi="仿宋_GB2312" w:eastAsia="仿宋_GB2312" w:cs="仿宋_GB2312"/>
          <w:color w:val="auto"/>
          <w:spacing w:val="-8"/>
          <w:sz w:val="32"/>
          <w:szCs w:val="32"/>
          <w:highlight w:val="none"/>
          <w:lang w:val="en-US" w:eastAsia="zh-CN"/>
        </w:rPr>
        <w:t>100</w:t>
      </w:r>
      <w:r>
        <w:rPr>
          <w:rFonts w:hint="eastAsia" w:ascii="仿宋_GB2312" w:hAnsi="仿宋_GB2312" w:eastAsia="仿宋_GB2312" w:cs="仿宋_GB2312"/>
          <w:color w:val="auto"/>
          <w:spacing w:val="-8"/>
          <w:sz w:val="32"/>
          <w:szCs w:val="32"/>
          <w:highlight w:val="none"/>
        </w:rPr>
        <w:t>%</w:t>
      </w:r>
      <w:r>
        <w:rPr>
          <w:rFonts w:hint="eastAsia" w:ascii="仿宋_GB2312" w:hAnsi="仿宋_GB2312" w:eastAsia="仿宋_GB2312" w:cs="仿宋_GB2312"/>
          <w:color w:val="000000"/>
          <w:spacing w:val="0"/>
          <w:sz w:val="32"/>
          <w:szCs w:val="32"/>
          <w:highlight w:val="none"/>
        </w:rPr>
        <w:t>；项目过程满分</w:t>
      </w:r>
      <w:r>
        <w:rPr>
          <w:rFonts w:hint="eastAsia" w:ascii="仿宋_GB2312" w:hAnsi="仿宋_GB2312" w:eastAsia="仿宋_GB2312" w:cs="仿宋_GB2312"/>
          <w:color w:val="000000"/>
          <w:spacing w:val="0"/>
          <w:sz w:val="32"/>
          <w:szCs w:val="32"/>
          <w:highlight w:val="none"/>
          <w:lang w:val="en-US" w:eastAsia="zh-CN"/>
        </w:rPr>
        <w:t>60</w:t>
      </w:r>
      <w:r>
        <w:rPr>
          <w:rFonts w:hint="eastAsia" w:ascii="仿宋_GB2312" w:hAnsi="仿宋_GB2312" w:eastAsia="仿宋_GB2312" w:cs="仿宋_GB2312"/>
          <w:color w:val="000000"/>
          <w:spacing w:val="0"/>
          <w:sz w:val="32"/>
          <w:szCs w:val="32"/>
          <w:highlight w:val="none"/>
        </w:rPr>
        <w:t>分，得分</w:t>
      </w:r>
      <w:r>
        <w:rPr>
          <w:rFonts w:hint="eastAsia" w:ascii="仿宋_GB2312" w:hAnsi="仿宋_GB2312" w:eastAsia="仿宋_GB2312" w:cs="仿宋_GB2312"/>
          <w:color w:val="000000"/>
          <w:spacing w:val="0"/>
          <w:sz w:val="32"/>
          <w:szCs w:val="32"/>
          <w:highlight w:val="none"/>
          <w:lang w:val="en-US" w:eastAsia="zh-CN"/>
        </w:rPr>
        <w:t>56</w:t>
      </w:r>
      <w:r>
        <w:rPr>
          <w:rFonts w:hint="eastAsia" w:ascii="仿宋_GB2312" w:hAnsi="仿宋_GB2312" w:eastAsia="仿宋_GB2312" w:cs="仿宋_GB2312"/>
          <w:color w:val="000000"/>
          <w:spacing w:val="0"/>
          <w:sz w:val="32"/>
          <w:szCs w:val="32"/>
          <w:highlight w:val="none"/>
        </w:rPr>
        <w:t>分，得分率</w:t>
      </w:r>
      <w:r>
        <w:rPr>
          <w:rFonts w:hint="eastAsia" w:ascii="仿宋_GB2312" w:hAnsi="仿宋_GB2312" w:eastAsia="仿宋_GB2312" w:cs="仿宋_GB2312"/>
          <w:color w:val="000000"/>
          <w:spacing w:val="0"/>
          <w:sz w:val="32"/>
          <w:szCs w:val="32"/>
          <w:highlight w:val="none"/>
          <w:lang w:val="en-US" w:eastAsia="zh-CN"/>
        </w:rPr>
        <w:t>93.33</w:t>
      </w:r>
      <w:r>
        <w:rPr>
          <w:rFonts w:hint="eastAsia" w:ascii="仿宋_GB2312" w:hAnsi="仿宋_GB2312" w:eastAsia="仿宋_GB2312" w:cs="仿宋_GB2312"/>
          <w:color w:val="000000"/>
          <w:spacing w:val="0"/>
          <w:sz w:val="32"/>
          <w:szCs w:val="32"/>
          <w:highlight w:val="none"/>
        </w:rPr>
        <w:t>%。主要扣分原因为</w:t>
      </w:r>
      <w:r>
        <w:rPr>
          <w:rFonts w:hint="eastAsia" w:ascii="仿宋_GB2312" w:hAnsi="仿宋_GB2312" w:eastAsia="仿宋_GB2312" w:cs="仿宋_GB2312"/>
          <w:color w:val="000000"/>
          <w:spacing w:val="0"/>
          <w:sz w:val="32"/>
          <w:szCs w:val="32"/>
          <w:highlight w:val="none"/>
          <w:lang w:val="en-US" w:eastAsia="zh-CN"/>
        </w:rPr>
        <w:t>采购协议规范性不足、专家评审费发放主体错误、履约验收合规性暂无法评判</w:t>
      </w:r>
      <w:r>
        <w:rPr>
          <w:rFonts w:hint="eastAsia" w:ascii="仿宋_GB2312" w:hAnsi="仿宋_GB2312" w:eastAsia="仿宋_GB2312" w:cs="仿宋_GB2312"/>
          <w:color w:val="000000"/>
          <w:spacing w:val="0"/>
          <w:sz w:val="32"/>
          <w:szCs w:val="32"/>
          <w:highlight w:val="none"/>
        </w:rPr>
        <w:t>；项目产出满分</w:t>
      </w:r>
      <w:r>
        <w:rPr>
          <w:rFonts w:hint="eastAsia" w:ascii="仿宋_GB2312" w:hAnsi="仿宋_GB2312" w:eastAsia="仿宋_GB2312" w:cs="仿宋_GB2312"/>
          <w:color w:val="000000"/>
          <w:spacing w:val="0"/>
          <w:sz w:val="32"/>
          <w:szCs w:val="32"/>
          <w:highlight w:val="none"/>
          <w:lang w:val="en-US" w:eastAsia="zh-CN"/>
        </w:rPr>
        <w:t>15</w:t>
      </w:r>
      <w:r>
        <w:rPr>
          <w:rFonts w:hint="eastAsia" w:ascii="仿宋_GB2312" w:hAnsi="仿宋_GB2312" w:eastAsia="仿宋_GB2312" w:cs="仿宋_GB2312"/>
          <w:color w:val="000000"/>
          <w:spacing w:val="0"/>
          <w:sz w:val="32"/>
          <w:szCs w:val="32"/>
          <w:highlight w:val="none"/>
        </w:rPr>
        <w:t>分，得分</w:t>
      </w:r>
      <w:r>
        <w:rPr>
          <w:rFonts w:hint="eastAsia" w:ascii="仿宋_GB2312" w:hAnsi="仿宋_GB2312" w:eastAsia="仿宋_GB2312" w:cs="仿宋_GB2312"/>
          <w:color w:val="000000"/>
          <w:spacing w:val="0"/>
          <w:sz w:val="32"/>
          <w:szCs w:val="32"/>
          <w:highlight w:val="none"/>
          <w:lang w:val="en-US" w:eastAsia="zh-CN"/>
        </w:rPr>
        <w:t>9.6</w:t>
      </w:r>
      <w:r>
        <w:rPr>
          <w:rFonts w:hint="eastAsia" w:ascii="仿宋_GB2312" w:hAnsi="仿宋_GB2312" w:eastAsia="仿宋_GB2312" w:cs="仿宋_GB2312"/>
          <w:color w:val="000000"/>
          <w:spacing w:val="0"/>
          <w:sz w:val="32"/>
          <w:szCs w:val="32"/>
          <w:highlight w:val="none"/>
        </w:rPr>
        <w:t>分，得分率</w:t>
      </w:r>
      <w:r>
        <w:rPr>
          <w:rFonts w:hint="eastAsia" w:ascii="仿宋_GB2312" w:hAnsi="仿宋_GB2312" w:eastAsia="仿宋_GB2312" w:cs="仿宋_GB2312"/>
          <w:color w:val="000000"/>
          <w:spacing w:val="0"/>
          <w:sz w:val="32"/>
          <w:szCs w:val="32"/>
          <w:highlight w:val="none"/>
          <w:lang w:val="en-US" w:eastAsia="zh-CN"/>
        </w:rPr>
        <w:t>64</w:t>
      </w:r>
      <w:r>
        <w:rPr>
          <w:rFonts w:hint="eastAsia" w:ascii="仿宋_GB2312" w:hAnsi="仿宋_GB2312" w:eastAsia="仿宋_GB2312" w:cs="仿宋_GB2312"/>
          <w:color w:val="000000"/>
          <w:spacing w:val="0"/>
          <w:sz w:val="32"/>
          <w:szCs w:val="32"/>
          <w:highlight w:val="none"/>
        </w:rPr>
        <w:t>%</w:t>
      </w:r>
      <w:r>
        <w:rPr>
          <w:rFonts w:hint="eastAsia" w:ascii="仿宋_GB2312" w:hAnsi="仿宋_GB2312" w:eastAsia="仿宋_GB2312" w:cs="仿宋_GB2312"/>
          <w:color w:val="000000"/>
          <w:spacing w:val="0"/>
          <w:sz w:val="32"/>
          <w:szCs w:val="32"/>
          <w:highlight w:val="none"/>
          <w:lang w:eastAsia="zh-CN"/>
        </w:rPr>
        <w:t>。</w:t>
      </w:r>
      <w:r>
        <w:rPr>
          <w:rFonts w:hint="eastAsia" w:ascii="仿宋_GB2312" w:hAnsi="仿宋_GB2312" w:eastAsia="仿宋_GB2312" w:cs="仿宋_GB2312"/>
          <w:color w:val="000000"/>
          <w:spacing w:val="0"/>
          <w:sz w:val="32"/>
          <w:szCs w:val="32"/>
          <w:highlight w:val="none"/>
        </w:rPr>
        <w:t>主要扣分原因为项目工作未</w:t>
      </w:r>
      <w:r>
        <w:rPr>
          <w:rFonts w:hint="eastAsia" w:ascii="仿宋_GB2312" w:hAnsi="仿宋_GB2312" w:eastAsia="仿宋_GB2312" w:cs="仿宋_GB2312"/>
          <w:color w:val="000000"/>
          <w:spacing w:val="0"/>
          <w:sz w:val="32"/>
          <w:szCs w:val="32"/>
          <w:highlight w:val="none"/>
          <w:lang w:val="en-US" w:eastAsia="zh-CN"/>
        </w:rPr>
        <w:t>按照约定时间</w:t>
      </w:r>
      <w:r>
        <w:rPr>
          <w:rFonts w:hint="eastAsia" w:ascii="仿宋_GB2312" w:hAnsi="仿宋_GB2312" w:eastAsia="仿宋_GB2312" w:cs="仿宋_GB2312"/>
          <w:color w:val="000000"/>
          <w:spacing w:val="0"/>
          <w:sz w:val="32"/>
          <w:szCs w:val="32"/>
          <w:highlight w:val="none"/>
        </w:rPr>
        <w:t>完成</w:t>
      </w:r>
      <w:r>
        <w:rPr>
          <w:rFonts w:hint="eastAsia" w:ascii="仿宋_GB2312" w:hAnsi="仿宋_GB2312" w:eastAsia="仿宋_GB2312" w:cs="仿宋_GB2312"/>
          <w:color w:val="000000"/>
          <w:spacing w:val="0"/>
          <w:sz w:val="32"/>
          <w:szCs w:val="32"/>
          <w:highlight w:val="none"/>
          <w:lang w:eastAsia="zh-CN"/>
        </w:rPr>
        <w:t>，</w:t>
      </w:r>
      <w:r>
        <w:rPr>
          <w:rFonts w:hint="eastAsia" w:ascii="仿宋_GB2312" w:hAnsi="仿宋_GB2312" w:eastAsia="仿宋_GB2312" w:cs="仿宋_GB2312"/>
          <w:color w:val="000000"/>
          <w:spacing w:val="0"/>
          <w:sz w:val="32"/>
          <w:szCs w:val="32"/>
          <w:highlight w:val="none"/>
          <w:lang w:val="en-US" w:eastAsia="zh-CN"/>
        </w:rPr>
        <w:t>且</w:t>
      </w:r>
      <w:r>
        <w:rPr>
          <w:rFonts w:hint="eastAsia" w:ascii="仿宋_GB2312" w:hAnsi="仿宋_GB2312" w:eastAsia="仿宋_GB2312" w:cs="仿宋_GB2312"/>
          <w:color w:val="000000"/>
          <w:spacing w:val="0"/>
          <w:sz w:val="32"/>
          <w:szCs w:val="32"/>
          <w:highlight w:val="none"/>
          <w:lang w:eastAsia="zh-CN"/>
        </w:rPr>
        <w:t>未</w:t>
      </w:r>
      <w:r>
        <w:rPr>
          <w:rFonts w:hint="eastAsia" w:ascii="仿宋_GB2312" w:hAnsi="仿宋_GB2312" w:eastAsia="仿宋_GB2312" w:cs="仿宋_GB2312"/>
          <w:color w:val="000000"/>
          <w:spacing w:val="0"/>
          <w:sz w:val="32"/>
          <w:szCs w:val="32"/>
          <w:highlight w:val="none"/>
          <w:lang w:val="en-US" w:eastAsia="zh-CN"/>
        </w:rPr>
        <w:t>完成</w:t>
      </w:r>
      <w:r>
        <w:rPr>
          <w:rFonts w:hint="eastAsia" w:ascii="仿宋_GB2312" w:hAnsi="仿宋_GB2312" w:eastAsia="仿宋_GB2312" w:cs="仿宋_GB2312"/>
          <w:color w:val="000000"/>
          <w:spacing w:val="0"/>
          <w:sz w:val="32"/>
          <w:szCs w:val="32"/>
          <w:highlight w:val="none"/>
          <w:lang w:eastAsia="zh-CN"/>
        </w:rPr>
        <w:t>验收</w:t>
      </w:r>
      <w:r>
        <w:rPr>
          <w:rFonts w:hint="eastAsia" w:ascii="仿宋_GB2312" w:hAnsi="仿宋_GB2312" w:eastAsia="仿宋_GB2312" w:cs="仿宋_GB2312"/>
          <w:color w:val="000000"/>
          <w:spacing w:val="0"/>
          <w:sz w:val="32"/>
          <w:szCs w:val="32"/>
          <w:highlight w:val="none"/>
        </w:rPr>
        <w:t>；项目效益满分</w:t>
      </w:r>
      <w:r>
        <w:rPr>
          <w:rFonts w:hint="eastAsia" w:ascii="仿宋_GB2312" w:hAnsi="仿宋_GB2312" w:eastAsia="仿宋_GB2312" w:cs="仿宋_GB2312"/>
          <w:color w:val="000000"/>
          <w:spacing w:val="0"/>
          <w:sz w:val="32"/>
          <w:szCs w:val="32"/>
          <w:highlight w:val="none"/>
          <w:lang w:val="en-US" w:eastAsia="zh-CN"/>
        </w:rPr>
        <w:t>15</w:t>
      </w:r>
      <w:r>
        <w:rPr>
          <w:rFonts w:hint="eastAsia" w:ascii="仿宋_GB2312" w:hAnsi="仿宋_GB2312" w:eastAsia="仿宋_GB2312" w:cs="仿宋_GB2312"/>
          <w:color w:val="000000"/>
          <w:spacing w:val="0"/>
          <w:sz w:val="32"/>
          <w:szCs w:val="32"/>
          <w:highlight w:val="none"/>
        </w:rPr>
        <w:t>分，得分</w:t>
      </w:r>
      <w:r>
        <w:rPr>
          <w:rFonts w:hint="eastAsia" w:ascii="仿宋_GB2312" w:hAnsi="仿宋_GB2312" w:eastAsia="仿宋_GB2312" w:cs="仿宋_GB2312"/>
          <w:color w:val="000000"/>
          <w:spacing w:val="0"/>
          <w:sz w:val="32"/>
          <w:szCs w:val="32"/>
          <w:highlight w:val="none"/>
          <w:lang w:val="en-US" w:eastAsia="zh-CN"/>
        </w:rPr>
        <w:t>10</w:t>
      </w:r>
      <w:r>
        <w:rPr>
          <w:rFonts w:hint="eastAsia" w:ascii="仿宋_GB2312" w:hAnsi="仿宋_GB2312" w:eastAsia="仿宋_GB2312" w:cs="仿宋_GB2312"/>
          <w:color w:val="000000"/>
          <w:spacing w:val="0"/>
          <w:sz w:val="32"/>
          <w:szCs w:val="32"/>
          <w:highlight w:val="none"/>
        </w:rPr>
        <w:t>分，得分率</w:t>
      </w:r>
      <w:r>
        <w:rPr>
          <w:rFonts w:hint="eastAsia" w:ascii="仿宋_GB2312" w:hAnsi="仿宋_GB2312" w:eastAsia="仿宋_GB2312" w:cs="仿宋_GB2312"/>
          <w:color w:val="000000"/>
          <w:spacing w:val="0"/>
          <w:sz w:val="32"/>
          <w:szCs w:val="32"/>
          <w:highlight w:val="none"/>
          <w:lang w:val="en-US" w:eastAsia="zh-CN"/>
        </w:rPr>
        <w:t>66.67</w:t>
      </w:r>
      <w:r>
        <w:rPr>
          <w:rFonts w:hint="eastAsia" w:ascii="仿宋_GB2312" w:hAnsi="仿宋_GB2312" w:eastAsia="仿宋_GB2312" w:cs="仿宋_GB2312"/>
          <w:color w:val="000000"/>
          <w:spacing w:val="0"/>
          <w:sz w:val="32"/>
          <w:szCs w:val="32"/>
          <w:highlight w:val="none"/>
        </w:rPr>
        <w:t>%。主要扣分原因为项目工作仍未完成和投入使用，项目效益尚未发挥</w:t>
      </w:r>
      <w:r>
        <w:rPr>
          <w:rFonts w:hint="eastAsia" w:ascii="仿宋_GB2312" w:hAnsi="仿宋_GB2312" w:eastAsia="仿宋_GB2312" w:cs="仿宋_GB2312"/>
          <w:color w:val="000000"/>
          <w:spacing w:val="0"/>
          <w:sz w:val="32"/>
          <w:szCs w:val="32"/>
          <w:highlight w:val="none"/>
          <w:lang w:eastAsia="zh-CN"/>
        </w:rPr>
        <w:t>，</w:t>
      </w:r>
      <w:r>
        <w:rPr>
          <w:rFonts w:hint="eastAsia" w:ascii="仿宋_GB2312" w:hAnsi="仿宋_GB2312" w:eastAsia="仿宋_GB2312" w:cs="仿宋_GB2312"/>
          <w:color w:val="000000"/>
          <w:spacing w:val="0"/>
          <w:sz w:val="32"/>
          <w:szCs w:val="32"/>
          <w:highlight w:val="none"/>
          <w:lang w:val="en-US" w:eastAsia="zh-CN"/>
        </w:rPr>
        <w:t>项目效益实现程度和满意度情况暂无法准确评判。</w:t>
      </w:r>
      <w:r>
        <w:rPr>
          <w:rFonts w:hint="eastAsia" w:ascii="仿宋_GB2312" w:hAnsi="仿宋_GB2312" w:eastAsia="仿宋_GB2312" w:cs="仿宋_GB2312"/>
          <w:sz w:val="32"/>
          <w:szCs w:val="32"/>
        </w:rPr>
        <w:t>具体得分情况见下表。</w:t>
      </w:r>
    </w:p>
    <w:p>
      <w:pPr>
        <w:pStyle w:val="14"/>
        <w:keepNext w:val="0"/>
        <w:keepLines w:val="0"/>
        <w:pageBreakBefore w:val="0"/>
        <w:kinsoku/>
        <w:wordWrap/>
        <w:topLinePunct w:val="0"/>
        <w:bidi w:val="0"/>
        <w:adjustRightInd/>
        <w:snapToGrid/>
        <w:spacing w:beforeLines="0" w:afterLines="0" w:line="560" w:lineRule="exact"/>
        <w:ind w:firstLine="0" w:firstLineChars="0"/>
        <w:jc w:val="center"/>
        <w:rPr>
          <w:rFonts w:hint="eastAsia" w:ascii="黑体" w:hAnsi="黑体" w:eastAsia="黑体" w:cs="黑体"/>
          <w:b w:val="0"/>
          <w:bCs w:val="0"/>
          <w:kern w:val="0"/>
          <w:sz w:val="28"/>
          <w:szCs w:val="28"/>
          <w:highlight w:val="none"/>
          <w:lang w:val="en-US" w:eastAsia="zh-CN"/>
        </w:rPr>
      </w:pPr>
    </w:p>
    <w:p>
      <w:pPr>
        <w:pStyle w:val="14"/>
        <w:keepNext w:val="0"/>
        <w:keepLines w:val="0"/>
        <w:pageBreakBefore w:val="0"/>
        <w:kinsoku/>
        <w:wordWrap/>
        <w:topLinePunct w:val="0"/>
        <w:bidi w:val="0"/>
        <w:adjustRightInd/>
        <w:snapToGrid/>
        <w:spacing w:beforeLines="0" w:afterLines="0" w:line="560" w:lineRule="exact"/>
        <w:ind w:firstLine="0" w:firstLineChars="0"/>
        <w:jc w:val="center"/>
        <w:rPr>
          <w:rFonts w:hint="eastAsia" w:ascii="黑体" w:hAnsi="黑体" w:eastAsia="黑体" w:cs="黑体"/>
          <w:b w:val="0"/>
          <w:bCs w:val="0"/>
          <w:kern w:val="0"/>
          <w:sz w:val="28"/>
          <w:szCs w:val="28"/>
          <w:highlight w:val="none"/>
        </w:rPr>
      </w:pPr>
      <w:r>
        <w:rPr>
          <w:rFonts w:hint="eastAsia" w:ascii="黑体" w:hAnsi="黑体" w:eastAsia="黑体" w:cs="黑体"/>
          <w:b w:val="0"/>
          <w:bCs w:val="0"/>
          <w:kern w:val="0"/>
          <w:sz w:val="28"/>
          <w:szCs w:val="28"/>
          <w:highlight w:val="none"/>
          <w:lang w:val="en-US" w:eastAsia="zh-CN"/>
        </w:rPr>
        <w:t>表 平安校园视频监控升级改造项目</w:t>
      </w:r>
      <w:r>
        <w:rPr>
          <w:rFonts w:hint="eastAsia" w:ascii="黑体" w:hAnsi="黑体" w:eastAsia="黑体" w:cs="黑体"/>
          <w:b w:val="0"/>
          <w:bCs w:val="0"/>
          <w:kern w:val="0"/>
          <w:sz w:val="28"/>
          <w:szCs w:val="28"/>
          <w:highlight w:val="none"/>
        </w:rPr>
        <w:t>绩效评价得分</w:t>
      </w:r>
      <w:r>
        <w:rPr>
          <w:rFonts w:hint="eastAsia" w:ascii="黑体" w:hAnsi="黑体" w:eastAsia="黑体" w:cs="黑体"/>
          <w:b w:val="0"/>
          <w:bCs w:val="0"/>
          <w:kern w:val="0"/>
          <w:sz w:val="28"/>
          <w:szCs w:val="28"/>
          <w:highlight w:val="none"/>
          <w:lang w:val="en-US" w:eastAsia="zh-CN"/>
        </w:rPr>
        <w:t>情况</w:t>
      </w:r>
      <w:r>
        <w:rPr>
          <w:rFonts w:hint="eastAsia" w:ascii="黑体" w:hAnsi="黑体" w:eastAsia="黑体" w:cs="黑体"/>
          <w:b w:val="0"/>
          <w:bCs w:val="0"/>
          <w:kern w:val="0"/>
          <w:sz w:val="28"/>
          <w:szCs w:val="28"/>
          <w:highlight w:val="none"/>
        </w:rPr>
        <w:t>表</w:t>
      </w:r>
    </w:p>
    <w:tbl>
      <w:tblPr>
        <w:tblStyle w:val="31"/>
        <w:tblW w:w="481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6"/>
        <w:gridCol w:w="2034"/>
        <w:gridCol w:w="3137"/>
        <w:gridCol w:w="1022"/>
        <w:gridCol w:w="1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765" w:type="pct"/>
            <w:shd w:val="clear" w:color="auto" w:fill="FFFFFF" w:themeFill="background1"/>
            <w:noWrap/>
            <w:vAlign w:val="center"/>
          </w:tcPr>
          <w:p>
            <w:pPr>
              <w:keepNext w:val="0"/>
              <w:keepLines w:val="0"/>
              <w:pageBreakBefore w:val="0"/>
              <w:widowControl/>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b/>
                <w:sz w:val="22"/>
                <w:szCs w:val="22"/>
              </w:rPr>
            </w:pPr>
            <w:r>
              <w:rPr>
                <w:rFonts w:hint="eastAsia" w:ascii="仿宋_GB2312" w:hAnsi="仿宋_GB2312" w:eastAsia="仿宋_GB2312" w:cs="仿宋_GB2312"/>
                <w:b/>
                <w:sz w:val="22"/>
                <w:szCs w:val="22"/>
              </w:rPr>
              <w:t>一级指标及分值</w:t>
            </w:r>
          </w:p>
        </w:tc>
        <w:tc>
          <w:tcPr>
            <w:tcW w:w="1166" w:type="pct"/>
            <w:shd w:val="clear" w:color="auto" w:fill="FFFFFF" w:themeFill="background1"/>
            <w:vAlign w:val="center"/>
          </w:tcPr>
          <w:p>
            <w:pPr>
              <w:keepNext w:val="0"/>
              <w:keepLines w:val="0"/>
              <w:pageBreakBefore w:val="0"/>
              <w:widowControl/>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b/>
                <w:sz w:val="22"/>
                <w:szCs w:val="22"/>
              </w:rPr>
            </w:pPr>
            <w:r>
              <w:rPr>
                <w:rFonts w:hint="eastAsia" w:ascii="仿宋_GB2312" w:hAnsi="仿宋_GB2312" w:eastAsia="仿宋_GB2312" w:cs="仿宋_GB2312"/>
                <w:b/>
                <w:sz w:val="22"/>
                <w:szCs w:val="22"/>
              </w:rPr>
              <w:t>二级指标及分值</w:t>
            </w:r>
          </w:p>
        </w:tc>
        <w:tc>
          <w:tcPr>
            <w:tcW w:w="1798" w:type="pct"/>
            <w:shd w:val="clear" w:color="auto" w:fill="FFFFFF" w:themeFill="background1"/>
            <w:noWrap/>
            <w:vAlign w:val="center"/>
          </w:tcPr>
          <w:p>
            <w:pPr>
              <w:keepNext w:val="0"/>
              <w:keepLines w:val="0"/>
              <w:pageBreakBefore w:val="0"/>
              <w:widowControl/>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b/>
                <w:sz w:val="22"/>
                <w:szCs w:val="22"/>
              </w:rPr>
            </w:pPr>
            <w:r>
              <w:rPr>
                <w:rFonts w:hint="eastAsia" w:ascii="仿宋_GB2312" w:hAnsi="仿宋_GB2312" w:eastAsia="仿宋_GB2312" w:cs="仿宋_GB2312"/>
                <w:b/>
                <w:sz w:val="22"/>
                <w:szCs w:val="22"/>
              </w:rPr>
              <w:t>三级指标及分值</w:t>
            </w:r>
          </w:p>
        </w:tc>
        <w:tc>
          <w:tcPr>
            <w:tcW w:w="585" w:type="pct"/>
            <w:shd w:val="clear" w:color="auto" w:fill="FFFFFF" w:themeFill="background1"/>
            <w:noWrap/>
            <w:vAlign w:val="center"/>
          </w:tcPr>
          <w:p>
            <w:pPr>
              <w:keepNext w:val="0"/>
              <w:keepLines w:val="0"/>
              <w:pageBreakBefore w:val="0"/>
              <w:widowControl/>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b/>
                <w:sz w:val="22"/>
                <w:szCs w:val="22"/>
              </w:rPr>
            </w:pPr>
            <w:r>
              <w:rPr>
                <w:rFonts w:hint="eastAsia" w:ascii="仿宋_GB2312" w:hAnsi="仿宋_GB2312" w:eastAsia="仿宋_GB2312" w:cs="仿宋_GB2312"/>
                <w:b/>
                <w:sz w:val="22"/>
                <w:szCs w:val="22"/>
              </w:rPr>
              <w:t>得分</w:t>
            </w:r>
          </w:p>
        </w:tc>
        <w:tc>
          <w:tcPr>
            <w:tcW w:w="683" w:type="pct"/>
            <w:shd w:val="clear" w:color="auto" w:fill="FFFFFF" w:themeFill="background1"/>
            <w:noWrap/>
            <w:vAlign w:val="center"/>
          </w:tcPr>
          <w:p>
            <w:pPr>
              <w:keepNext w:val="0"/>
              <w:keepLines w:val="0"/>
              <w:pageBreakBefore w:val="0"/>
              <w:widowControl/>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b/>
                <w:sz w:val="22"/>
                <w:szCs w:val="22"/>
              </w:rPr>
            </w:pPr>
            <w:r>
              <w:rPr>
                <w:rFonts w:hint="eastAsia" w:ascii="仿宋_GB2312" w:hAnsi="仿宋_GB2312" w:eastAsia="仿宋_GB2312" w:cs="仿宋_GB2312"/>
                <w:b/>
                <w:sz w:val="22"/>
                <w:szCs w:val="22"/>
              </w:rPr>
              <w:t>得分率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65" w:type="pct"/>
            <w:vMerge w:val="restart"/>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2"/>
                <w:szCs w:val="22"/>
                <w:lang w:val="en-US" w:eastAsia="zh-CN"/>
              </w:rPr>
            </w:pPr>
            <w:r>
              <w:rPr>
                <w:rFonts w:hint="eastAsia" w:ascii="仿宋_GB2312" w:hAnsi="仿宋_GB2312" w:eastAsia="仿宋_GB2312" w:cs="仿宋_GB2312"/>
                <w:sz w:val="22"/>
                <w:szCs w:val="22"/>
                <w:lang w:val="en-US" w:eastAsia="zh-CN"/>
              </w:rPr>
              <w:t>决策</w:t>
            </w:r>
          </w:p>
          <w:p>
            <w:pPr>
              <w:keepNext w:val="0"/>
              <w:keepLines w:val="0"/>
              <w:pageBreakBefore w:val="0"/>
              <w:widowControl/>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w:t>
            </w:r>
            <w:r>
              <w:rPr>
                <w:rFonts w:hint="eastAsia" w:ascii="仿宋_GB2312" w:hAnsi="仿宋_GB2312" w:eastAsia="仿宋_GB2312" w:cs="仿宋_GB2312"/>
                <w:sz w:val="22"/>
                <w:szCs w:val="22"/>
                <w:lang w:val="en-US" w:eastAsia="zh-CN"/>
              </w:rPr>
              <w:t>10</w:t>
            </w:r>
            <w:r>
              <w:rPr>
                <w:rFonts w:hint="eastAsia" w:ascii="仿宋_GB2312" w:hAnsi="仿宋_GB2312" w:eastAsia="仿宋_GB2312" w:cs="仿宋_GB2312"/>
                <w:sz w:val="22"/>
                <w:szCs w:val="22"/>
              </w:rPr>
              <w:t>分）</w:t>
            </w:r>
          </w:p>
        </w:tc>
        <w:tc>
          <w:tcPr>
            <w:tcW w:w="1166" w:type="pct"/>
            <w:vMerge w:val="restart"/>
            <w:shd w:val="clear" w:color="auto" w:fill="auto"/>
            <w:vAlign w:val="center"/>
          </w:tcPr>
          <w:p>
            <w:pPr>
              <w:keepNext w:val="0"/>
              <w:keepLines w:val="0"/>
              <w:pageBreakBefore w:val="0"/>
              <w:widowControl/>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2"/>
                <w:szCs w:val="22"/>
              </w:rPr>
            </w:pPr>
            <w:r>
              <w:rPr>
                <w:rFonts w:hint="eastAsia" w:ascii="仿宋_GB2312" w:hAnsi="仿宋_GB2312" w:eastAsia="仿宋_GB2312" w:cs="仿宋_GB2312"/>
                <w:sz w:val="22"/>
                <w:szCs w:val="22"/>
                <w:lang w:val="en-US" w:eastAsia="zh-CN"/>
              </w:rPr>
              <w:t>绩效目标</w:t>
            </w:r>
            <w:r>
              <w:rPr>
                <w:rFonts w:hint="eastAsia" w:ascii="仿宋_GB2312" w:hAnsi="仿宋_GB2312" w:eastAsia="仿宋_GB2312" w:cs="仿宋_GB2312"/>
                <w:sz w:val="22"/>
                <w:szCs w:val="22"/>
              </w:rPr>
              <w:t>（</w:t>
            </w:r>
            <w:r>
              <w:rPr>
                <w:rFonts w:hint="eastAsia" w:ascii="仿宋_GB2312" w:hAnsi="仿宋_GB2312" w:eastAsia="仿宋_GB2312" w:cs="仿宋_GB2312"/>
                <w:sz w:val="22"/>
                <w:szCs w:val="22"/>
                <w:lang w:val="en-US" w:eastAsia="zh-CN"/>
              </w:rPr>
              <w:t>4</w:t>
            </w:r>
            <w:r>
              <w:rPr>
                <w:rFonts w:hint="eastAsia" w:ascii="仿宋_GB2312" w:hAnsi="仿宋_GB2312" w:eastAsia="仿宋_GB2312" w:cs="仿宋_GB2312"/>
                <w:sz w:val="22"/>
                <w:szCs w:val="22"/>
              </w:rPr>
              <w:t>分）</w:t>
            </w:r>
          </w:p>
        </w:tc>
        <w:tc>
          <w:tcPr>
            <w:tcW w:w="1798" w:type="pct"/>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2"/>
                <w:szCs w:val="22"/>
              </w:rPr>
            </w:pPr>
            <w:r>
              <w:rPr>
                <w:rFonts w:hint="eastAsia" w:ascii="仿宋_GB2312" w:hAnsi="仿宋_GB2312" w:eastAsia="仿宋_GB2312" w:cs="仿宋_GB2312"/>
                <w:sz w:val="22"/>
                <w:szCs w:val="22"/>
                <w:lang w:val="en-US" w:eastAsia="zh-CN"/>
              </w:rPr>
              <w:t>绩效目标合理</w:t>
            </w:r>
            <w:r>
              <w:rPr>
                <w:rFonts w:hint="eastAsia" w:ascii="仿宋_GB2312" w:hAnsi="仿宋_GB2312" w:eastAsia="仿宋_GB2312" w:cs="仿宋_GB2312"/>
                <w:sz w:val="22"/>
                <w:szCs w:val="22"/>
              </w:rPr>
              <w:t>性（</w:t>
            </w:r>
            <w:r>
              <w:rPr>
                <w:rFonts w:hint="eastAsia" w:ascii="仿宋_GB2312" w:hAnsi="仿宋_GB2312" w:eastAsia="仿宋_GB2312" w:cs="仿宋_GB2312"/>
                <w:sz w:val="22"/>
                <w:szCs w:val="22"/>
                <w:lang w:val="en-US" w:eastAsia="zh-CN"/>
              </w:rPr>
              <w:t>2</w:t>
            </w:r>
            <w:r>
              <w:rPr>
                <w:rFonts w:hint="eastAsia" w:ascii="仿宋_GB2312" w:hAnsi="仿宋_GB2312" w:eastAsia="仿宋_GB2312" w:cs="仿宋_GB2312"/>
                <w:sz w:val="22"/>
                <w:szCs w:val="22"/>
              </w:rPr>
              <w:t>分）</w:t>
            </w:r>
          </w:p>
        </w:tc>
        <w:tc>
          <w:tcPr>
            <w:tcW w:w="585" w:type="pct"/>
            <w:shd w:val="clear" w:color="auto" w:fill="auto"/>
            <w:noWrap/>
            <w:vAlign w:val="center"/>
          </w:tcPr>
          <w:p>
            <w:pPr>
              <w:keepNext w:val="0"/>
              <w:keepLines w:val="0"/>
              <w:pageBreakBefore w:val="0"/>
              <w:widowControl/>
              <w:suppressLineNumbers w:val="0"/>
              <w:wordWrap/>
              <w:overflowPunct/>
              <w:topLinePunct w:val="0"/>
              <w:bidi w:val="0"/>
              <w:adjustRightInd w:val="0"/>
              <w:snapToGrid w:val="0"/>
              <w:jc w:val="center"/>
              <w:textAlignment w:val="center"/>
              <w:rPr>
                <w:rFonts w:hint="eastAsia" w:ascii="仿宋_GB2312" w:hAnsi="仿宋_GB2312" w:eastAsia="仿宋_GB2312" w:cs="仿宋_GB2312"/>
                <w:sz w:val="22"/>
                <w:szCs w:val="22"/>
              </w:rPr>
            </w:pPr>
            <w:r>
              <w:rPr>
                <w:rFonts w:hint="eastAsia" w:ascii="仿宋_GB2312" w:hAnsi="仿宋_GB2312" w:eastAsia="仿宋_GB2312" w:cs="仿宋_GB2312"/>
                <w:i w:val="0"/>
                <w:snapToGrid w:val="0"/>
                <w:color w:val="000000"/>
                <w:kern w:val="0"/>
                <w:sz w:val="22"/>
                <w:szCs w:val="22"/>
                <w:u w:val="none"/>
                <w:lang w:val="en-US" w:eastAsia="zh-CN" w:bidi="ar"/>
              </w:rPr>
              <w:t>2.00</w:t>
            </w:r>
          </w:p>
        </w:tc>
        <w:tc>
          <w:tcPr>
            <w:tcW w:w="683" w:type="pct"/>
            <w:shd w:val="clear" w:color="auto" w:fill="auto"/>
            <w:noWrap/>
            <w:vAlign w:val="center"/>
          </w:tcPr>
          <w:p>
            <w:pPr>
              <w:keepNext w:val="0"/>
              <w:keepLines w:val="0"/>
              <w:pageBreakBefore w:val="0"/>
              <w:widowControl/>
              <w:suppressLineNumbers w:val="0"/>
              <w:wordWrap/>
              <w:overflowPunct/>
              <w:topLinePunct w:val="0"/>
              <w:bidi w:val="0"/>
              <w:adjustRightInd w:val="0"/>
              <w:snapToGrid w:val="0"/>
              <w:jc w:val="center"/>
              <w:textAlignment w:val="center"/>
              <w:rPr>
                <w:rFonts w:hint="eastAsia" w:ascii="仿宋_GB2312" w:hAnsi="仿宋_GB2312" w:eastAsia="仿宋_GB2312" w:cs="仿宋_GB2312"/>
                <w:sz w:val="22"/>
                <w:szCs w:val="22"/>
              </w:rPr>
            </w:pPr>
            <w:r>
              <w:rPr>
                <w:rFonts w:hint="eastAsia" w:ascii="仿宋_GB2312" w:hAnsi="仿宋_GB2312" w:eastAsia="仿宋_GB2312" w:cs="仿宋_GB2312"/>
                <w:i w:val="0"/>
                <w:snapToGrid w:val="0"/>
                <w:color w:val="000000"/>
                <w:kern w:val="0"/>
                <w:sz w:val="22"/>
                <w:szCs w:val="22"/>
                <w:u w:val="none"/>
                <w:lang w:val="en-US" w:eastAsia="zh-CN" w:bidi="ar"/>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65" w:type="pct"/>
            <w:vMerge w:val="continue"/>
            <w:vAlign w:val="center"/>
          </w:tcPr>
          <w:p>
            <w:pPr>
              <w:keepNext w:val="0"/>
              <w:keepLines w:val="0"/>
              <w:pageBreakBefore w:val="0"/>
              <w:widowControl/>
              <w:kinsoku/>
              <w:wordWrap/>
              <w:overflowPunct/>
              <w:topLinePunct w:val="0"/>
              <w:autoSpaceDE/>
              <w:autoSpaceDN/>
              <w:bidi w:val="0"/>
              <w:adjustRightInd w:val="0"/>
              <w:snapToGrid w:val="0"/>
              <w:textAlignment w:val="auto"/>
              <w:rPr>
                <w:rFonts w:hint="eastAsia" w:ascii="仿宋_GB2312" w:hAnsi="仿宋_GB2312" w:eastAsia="仿宋_GB2312" w:cs="仿宋_GB2312"/>
                <w:sz w:val="22"/>
                <w:szCs w:val="22"/>
              </w:rPr>
            </w:pPr>
          </w:p>
        </w:tc>
        <w:tc>
          <w:tcPr>
            <w:tcW w:w="1166" w:type="pct"/>
            <w:vMerge w:val="continue"/>
            <w:vAlign w:val="center"/>
          </w:tcPr>
          <w:p>
            <w:pPr>
              <w:keepNext w:val="0"/>
              <w:keepLines w:val="0"/>
              <w:pageBreakBefore w:val="0"/>
              <w:widowControl/>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2"/>
                <w:szCs w:val="22"/>
              </w:rPr>
            </w:pPr>
          </w:p>
        </w:tc>
        <w:tc>
          <w:tcPr>
            <w:tcW w:w="1798" w:type="pct"/>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绩效</w:t>
            </w:r>
            <w:r>
              <w:rPr>
                <w:rFonts w:hint="eastAsia" w:ascii="仿宋_GB2312" w:hAnsi="仿宋_GB2312" w:eastAsia="仿宋_GB2312" w:cs="仿宋_GB2312"/>
                <w:sz w:val="22"/>
                <w:szCs w:val="22"/>
                <w:lang w:val="en-US" w:eastAsia="zh-CN"/>
              </w:rPr>
              <w:t>指标明确</w:t>
            </w:r>
            <w:r>
              <w:rPr>
                <w:rFonts w:hint="eastAsia" w:ascii="仿宋_GB2312" w:hAnsi="仿宋_GB2312" w:eastAsia="仿宋_GB2312" w:cs="仿宋_GB2312"/>
                <w:sz w:val="22"/>
                <w:szCs w:val="22"/>
              </w:rPr>
              <w:t>性（</w:t>
            </w:r>
            <w:r>
              <w:rPr>
                <w:rFonts w:hint="eastAsia" w:ascii="仿宋_GB2312" w:hAnsi="仿宋_GB2312" w:eastAsia="仿宋_GB2312" w:cs="仿宋_GB2312"/>
                <w:sz w:val="22"/>
                <w:szCs w:val="22"/>
                <w:lang w:val="en-US" w:eastAsia="zh-CN"/>
              </w:rPr>
              <w:t>2</w:t>
            </w:r>
            <w:r>
              <w:rPr>
                <w:rFonts w:hint="eastAsia" w:ascii="仿宋_GB2312" w:hAnsi="仿宋_GB2312" w:eastAsia="仿宋_GB2312" w:cs="仿宋_GB2312"/>
                <w:sz w:val="22"/>
                <w:szCs w:val="22"/>
              </w:rPr>
              <w:t>分）</w:t>
            </w:r>
          </w:p>
        </w:tc>
        <w:tc>
          <w:tcPr>
            <w:tcW w:w="585" w:type="pct"/>
            <w:shd w:val="clear" w:color="auto" w:fill="auto"/>
            <w:noWrap/>
            <w:vAlign w:val="center"/>
          </w:tcPr>
          <w:p>
            <w:pPr>
              <w:keepNext w:val="0"/>
              <w:keepLines w:val="0"/>
              <w:pageBreakBefore w:val="0"/>
              <w:widowControl/>
              <w:suppressLineNumbers w:val="0"/>
              <w:wordWrap/>
              <w:overflowPunct/>
              <w:topLinePunct w:val="0"/>
              <w:bidi w:val="0"/>
              <w:adjustRightInd w:val="0"/>
              <w:snapToGrid w:val="0"/>
              <w:jc w:val="center"/>
              <w:textAlignment w:val="center"/>
              <w:rPr>
                <w:rFonts w:hint="eastAsia" w:ascii="仿宋_GB2312" w:hAnsi="仿宋_GB2312" w:eastAsia="仿宋_GB2312" w:cs="仿宋_GB2312"/>
                <w:sz w:val="22"/>
                <w:szCs w:val="22"/>
              </w:rPr>
            </w:pPr>
            <w:r>
              <w:rPr>
                <w:rFonts w:hint="eastAsia" w:ascii="仿宋_GB2312" w:hAnsi="仿宋_GB2312" w:eastAsia="仿宋_GB2312" w:cs="仿宋_GB2312"/>
                <w:i w:val="0"/>
                <w:snapToGrid w:val="0"/>
                <w:color w:val="000000"/>
                <w:kern w:val="0"/>
                <w:sz w:val="22"/>
                <w:szCs w:val="22"/>
                <w:u w:val="none"/>
                <w:lang w:val="en-US" w:eastAsia="zh-CN" w:bidi="ar"/>
              </w:rPr>
              <w:t>2.00</w:t>
            </w:r>
          </w:p>
        </w:tc>
        <w:tc>
          <w:tcPr>
            <w:tcW w:w="683" w:type="pct"/>
            <w:shd w:val="clear" w:color="auto" w:fill="auto"/>
            <w:noWrap/>
            <w:vAlign w:val="center"/>
          </w:tcPr>
          <w:p>
            <w:pPr>
              <w:keepNext w:val="0"/>
              <w:keepLines w:val="0"/>
              <w:pageBreakBefore w:val="0"/>
              <w:widowControl/>
              <w:suppressLineNumbers w:val="0"/>
              <w:wordWrap/>
              <w:overflowPunct/>
              <w:topLinePunct w:val="0"/>
              <w:bidi w:val="0"/>
              <w:adjustRightInd w:val="0"/>
              <w:snapToGrid w:val="0"/>
              <w:jc w:val="center"/>
              <w:textAlignment w:val="center"/>
              <w:rPr>
                <w:rFonts w:hint="eastAsia" w:ascii="仿宋_GB2312" w:hAnsi="仿宋_GB2312" w:eastAsia="仿宋_GB2312" w:cs="仿宋_GB2312"/>
                <w:sz w:val="22"/>
                <w:szCs w:val="22"/>
              </w:rPr>
            </w:pPr>
            <w:r>
              <w:rPr>
                <w:rFonts w:hint="eastAsia" w:ascii="仿宋_GB2312" w:hAnsi="仿宋_GB2312" w:eastAsia="仿宋_GB2312" w:cs="仿宋_GB2312"/>
                <w:i w:val="0"/>
                <w:snapToGrid w:val="0"/>
                <w:color w:val="000000"/>
                <w:kern w:val="0"/>
                <w:sz w:val="22"/>
                <w:szCs w:val="22"/>
                <w:u w:val="none"/>
                <w:lang w:val="en-US" w:eastAsia="zh-CN" w:bidi="ar"/>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65" w:type="pct"/>
            <w:vMerge w:val="continue"/>
            <w:vAlign w:val="center"/>
          </w:tcPr>
          <w:p>
            <w:pPr>
              <w:keepNext w:val="0"/>
              <w:keepLines w:val="0"/>
              <w:pageBreakBefore w:val="0"/>
              <w:widowControl/>
              <w:kinsoku/>
              <w:wordWrap/>
              <w:overflowPunct/>
              <w:topLinePunct w:val="0"/>
              <w:autoSpaceDE/>
              <w:autoSpaceDN/>
              <w:bidi w:val="0"/>
              <w:adjustRightInd w:val="0"/>
              <w:snapToGrid w:val="0"/>
              <w:textAlignment w:val="auto"/>
              <w:rPr>
                <w:rFonts w:hint="eastAsia" w:ascii="仿宋_GB2312" w:hAnsi="仿宋_GB2312" w:eastAsia="仿宋_GB2312" w:cs="仿宋_GB2312"/>
                <w:sz w:val="22"/>
                <w:szCs w:val="22"/>
              </w:rPr>
            </w:pPr>
          </w:p>
        </w:tc>
        <w:tc>
          <w:tcPr>
            <w:tcW w:w="116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资金</w:t>
            </w:r>
            <w:r>
              <w:rPr>
                <w:rFonts w:hint="eastAsia" w:ascii="仿宋_GB2312" w:hAnsi="仿宋_GB2312" w:eastAsia="仿宋_GB2312" w:cs="仿宋_GB2312"/>
                <w:sz w:val="22"/>
                <w:szCs w:val="22"/>
                <w:lang w:val="en-US" w:eastAsia="zh-CN"/>
              </w:rPr>
              <w:t>投入</w:t>
            </w:r>
            <w:r>
              <w:rPr>
                <w:rFonts w:hint="eastAsia" w:ascii="仿宋_GB2312" w:hAnsi="仿宋_GB2312" w:eastAsia="仿宋_GB2312" w:cs="仿宋_GB2312"/>
                <w:sz w:val="22"/>
                <w:szCs w:val="22"/>
              </w:rPr>
              <w:t>(</w:t>
            </w:r>
            <w:r>
              <w:rPr>
                <w:rFonts w:hint="eastAsia" w:ascii="仿宋_GB2312" w:hAnsi="仿宋_GB2312" w:eastAsia="仿宋_GB2312" w:cs="仿宋_GB2312"/>
                <w:sz w:val="22"/>
                <w:szCs w:val="22"/>
                <w:lang w:val="en-US" w:eastAsia="zh-CN"/>
              </w:rPr>
              <w:t>6</w:t>
            </w:r>
            <w:r>
              <w:rPr>
                <w:rFonts w:hint="eastAsia" w:ascii="仿宋_GB2312" w:hAnsi="仿宋_GB2312" w:eastAsia="仿宋_GB2312" w:cs="仿宋_GB2312"/>
                <w:sz w:val="22"/>
                <w:szCs w:val="22"/>
              </w:rPr>
              <w:t>分)</w:t>
            </w:r>
          </w:p>
        </w:tc>
        <w:tc>
          <w:tcPr>
            <w:tcW w:w="1798" w:type="pct"/>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2"/>
                <w:szCs w:val="22"/>
              </w:rPr>
            </w:pPr>
            <w:r>
              <w:rPr>
                <w:rFonts w:hint="eastAsia" w:ascii="仿宋_GB2312" w:hAnsi="仿宋_GB2312" w:eastAsia="仿宋_GB2312" w:cs="仿宋_GB2312"/>
                <w:sz w:val="22"/>
                <w:szCs w:val="22"/>
                <w:lang w:val="en-US" w:eastAsia="zh-CN"/>
              </w:rPr>
              <w:t>预算编制科学</w:t>
            </w:r>
            <w:r>
              <w:rPr>
                <w:rFonts w:hint="eastAsia" w:ascii="仿宋_GB2312" w:hAnsi="仿宋_GB2312" w:eastAsia="仿宋_GB2312" w:cs="仿宋_GB2312"/>
                <w:sz w:val="22"/>
                <w:szCs w:val="22"/>
              </w:rPr>
              <w:t>性（</w:t>
            </w:r>
            <w:r>
              <w:rPr>
                <w:rFonts w:hint="eastAsia" w:ascii="仿宋_GB2312" w:hAnsi="仿宋_GB2312" w:eastAsia="仿宋_GB2312" w:cs="仿宋_GB2312"/>
                <w:sz w:val="22"/>
                <w:szCs w:val="22"/>
                <w:lang w:val="en-US" w:eastAsia="zh-CN"/>
              </w:rPr>
              <w:t>6</w:t>
            </w:r>
            <w:r>
              <w:rPr>
                <w:rFonts w:hint="eastAsia" w:ascii="仿宋_GB2312" w:hAnsi="仿宋_GB2312" w:eastAsia="仿宋_GB2312" w:cs="仿宋_GB2312"/>
                <w:sz w:val="22"/>
                <w:szCs w:val="22"/>
              </w:rPr>
              <w:t>分）</w:t>
            </w:r>
          </w:p>
        </w:tc>
        <w:tc>
          <w:tcPr>
            <w:tcW w:w="585" w:type="pct"/>
            <w:shd w:val="clear" w:color="auto" w:fill="auto"/>
            <w:noWrap/>
            <w:vAlign w:val="center"/>
          </w:tcPr>
          <w:p>
            <w:pPr>
              <w:keepNext w:val="0"/>
              <w:keepLines w:val="0"/>
              <w:pageBreakBefore w:val="0"/>
              <w:widowControl/>
              <w:suppressLineNumbers w:val="0"/>
              <w:wordWrap/>
              <w:overflowPunct/>
              <w:topLinePunct w:val="0"/>
              <w:bidi w:val="0"/>
              <w:adjustRightInd w:val="0"/>
              <w:snapToGrid w:val="0"/>
              <w:jc w:val="center"/>
              <w:textAlignment w:val="center"/>
              <w:rPr>
                <w:rFonts w:hint="eastAsia" w:ascii="仿宋_GB2312" w:hAnsi="仿宋_GB2312" w:eastAsia="仿宋_GB2312" w:cs="仿宋_GB2312"/>
                <w:sz w:val="22"/>
                <w:szCs w:val="22"/>
                <w:lang w:val="en-US"/>
              </w:rPr>
            </w:pPr>
            <w:r>
              <w:rPr>
                <w:rFonts w:hint="eastAsia" w:ascii="仿宋_GB2312" w:hAnsi="仿宋_GB2312" w:eastAsia="仿宋_GB2312" w:cs="仿宋_GB2312"/>
                <w:i w:val="0"/>
                <w:snapToGrid w:val="0"/>
                <w:color w:val="000000"/>
                <w:kern w:val="0"/>
                <w:sz w:val="22"/>
                <w:szCs w:val="22"/>
                <w:u w:val="none"/>
                <w:lang w:val="en-US" w:eastAsia="zh-CN" w:bidi="ar"/>
              </w:rPr>
              <w:t>6.00</w:t>
            </w:r>
          </w:p>
        </w:tc>
        <w:tc>
          <w:tcPr>
            <w:tcW w:w="683" w:type="pct"/>
            <w:shd w:val="clear" w:color="auto" w:fill="auto"/>
            <w:noWrap/>
            <w:vAlign w:val="center"/>
          </w:tcPr>
          <w:p>
            <w:pPr>
              <w:keepNext w:val="0"/>
              <w:keepLines w:val="0"/>
              <w:pageBreakBefore w:val="0"/>
              <w:widowControl/>
              <w:suppressLineNumbers w:val="0"/>
              <w:wordWrap/>
              <w:overflowPunct/>
              <w:topLinePunct w:val="0"/>
              <w:bidi w:val="0"/>
              <w:adjustRightInd w:val="0"/>
              <w:snapToGrid w:val="0"/>
              <w:jc w:val="center"/>
              <w:textAlignment w:val="center"/>
              <w:rPr>
                <w:rFonts w:hint="eastAsia" w:ascii="仿宋_GB2312" w:hAnsi="仿宋_GB2312" w:eastAsia="仿宋_GB2312" w:cs="仿宋_GB2312"/>
                <w:sz w:val="22"/>
                <w:szCs w:val="22"/>
              </w:rPr>
            </w:pPr>
            <w:r>
              <w:rPr>
                <w:rFonts w:hint="eastAsia" w:ascii="仿宋_GB2312" w:hAnsi="仿宋_GB2312" w:eastAsia="仿宋_GB2312" w:cs="仿宋_GB2312"/>
                <w:i w:val="0"/>
                <w:snapToGrid w:val="0"/>
                <w:color w:val="000000"/>
                <w:kern w:val="0"/>
                <w:sz w:val="22"/>
                <w:szCs w:val="22"/>
                <w:u w:val="none"/>
                <w:lang w:val="en-US" w:eastAsia="zh-CN" w:bidi="ar"/>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65" w:type="pct"/>
            <w:vMerge w:val="restart"/>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过程</w:t>
            </w:r>
          </w:p>
          <w:p>
            <w:pPr>
              <w:keepNext w:val="0"/>
              <w:keepLines w:val="0"/>
              <w:pageBreakBefore w:val="0"/>
              <w:widowControl/>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w:t>
            </w:r>
            <w:r>
              <w:rPr>
                <w:rFonts w:hint="eastAsia" w:ascii="仿宋_GB2312" w:hAnsi="仿宋_GB2312" w:eastAsia="仿宋_GB2312" w:cs="仿宋_GB2312"/>
                <w:sz w:val="22"/>
                <w:szCs w:val="22"/>
                <w:lang w:val="en-US" w:eastAsia="zh-CN"/>
              </w:rPr>
              <w:t>60</w:t>
            </w:r>
            <w:r>
              <w:rPr>
                <w:rFonts w:hint="eastAsia" w:ascii="仿宋_GB2312" w:hAnsi="仿宋_GB2312" w:eastAsia="仿宋_GB2312" w:cs="仿宋_GB2312"/>
                <w:sz w:val="22"/>
                <w:szCs w:val="22"/>
              </w:rPr>
              <w:t>分）</w:t>
            </w:r>
          </w:p>
        </w:tc>
        <w:tc>
          <w:tcPr>
            <w:tcW w:w="1166" w:type="pct"/>
            <w:vMerge w:val="restart"/>
            <w:shd w:val="clear" w:color="auto" w:fill="auto"/>
            <w:vAlign w:val="center"/>
          </w:tcPr>
          <w:p>
            <w:pPr>
              <w:keepNext w:val="0"/>
              <w:keepLines w:val="0"/>
              <w:pageBreakBefore w:val="0"/>
              <w:widowControl/>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2"/>
                <w:szCs w:val="22"/>
                <w:lang w:val="en-US" w:eastAsia="zh-CN"/>
              </w:rPr>
            </w:pPr>
            <w:r>
              <w:rPr>
                <w:rFonts w:hint="eastAsia" w:ascii="仿宋_GB2312" w:hAnsi="仿宋_GB2312" w:eastAsia="仿宋_GB2312" w:cs="仿宋_GB2312"/>
                <w:sz w:val="22"/>
                <w:szCs w:val="22"/>
                <w:highlight w:val="none"/>
                <w:lang w:val="en-US" w:eastAsia="zh-CN"/>
              </w:rPr>
              <w:t>组织实施（60分）</w:t>
            </w:r>
          </w:p>
        </w:tc>
        <w:tc>
          <w:tcPr>
            <w:tcW w:w="1798" w:type="pct"/>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2"/>
                <w:szCs w:val="22"/>
              </w:rPr>
            </w:pPr>
            <w:r>
              <w:rPr>
                <w:rFonts w:hint="eastAsia" w:ascii="仿宋_GB2312" w:hAnsi="仿宋_GB2312" w:eastAsia="仿宋_GB2312" w:cs="仿宋_GB2312"/>
                <w:sz w:val="22"/>
                <w:szCs w:val="22"/>
                <w:lang w:val="en-US" w:eastAsia="zh-CN"/>
              </w:rPr>
              <w:t>项目预算执行经济性</w:t>
            </w:r>
            <w:r>
              <w:rPr>
                <w:rFonts w:hint="eastAsia" w:ascii="仿宋_GB2312" w:hAnsi="仿宋_GB2312" w:eastAsia="仿宋_GB2312" w:cs="仿宋_GB2312"/>
                <w:sz w:val="22"/>
                <w:szCs w:val="22"/>
              </w:rPr>
              <w:t>（</w:t>
            </w:r>
            <w:r>
              <w:rPr>
                <w:rFonts w:hint="eastAsia" w:ascii="仿宋_GB2312" w:hAnsi="仿宋_GB2312" w:eastAsia="仿宋_GB2312" w:cs="仿宋_GB2312"/>
                <w:sz w:val="22"/>
                <w:szCs w:val="22"/>
                <w:lang w:val="en-US" w:eastAsia="zh-CN"/>
              </w:rPr>
              <w:t>2</w:t>
            </w:r>
            <w:r>
              <w:rPr>
                <w:rFonts w:hint="eastAsia" w:ascii="仿宋_GB2312" w:hAnsi="仿宋_GB2312" w:eastAsia="仿宋_GB2312" w:cs="仿宋_GB2312"/>
                <w:sz w:val="22"/>
                <w:szCs w:val="22"/>
              </w:rPr>
              <w:t>分）</w:t>
            </w:r>
          </w:p>
        </w:tc>
        <w:tc>
          <w:tcPr>
            <w:tcW w:w="585" w:type="pct"/>
            <w:shd w:val="clear" w:color="auto" w:fill="auto"/>
            <w:noWrap/>
            <w:vAlign w:val="center"/>
          </w:tcPr>
          <w:p>
            <w:pPr>
              <w:keepNext w:val="0"/>
              <w:keepLines w:val="0"/>
              <w:pageBreakBefore w:val="0"/>
              <w:widowControl/>
              <w:suppressLineNumbers w:val="0"/>
              <w:wordWrap/>
              <w:overflowPunct/>
              <w:topLinePunct w:val="0"/>
              <w:bidi w:val="0"/>
              <w:adjustRightInd w:val="0"/>
              <w:snapToGrid w:val="0"/>
              <w:jc w:val="center"/>
              <w:textAlignment w:val="center"/>
              <w:rPr>
                <w:rFonts w:hint="eastAsia" w:ascii="仿宋_GB2312" w:hAnsi="仿宋_GB2312" w:eastAsia="仿宋_GB2312" w:cs="仿宋_GB2312"/>
                <w:sz w:val="22"/>
                <w:szCs w:val="22"/>
                <w:lang w:val="en-US" w:eastAsia="zh-CN"/>
              </w:rPr>
            </w:pPr>
            <w:r>
              <w:rPr>
                <w:rFonts w:hint="eastAsia" w:ascii="仿宋_GB2312" w:hAnsi="仿宋_GB2312" w:eastAsia="仿宋_GB2312" w:cs="仿宋_GB2312"/>
                <w:sz w:val="22"/>
                <w:szCs w:val="22"/>
                <w:lang w:val="en-US" w:eastAsia="zh-CN"/>
              </w:rPr>
              <w:t>2.00</w:t>
            </w:r>
          </w:p>
        </w:tc>
        <w:tc>
          <w:tcPr>
            <w:tcW w:w="683" w:type="pct"/>
            <w:shd w:val="clear" w:color="auto" w:fill="auto"/>
            <w:noWrap/>
            <w:vAlign w:val="center"/>
          </w:tcPr>
          <w:p>
            <w:pPr>
              <w:keepNext w:val="0"/>
              <w:keepLines w:val="0"/>
              <w:pageBreakBefore w:val="0"/>
              <w:widowControl/>
              <w:suppressLineNumbers w:val="0"/>
              <w:wordWrap/>
              <w:overflowPunct/>
              <w:topLinePunct w:val="0"/>
              <w:bidi w:val="0"/>
              <w:adjustRightInd w:val="0"/>
              <w:snapToGrid w:val="0"/>
              <w:jc w:val="center"/>
              <w:textAlignment w:val="center"/>
              <w:rPr>
                <w:rFonts w:hint="eastAsia" w:ascii="仿宋_GB2312" w:hAnsi="仿宋_GB2312" w:eastAsia="仿宋_GB2312" w:cs="仿宋_GB2312"/>
                <w:sz w:val="22"/>
                <w:szCs w:val="22"/>
              </w:rPr>
            </w:pPr>
            <w:r>
              <w:rPr>
                <w:rFonts w:hint="eastAsia" w:ascii="仿宋_GB2312" w:hAnsi="仿宋_GB2312" w:eastAsia="仿宋_GB2312" w:cs="仿宋_GB2312"/>
                <w:i w:val="0"/>
                <w:snapToGrid w:val="0"/>
                <w:color w:val="000000"/>
                <w:kern w:val="0"/>
                <w:sz w:val="22"/>
                <w:szCs w:val="22"/>
                <w:u w:val="none"/>
                <w:lang w:val="en-US" w:eastAsia="zh-CN" w:bidi="ar"/>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65" w:type="pct"/>
            <w:vMerge w:val="continue"/>
            <w:vAlign w:val="center"/>
          </w:tcPr>
          <w:p>
            <w:pPr>
              <w:keepNext w:val="0"/>
              <w:keepLines w:val="0"/>
              <w:pageBreakBefore w:val="0"/>
              <w:widowControl/>
              <w:kinsoku/>
              <w:wordWrap/>
              <w:overflowPunct/>
              <w:topLinePunct w:val="0"/>
              <w:autoSpaceDE/>
              <w:autoSpaceDN/>
              <w:bidi w:val="0"/>
              <w:adjustRightInd w:val="0"/>
              <w:snapToGrid w:val="0"/>
              <w:textAlignment w:val="auto"/>
              <w:rPr>
                <w:rFonts w:hint="eastAsia" w:ascii="仿宋_GB2312" w:hAnsi="仿宋_GB2312" w:eastAsia="仿宋_GB2312" w:cs="仿宋_GB2312"/>
                <w:sz w:val="22"/>
                <w:szCs w:val="22"/>
              </w:rPr>
            </w:pPr>
          </w:p>
        </w:tc>
        <w:tc>
          <w:tcPr>
            <w:tcW w:w="1166" w:type="pct"/>
            <w:vMerge w:val="continue"/>
            <w:vAlign w:val="center"/>
          </w:tcPr>
          <w:p>
            <w:pPr>
              <w:keepNext w:val="0"/>
              <w:keepLines w:val="0"/>
              <w:pageBreakBefore w:val="0"/>
              <w:widowControl/>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2"/>
                <w:szCs w:val="22"/>
              </w:rPr>
            </w:pPr>
          </w:p>
        </w:tc>
        <w:tc>
          <w:tcPr>
            <w:tcW w:w="1798" w:type="pct"/>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2"/>
                <w:szCs w:val="22"/>
              </w:rPr>
            </w:pPr>
            <w:r>
              <w:rPr>
                <w:rFonts w:hint="eastAsia" w:ascii="仿宋_GB2312" w:hAnsi="仿宋_GB2312" w:eastAsia="仿宋_GB2312" w:cs="仿宋_GB2312"/>
                <w:sz w:val="22"/>
                <w:szCs w:val="22"/>
                <w:lang w:val="en-US" w:eastAsia="zh-CN"/>
              </w:rPr>
              <w:t>内控建设完整</w:t>
            </w:r>
            <w:r>
              <w:rPr>
                <w:rFonts w:hint="eastAsia" w:ascii="仿宋_GB2312" w:hAnsi="仿宋_GB2312" w:eastAsia="仿宋_GB2312" w:cs="仿宋_GB2312"/>
                <w:sz w:val="22"/>
                <w:szCs w:val="22"/>
              </w:rPr>
              <w:t>性（</w:t>
            </w:r>
            <w:r>
              <w:rPr>
                <w:rFonts w:hint="eastAsia" w:ascii="仿宋_GB2312" w:hAnsi="仿宋_GB2312" w:eastAsia="仿宋_GB2312" w:cs="仿宋_GB2312"/>
                <w:sz w:val="22"/>
                <w:szCs w:val="22"/>
                <w:lang w:val="en-US" w:eastAsia="zh-CN"/>
              </w:rPr>
              <w:t>4</w:t>
            </w:r>
            <w:r>
              <w:rPr>
                <w:rFonts w:hint="eastAsia" w:ascii="仿宋_GB2312" w:hAnsi="仿宋_GB2312" w:eastAsia="仿宋_GB2312" w:cs="仿宋_GB2312"/>
                <w:sz w:val="22"/>
                <w:szCs w:val="22"/>
              </w:rPr>
              <w:t>分）</w:t>
            </w:r>
          </w:p>
        </w:tc>
        <w:tc>
          <w:tcPr>
            <w:tcW w:w="585" w:type="pct"/>
            <w:shd w:val="clear" w:color="auto" w:fill="auto"/>
            <w:noWrap/>
            <w:vAlign w:val="center"/>
          </w:tcPr>
          <w:p>
            <w:pPr>
              <w:keepNext w:val="0"/>
              <w:keepLines w:val="0"/>
              <w:pageBreakBefore w:val="0"/>
              <w:widowControl/>
              <w:suppressLineNumbers w:val="0"/>
              <w:wordWrap/>
              <w:overflowPunct/>
              <w:topLinePunct w:val="0"/>
              <w:bidi w:val="0"/>
              <w:adjustRightInd w:val="0"/>
              <w:snapToGrid w:val="0"/>
              <w:jc w:val="center"/>
              <w:textAlignment w:val="center"/>
              <w:rPr>
                <w:rFonts w:hint="eastAsia" w:ascii="仿宋_GB2312" w:hAnsi="仿宋_GB2312" w:eastAsia="仿宋_GB2312" w:cs="仿宋_GB2312"/>
                <w:sz w:val="22"/>
                <w:szCs w:val="22"/>
                <w:lang w:val="en-US" w:eastAsia="zh-CN"/>
              </w:rPr>
            </w:pPr>
            <w:r>
              <w:rPr>
                <w:rFonts w:hint="eastAsia" w:ascii="仿宋_GB2312" w:hAnsi="仿宋_GB2312" w:eastAsia="仿宋_GB2312" w:cs="仿宋_GB2312"/>
                <w:sz w:val="22"/>
                <w:szCs w:val="22"/>
                <w:lang w:val="en-US" w:eastAsia="zh-CN"/>
              </w:rPr>
              <w:t>4.00</w:t>
            </w:r>
          </w:p>
        </w:tc>
        <w:tc>
          <w:tcPr>
            <w:tcW w:w="683" w:type="pct"/>
            <w:shd w:val="clear" w:color="auto" w:fill="auto"/>
            <w:noWrap/>
            <w:vAlign w:val="center"/>
          </w:tcPr>
          <w:p>
            <w:pPr>
              <w:keepNext w:val="0"/>
              <w:keepLines w:val="0"/>
              <w:pageBreakBefore w:val="0"/>
              <w:widowControl/>
              <w:suppressLineNumbers w:val="0"/>
              <w:wordWrap/>
              <w:overflowPunct/>
              <w:topLinePunct w:val="0"/>
              <w:bidi w:val="0"/>
              <w:adjustRightInd w:val="0"/>
              <w:snapToGrid w:val="0"/>
              <w:jc w:val="center"/>
              <w:textAlignment w:val="center"/>
              <w:rPr>
                <w:rFonts w:hint="eastAsia" w:ascii="仿宋_GB2312" w:hAnsi="仿宋_GB2312" w:eastAsia="仿宋_GB2312" w:cs="仿宋_GB2312"/>
                <w:sz w:val="22"/>
                <w:szCs w:val="22"/>
              </w:rPr>
            </w:pPr>
            <w:r>
              <w:rPr>
                <w:rFonts w:hint="eastAsia" w:ascii="仿宋_GB2312" w:hAnsi="仿宋_GB2312" w:eastAsia="仿宋_GB2312" w:cs="仿宋_GB2312"/>
                <w:i w:val="0"/>
                <w:snapToGrid w:val="0"/>
                <w:color w:val="000000"/>
                <w:kern w:val="0"/>
                <w:sz w:val="22"/>
                <w:szCs w:val="22"/>
                <w:u w:val="none"/>
                <w:lang w:val="en-US" w:eastAsia="zh-CN" w:bidi="ar"/>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65" w:type="pct"/>
            <w:vMerge w:val="continue"/>
            <w:vAlign w:val="center"/>
          </w:tcPr>
          <w:p>
            <w:pPr>
              <w:keepNext w:val="0"/>
              <w:keepLines w:val="0"/>
              <w:pageBreakBefore w:val="0"/>
              <w:widowControl/>
              <w:kinsoku/>
              <w:wordWrap/>
              <w:overflowPunct/>
              <w:topLinePunct w:val="0"/>
              <w:autoSpaceDE/>
              <w:autoSpaceDN/>
              <w:bidi w:val="0"/>
              <w:adjustRightInd w:val="0"/>
              <w:snapToGrid w:val="0"/>
              <w:textAlignment w:val="auto"/>
              <w:rPr>
                <w:rFonts w:hint="eastAsia" w:ascii="仿宋_GB2312" w:hAnsi="仿宋_GB2312" w:eastAsia="仿宋_GB2312" w:cs="仿宋_GB2312"/>
                <w:sz w:val="22"/>
                <w:szCs w:val="22"/>
              </w:rPr>
            </w:pPr>
          </w:p>
        </w:tc>
        <w:tc>
          <w:tcPr>
            <w:tcW w:w="1166" w:type="pct"/>
            <w:vMerge w:val="continue"/>
            <w:vAlign w:val="center"/>
          </w:tcPr>
          <w:p>
            <w:pPr>
              <w:keepNext w:val="0"/>
              <w:keepLines w:val="0"/>
              <w:pageBreakBefore w:val="0"/>
              <w:widowControl/>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2"/>
                <w:szCs w:val="22"/>
              </w:rPr>
            </w:pPr>
          </w:p>
        </w:tc>
        <w:tc>
          <w:tcPr>
            <w:tcW w:w="1798" w:type="pct"/>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2"/>
                <w:szCs w:val="22"/>
              </w:rPr>
            </w:pPr>
            <w:r>
              <w:rPr>
                <w:rFonts w:hint="eastAsia" w:ascii="仿宋_GB2312" w:hAnsi="仿宋_GB2312" w:eastAsia="仿宋_GB2312" w:cs="仿宋_GB2312"/>
                <w:sz w:val="22"/>
                <w:szCs w:val="22"/>
                <w:lang w:val="en-US" w:eastAsia="zh-CN"/>
              </w:rPr>
              <w:t>采购需求科学</w:t>
            </w:r>
            <w:r>
              <w:rPr>
                <w:rFonts w:hint="eastAsia" w:ascii="仿宋_GB2312" w:hAnsi="仿宋_GB2312" w:eastAsia="仿宋_GB2312" w:cs="仿宋_GB2312"/>
                <w:sz w:val="22"/>
                <w:szCs w:val="22"/>
              </w:rPr>
              <w:t>性(</w:t>
            </w:r>
            <w:r>
              <w:rPr>
                <w:rFonts w:hint="eastAsia" w:ascii="仿宋_GB2312" w:hAnsi="仿宋_GB2312" w:eastAsia="仿宋_GB2312" w:cs="仿宋_GB2312"/>
                <w:sz w:val="22"/>
                <w:szCs w:val="22"/>
                <w:lang w:val="en-US" w:eastAsia="zh-CN"/>
              </w:rPr>
              <w:t>6</w:t>
            </w:r>
            <w:r>
              <w:rPr>
                <w:rFonts w:hint="eastAsia" w:ascii="仿宋_GB2312" w:hAnsi="仿宋_GB2312" w:eastAsia="仿宋_GB2312" w:cs="仿宋_GB2312"/>
                <w:sz w:val="22"/>
                <w:szCs w:val="22"/>
              </w:rPr>
              <w:t>分)</w:t>
            </w:r>
          </w:p>
        </w:tc>
        <w:tc>
          <w:tcPr>
            <w:tcW w:w="585" w:type="pct"/>
            <w:shd w:val="clear" w:color="auto" w:fill="auto"/>
            <w:noWrap/>
            <w:vAlign w:val="center"/>
          </w:tcPr>
          <w:p>
            <w:pPr>
              <w:keepNext w:val="0"/>
              <w:keepLines w:val="0"/>
              <w:pageBreakBefore w:val="0"/>
              <w:widowControl/>
              <w:suppressLineNumbers w:val="0"/>
              <w:wordWrap/>
              <w:overflowPunct/>
              <w:topLinePunct w:val="0"/>
              <w:bidi w:val="0"/>
              <w:adjustRightInd w:val="0"/>
              <w:snapToGrid w:val="0"/>
              <w:jc w:val="center"/>
              <w:textAlignment w:val="center"/>
              <w:rPr>
                <w:rFonts w:hint="eastAsia" w:ascii="仿宋_GB2312" w:hAnsi="仿宋_GB2312" w:eastAsia="仿宋_GB2312" w:cs="仿宋_GB2312"/>
                <w:sz w:val="22"/>
                <w:szCs w:val="22"/>
                <w:lang w:val="en-US"/>
              </w:rPr>
            </w:pPr>
            <w:r>
              <w:rPr>
                <w:rFonts w:hint="eastAsia" w:ascii="仿宋_GB2312" w:hAnsi="仿宋_GB2312" w:eastAsia="仿宋_GB2312" w:cs="仿宋_GB2312"/>
                <w:i w:val="0"/>
                <w:snapToGrid w:val="0"/>
                <w:color w:val="000000"/>
                <w:kern w:val="0"/>
                <w:sz w:val="22"/>
                <w:szCs w:val="22"/>
                <w:u w:val="none"/>
                <w:lang w:val="en-US" w:eastAsia="zh-CN" w:bidi="ar"/>
              </w:rPr>
              <w:t>6.00</w:t>
            </w:r>
          </w:p>
        </w:tc>
        <w:tc>
          <w:tcPr>
            <w:tcW w:w="683" w:type="pct"/>
            <w:shd w:val="clear" w:color="auto" w:fill="auto"/>
            <w:noWrap/>
            <w:vAlign w:val="center"/>
          </w:tcPr>
          <w:p>
            <w:pPr>
              <w:keepNext w:val="0"/>
              <w:keepLines w:val="0"/>
              <w:pageBreakBefore w:val="0"/>
              <w:widowControl/>
              <w:suppressLineNumbers w:val="0"/>
              <w:wordWrap/>
              <w:overflowPunct/>
              <w:topLinePunct w:val="0"/>
              <w:bidi w:val="0"/>
              <w:adjustRightInd w:val="0"/>
              <w:snapToGrid w:val="0"/>
              <w:jc w:val="center"/>
              <w:textAlignment w:val="center"/>
              <w:rPr>
                <w:rFonts w:hint="eastAsia" w:ascii="仿宋_GB2312" w:hAnsi="仿宋_GB2312" w:eastAsia="仿宋_GB2312" w:cs="仿宋_GB2312"/>
                <w:sz w:val="22"/>
                <w:szCs w:val="22"/>
              </w:rPr>
            </w:pPr>
            <w:r>
              <w:rPr>
                <w:rFonts w:hint="eastAsia" w:ascii="仿宋_GB2312" w:hAnsi="仿宋_GB2312" w:eastAsia="仿宋_GB2312" w:cs="仿宋_GB2312"/>
                <w:i w:val="0"/>
                <w:snapToGrid w:val="0"/>
                <w:color w:val="000000"/>
                <w:kern w:val="0"/>
                <w:sz w:val="22"/>
                <w:szCs w:val="22"/>
                <w:u w:val="none"/>
                <w:lang w:val="en-US" w:eastAsia="zh-CN" w:bidi="ar"/>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65" w:type="pct"/>
            <w:vMerge w:val="continue"/>
            <w:vAlign w:val="center"/>
          </w:tcPr>
          <w:p>
            <w:pPr>
              <w:keepNext w:val="0"/>
              <w:keepLines w:val="0"/>
              <w:pageBreakBefore w:val="0"/>
              <w:widowControl/>
              <w:kinsoku/>
              <w:wordWrap/>
              <w:overflowPunct/>
              <w:topLinePunct w:val="0"/>
              <w:autoSpaceDE/>
              <w:autoSpaceDN/>
              <w:bidi w:val="0"/>
              <w:adjustRightInd w:val="0"/>
              <w:snapToGrid w:val="0"/>
              <w:textAlignment w:val="auto"/>
              <w:rPr>
                <w:rFonts w:hint="eastAsia" w:ascii="仿宋_GB2312" w:hAnsi="仿宋_GB2312" w:eastAsia="仿宋_GB2312" w:cs="仿宋_GB2312"/>
                <w:sz w:val="22"/>
                <w:szCs w:val="22"/>
              </w:rPr>
            </w:pPr>
          </w:p>
        </w:tc>
        <w:tc>
          <w:tcPr>
            <w:tcW w:w="1166" w:type="pct"/>
            <w:vMerge w:val="continue"/>
            <w:vAlign w:val="center"/>
          </w:tcPr>
          <w:p>
            <w:pPr>
              <w:keepNext w:val="0"/>
              <w:keepLines w:val="0"/>
              <w:pageBreakBefore w:val="0"/>
              <w:widowControl/>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2"/>
                <w:szCs w:val="22"/>
                <w:lang w:val="en-US" w:eastAsia="zh-CN"/>
              </w:rPr>
            </w:pPr>
          </w:p>
        </w:tc>
        <w:tc>
          <w:tcPr>
            <w:tcW w:w="1798" w:type="pct"/>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2"/>
                <w:szCs w:val="22"/>
                <w:lang w:val="en-US" w:eastAsia="zh-CN"/>
              </w:rPr>
            </w:pPr>
            <w:r>
              <w:rPr>
                <w:rFonts w:hint="eastAsia" w:ascii="仿宋_GB2312" w:hAnsi="仿宋_GB2312" w:eastAsia="仿宋_GB2312" w:cs="仿宋_GB2312"/>
                <w:sz w:val="22"/>
                <w:szCs w:val="22"/>
                <w:lang w:val="en-US" w:eastAsia="zh-CN"/>
              </w:rPr>
              <w:t>采购计划完整性（4分）</w:t>
            </w:r>
          </w:p>
        </w:tc>
        <w:tc>
          <w:tcPr>
            <w:tcW w:w="585" w:type="pct"/>
            <w:shd w:val="clear" w:color="auto" w:fill="auto"/>
            <w:noWrap/>
            <w:vAlign w:val="center"/>
          </w:tcPr>
          <w:p>
            <w:pPr>
              <w:keepNext w:val="0"/>
              <w:keepLines w:val="0"/>
              <w:pageBreakBefore w:val="0"/>
              <w:widowControl/>
              <w:suppressLineNumbers w:val="0"/>
              <w:wordWrap/>
              <w:overflowPunct/>
              <w:topLinePunct w:val="0"/>
              <w:bidi w:val="0"/>
              <w:adjustRightInd w:val="0"/>
              <w:snapToGrid w:val="0"/>
              <w:jc w:val="center"/>
              <w:textAlignment w:val="center"/>
              <w:rPr>
                <w:rFonts w:hint="eastAsia" w:ascii="仿宋_GB2312" w:hAnsi="仿宋_GB2312" w:eastAsia="仿宋_GB2312" w:cs="仿宋_GB2312"/>
                <w:i w:val="0"/>
                <w:snapToGrid w:val="0"/>
                <w:color w:val="000000"/>
                <w:kern w:val="0"/>
                <w:sz w:val="22"/>
                <w:szCs w:val="22"/>
                <w:u w:val="none"/>
                <w:lang w:val="en-US" w:eastAsia="zh-CN" w:bidi="ar"/>
              </w:rPr>
            </w:pPr>
            <w:r>
              <w:rPr>
                <w:rFonts w:hint="eastAsia" w:ascii="仿宋_GB2312" w:hAnsi="仿宋_GB2312" w:eastAsia="仿宋_GB2312" w:cs="仿宋_GB2312"/>
                <w:i w:val="0"/>
                <w:snapToGrid w:val="0"/>
                <w:color w:val="000000"/>
                <w:kern w:val="0"/>
                <w:sz w:val="22"/>
                <w:szCs w:val="22"/>
                <w:u w:val="none"/>
                <w:lang w:val="en-US" w:eastAsia="zh-CN" w:bidi="ar"/>
              </w:rPr>
              <w:t>4.00</w:t>
            </w:r>
          </w:p>
        </w:tc>
        <w:tc>
          <w:tcPr>
            <w:tcW w:w="683" w:type="pct"/>
            <w:shd w:val="clear" w:color="auto" w:fill="auto"/>
            <w:noWrap/>
            <w:vAlign w:val="center"/>
          </w:tcPr>
          <w:p>
            <w:pPr>
              <w:keepNext w:val="0"/>
              <w:keepLines w:val="0"/>
              <w:pageBreakBefore w:val="0"/>
              <w:widowControl/>
              <w:suppressLineNumbers w:val="0"/>
              <w:wordWrap/>
              <w:overflowPunct/>
              <w:topLinePunct w:val="0"/>
              <w:bidi w:val="0"/>
              <w:adjustRightInd w:val="0"/>
              <w:snapToGrid w:val="0"/>
              <w:jc w:val="center"/>
              <w:textAlignment w:val="center"/>
              <w:rPr>
                <w:rFonts w:hint="eastAsia" w:ascii="仿宋_GB2312" w:hAnsi="仿宋_GB2312" w:eastAsia="仿宋_GB2312" w:cs="仿宋_GB2312"/>
                <w:i w:val="0"/>
                <w:snapToGrid w:val="0"/>
                <w:color w:val="000000"/>
                <w:kern w:val="0"/>
                <w:sz w:val="22"/>
                <w:szCs w:val="22"/>
                <w:u w:val="none"/>
                <w:lang w:val="en-US" w:eastAsia="zh-CN" w:bidi="ar"/>
              </w:rPr>
            </w:pPr>
            <w:r>
              <w:rPr>
                <w:rFonts w:hint="eastAsia" w:ascii="仿宋_GB2312" w:hAnsi="仿宋_GB2312" w:eastAsia="仿宋_GB2312" w:cs="仿宋_GB2312"/>
                <w:i w:val="0"/>
                <w:snapToGrid w:val="0"/>
                <w:color w:val="000000"/>
                <w:kern w:val="0"/>
                <w:sz w:val="22"/>
                <w:szCs w:val="22"/>
                <w:u w:val="none"/>
                <w:lang w:val="en-US" w:eastAsia="zh-CN" w:bidi="ar"/>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65" w:type="pct"/>
            <w:vMerge w:val="continue"/>
            <w:vAlign w:val="center"/>
          </w:tcPr>
          <w:p>
            <w:pPr>
              <w:keepNext w:val="0"/>
              <w:keepLines w:val="0"/>
              <w:pageBreakBefore w:val="0"/>
              <w:widowControl/>
              <w:kinsoku/>
              <w:wordWrap/>
              <w:overflowPunct/>
              <w:topLinePunct w:val="0"/>
              <w:autoSpaceDE/>
              <w:autoSpaceDN/>
              <w:bidi w:val="0"/>
              <w:adjustRightInd w:val="0"/>
              <w:snapToGrid w:val="0"/>
              <w:textAlignment w:val="auto"/>
              <w:rPr>
                <w:rFonts w:hint="eastAsia" w:ascii="仿宋_GB2312" w:hAnsi="仿宋_GB2312" w:eastAsia="仿宋_GB2312" w:cs="仿宋_GB2312"/>
                <w:sz w:val="22"/>
                <w:szCs w:val="22"/>
              </w:rPr>
            </w:pPr>
          </w:p>
        </w:tc>
        <w:tc>
          <w:tcPr>
            <w:tcW w:w="1166" w:type="pct"/>
            <w:vMerge w:val="continue"/>
            <w:vAlign w:val="center"/>
          </w:tcPr>
          <w:p>
            <w:pPr>
              <w:keepNext w:val="0"/>
              <w:keepLines w:val="0"/>
              <w:pageBreakBefore w:val="0"/>
              <w:widowControl/>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2"/>
                <w:szCs w:val="22"/>
              </w:rPr>
            </w:pPr>
          </w:p>
        </w:tc>
        <w:tc>
          <w:tcPr>
            <w:tcW w:w="1798" w:type="pct"/>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2"/>
                <w:szCs w:val="22"/>
                <w:lang w:val="en-US" w:eastAsia="zh-CN"/>
              </w:rPr>
            </w:pPr>
            <w:r>
              <w:rPr>
                <w:rFonts w:hint="eastAsia" w:ascii="仿宋_GB2312" w:hAnsi="仿宋_GB2312" w:eastAsia="仿宋_GB2312" w:cs="仿宋_GB2312"/>
                <w:sz w:val="22"/>
                <w:szCs w:val="22"/>
                <w:lang w:val="en-US" w:eastAsia="zh-CN"/>
              </w:rPr>
              <w:t>采购活动组织合规性（32分）</w:t>
            </w:r>
          </w:p>
        </w:tc>
        <w:tc>
          <w:tcPr>
            <w:tcW w:w="585" w:type="pct"/>
            <w:shd w:val="clear" w:color="auto" w:fill="auto"/>
            <w:noWrap/>
            <w:vAlign w:val="center"/>
          </w:tcPr>
          <w:p>
            <w:pPr>
              <w:keepNext w:val="0"/>
              <w:keepLines w:val="0"/>
              <w:pageBreakBefore w:val="0"/>
              <w:widowControl/>
              <w:suppressLineNumbers w:val="0"/>
              <w:wordWrap/>
              <w:overflowPunct/>
              <w:topLinePunct w:val="0"/>
              <w:bidi w:val="0"/>
              <w:adjustRightInd w:val="0"/>
              <w:snapToGrid w:val="0"/>
              <w:jc w:val="center"/>
              <w:textAlignment w:val="center"/>
              <w:rPr>
                <w:rFonts w:hint="eastAsia" w:ascii="仿宋_GB2312" w:hAnsi="仿宋_GB2312" w:eastAsia="仿宋_GB2312" w:cs="仿宋_GB2312"/>
                <w:i w:val="0"/>
                <w:snapToGrid w:val="0"/>
                <w:color w:val="000000"/>
                <w:kern w:val="0"/>
                <w:sz w:val="22"/>
                <w:szCs w:val="22"/>
                <w:u w:val="none"/>
                <w:lang w:val="en-US" w:eastAsia="zh-CN" w:bidi="ar"/>
              </w:rPr>
            </w:pPr>
            <w:r>
              <w:rPr>
                <w:rFonts w:hint="eastAsia" w:ascii="仿宋_GB2312" w:hAnsi="仿宋_GB2312" w:eastAsia="仿宋_GB2312" w:cs="仿宋_GB2312"/>
                <w:i w:val="0"/>
                <w:snapToGrid w:val="0"/>
                <w:color w:val="000000"/>
                <w:kern w:val="0"/>
                <w:sz w:val="22"/>
                <w:szCs w:val="22"/>
                <w:u w:val="none"/>
                <w:lang w:val="en-US" w:eastAsia="zh-CN" w:bidi="ar"/>
              </w:rPr>
              <w:t>28.00</w:t>
            </w:r>
          </w:p>
        </w:tc>
        <w:tc>
          <w:tcPr>
            <w:tcW w:w="683" w:type="pct"/>
            <w:shd w:val="clear" w:color="auto" w:fill="auto"/>
            <w:noWrap/>
            <w:vAlign w:val="center"/>
          </w:tcPr>
          <w:p>
            <w:pPr>
              <w:keepNext w:val="0"/>
              <w:keepLines w:val="0"/>
              <w:pageBreakBefore w:val="0"/>
              <w:widowControl/>
              <w:suppressLineNumbers w:val="0"/>
              <w:wordWrap/>
              <w:overflowPunct/>
              <w:topLinePunct w:val="0"/>
              <w:bidi w:val="0"/>
              <w:adjustRightInd w:val="0"/>
              <w:snapToGrid w:val="0"/>
              <w:jc w:val="center"/>
              <w:textAlignment w:val="center"/>
              <w:rPr>
                <w:rFonts w:hint="eastAsia" w:ascii="仿宋_GB2312" w:hAnsi="仿宋_GB2312" w:eastAsia="仿宋_GB2312" w:cs="仿宋_GB2312"/>
                <w:i w:val="0"/>
                <w:snapToGrid w:val="0"/>
                <w:color w:val="000000"/>
                <w:kern w:val="0"/>
                <w:sz w:val="22"/>
                <w:szCs w:val="22"/>
                <w:u w:val="none"/>
                <w:lang w:val="en-US" w:eastAsia="zh-CN" w:bidi="ar"/>
              </w:rPr>
            </w:pPr>
            <w:r>
              <w:rPr>
                <w:rFonts w:hint="eastAsia" w:ascii="仿宋_GB2312" w:hAnsi="仿宋_GB2312" w:eastAsia="仿宋_GB2312" w:cs="仿宋_GB2312"/>
                <w:i w:val="0"/>
                <w:snapToGrid w:val="0"/>
                <w:color w:val="000000"/>
                <w:kern w:val="0"/>
                <w:sz w:val="22"/>
                <w:szCs w:val="22"/>
                <w:u w:val="none"/>
                <w:lang w:val="en-US" w:eastAsia="zh-CN" w:bidi="ar"/>
              </w:rPr>
              <w:t>87.50%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65" w:type="pct"/>
            <w:vMerge w:val="continue"/>
            <w:vAlign w:val="center"/>
          </w:tcPr>
          <w:p>
            <w:pPr>
              <w:keepNext w:val="0"/>
              <w:keepLines w:val="0"/>
              <w:pageBreakBefore w:val="0"/>
              <w:widowControl/>
              <w:kinsoku/>
              <w:wordWrap/>
              <w:overflowPunct/>
              <w:topLinePunct w:val="0"/>
              <w:autoSpaceDE/>
              <w:autoSpaceDN/>
              <w:bidi w:val="0"/>
              <w:adjustRightInd w:val="0"/>
              <w:snapToGrid w:val="0"/>
              <w:textAlignment w:val="auto"/>
              <w:rPr>
                <w:rFonts w:hint="eastAsia" w:ascii="仿宋_GB2312" w:hAnsi="仿宋_GB2312" w:eastAsia="仿宋_GB2312" w:cs="仿宋_GB2312"/>
                <w:sz w:val="22"/>
                <w:szCs w:val="22"/>
              </w:rPr>
            </w:pPr>
          </w:p>
        </w:tc>
        <w:tc>
          <w:tcPr>
            <w:tcW w:w="1166" w:type="pct"/>
            <w:vMerge w:val="continue"/>
            <w:vAlign w:val="center"/>
          </w:tcPr>
          <w:p>
            <w:pPr>
              <w:keepNext w:val="0"/>
              <w:keepLines w:val="0"/>
              <w:pageBreakBefore w:val="0"/>
              <w:widowControl/>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2"/>
                <w:szCs w:val="22"/>
              </w:rPr>
            </w:pPr>
          </w:p>
        </w:tc>
        <w:tc>
          <w:tcPr>
            <w:tcW w:w="1798" w:type="pct"/>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2"/>
                <w:szCs w:val="22"/>
                <w:lang w:val="en-US" w:eastAsia="zh-CN"/>
              </w:rPr>
            </w:pPr>
            <w:r>
              <w:rPr>
                <w:rFonts w:hint="eastAsia" w:ascii="仿宋_GB2312" w:hAnsi="仿宋_GB2312" w:eastAsia="仿宋_GB2312" w:cs="仿宋_GB2312"/>
                <w:sz w:val="22"/>
                <w:szCs w:val="22"/>
                <w:lang w:val="en-US" w:eastAsia="zh-CN"/>
              </w:rPr>
              <w:t>合同管理规范性（8分）</w:t>
            </w:r>
          </w:p>
        </w:tc>
        <w:tc>
          <w:tcPr>
            <w:tcW w:w="585" w:type="pct"/>
            <w:shd w:val="clear" w:color="auto" w:fill="auto"/>
            <w:noWrap/>
            <w:vAlign w:val="center"/>
          </w:tcPr>
          <w:p>
            <w:pPr>
              <w:keepNext w:val="0"/>
              <w:keepLines w:val="0"/>
              <w:pageBreakBefore w:val="0"/>
              <w:widowControl/>
              <w:suppressLineNumbers w:val="0"/>
              <w:wordWrap/>
              <w:overflowPunct/>
              <w:topLinePunct w:val="0"/>
              <w:bidi w:val="0"/>
              <w:adjustRightInd w:val="0"/>
              <w:snapToGrid w:val="0"/>
              <w:jc w:val="center"/>
              <w:textAlignment w:val="center"/>
              <w:rPr>
                <w:rFonts w:hint="eastAsia" w:ascii="仿宋_GB2312" w:hAnsi="仿宋_GB2312" w:eastAsia="仿宋_GB2312" w:cs="仿宋_GB2312"/>
                <w:i w:val="0"/>
                <w:snapToGrid w:val="0"/>
                <w:color w:val="000000"/>
                <w:kern w:val="0"/>
                <w:sz w:val="22"/>
                <w:szCs w:val="22"/>
                <w:u w:val="none"/>
                <w:lang w:val="en-US" w:eastAsia="zh-CN" w:bidi="ar"/>
              </w:rPr>
            </w:pPr>
            <w:r>
              <w:rPr>
                <w:rFonts w:hint="eastAsia" w:ascii="仿宋_GB2312" w:hAnsi="仿宋_GB2312" w:eastAsia="仿宋_GB2312" w:cs="仿宋_GB2312"/>
                <w:i w:val="0"/>
                <w:snapToGrid w:val="0"/>
                <w:color w:val="000000"/>
                <w:kern w:val="0"/>
                <w:sz w:val="22"/>
                <w:szCs w:val="22"/>
                <w:u w:val="none"/>
                <w:lang w:val="en-US" w:eastAsia="zh-CN" w:bidi="ar"/>
              </w:rPr>
              <w:t>8.00</w:t>
            </w:r>
          </w:p>
        </w:tc>
        <w:tc>
          <w:tcPr>
            <w:tcW w:w="683" w:type="pct"/>
            <w:shd w:val="clear" w:color="auto" w:fill="auto"/>
            <w:noWrap/>
            <w:vAlign w:val="center"/>
          </w:tcPr>
          <w:p>
            <w:pPr>
              <w:keepNext w:val="0"/>
              <w:keepLines w:val="0"/>
              <w:pageBreakBefore w:val="0"/>
              <w:widowControl/>
              <w:suppressLineNumbers w:val="0"/>
              <w:wordWrap/>
              <w:overflowPunct/>
              <w:topLinePunct w:val="0"/>
              <w:bidi w:val="0"/>
              <w:adjustRightInd w:val="0"/>
              <w:snapToGrid w:val="0"/>
              <w:jc w:val="center"/>
              <w:textAlignment w:val="center"/>
              <w:rPr>
                <w:rFonts w:hint="eastAsia" w:ascii="仿宋_GB2312" w:hAnsi="仿宋_GB2312" w:eastAsia="仿宋_GB2312" w:cs="仿宋_GB2312"/>
                <w:i w:val="0"/>
                <w:snapToGrid w:val="0"/>
                <w:color w:val="000000"/>
                <w:kern w:val="0"/>
                <w:sz w:val="22"/>
                <w:szCs w:val="22"/>
                <w:u w:val="none"/>
                <w:lang w:val="en-US" w:eastAsia="zh-CN" w:bidi="ar"/>
              </w:rPr>
            </w:pPr>
            <w:r>
              <w:rPr>
                <w:rFonts w:hint="eastAsia" w:ascii="仿宋_GB2312" w:hAnsi="仿宋_GB2312" w:eastAsia="仿宋_GB2312" w:cs="仿宋_GB2312"/>
                <w:i w:val="0"/>
                <w:snapToGrid w:val="0"/>
                <w:color w:val="000000"/>
                <w:kern w:val="0"/>
                <w:sz w:val="22"/>
                <w:szCs w:val="22"/>
                <w:u w:val="none"/>
                <w:lang w:val="en-US" w:eastAsia="zh-CN" w:bidi="ar"/>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65" w:type="pct"/>
            <w:vMerge w:val="continue"/>
            <w:vAlign w:val="center"/>
          </w:tcPr>
          <w:p>
            <w:pPr>
              <w:keepNext w:val="0"/>
              <w:keepLines w:val="0"/>
              <w:pageBreakBefore w:val="0"/>
              <w:widowControl/>
              <w:kinsoku/>
              <w:wordWrap/>
              <w:overflowPunct/>
              <w:topLinePunct w:val="0"/>
              <w:autoSpaceDE/>
              <w:autoSpaceDN/>
              <w:bidi w:val="0"/>
              <w:adjustRightInd w:val="0"/>
              <w:snapToGrid w:val="0"/>
              <w:textAlignment w:val="auto"/>
              <w:rPr>
                <w:rFonts w:hint="eastAsia" w:ascii="仿宋_GB2312" w:hAnsi="仿宋_GB2312" w:eastAsia="仿宋_GB2312" w:cs="仿宋_GB2312"/>
                <w:sz w:val="22"/>
                <w:szCs w:val="22"/>
              </w:rPr>
            </w:pPr>
          </w:p>
        </w:tc>
        <w:tc>
          <w:tcPr>
            <w:tcW w:w="1166" w:type="pct"/>
            <w:vMerge w:val="continue"/>
            <w:vAlign w:val="center"/>
          </w:tcPr>
          <w:p>
            <w:pPr>
              <w:keepNext w:val="0"/>
              <w:keepLines w:val="0"/>
              <w:pageBreakBefore w:val="0"/>
              <w:widowControl/>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2"/>
                <w:szCs w:val="22"/>
              </w:rPr>
            </w:pPr>
          </w:p>
        </w:tc>
        <w:tc>
          <w:tcPr>
            <w:tcW w:w="1798" w:type="pct"/>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2"/>
                <w:szCs w:val="22"/>
                <w:lang w:val="en-US" w:eastAsia="zh-CN"/>
              </w:rPr>
            </w:pPr>
            <w:r>
              <w:rPr>
                <w:rFonts w:hint="eastAsia" w:ascii="仿宋_GB2312" w:hAnsi="仿宋_GB2312" w:eastAsia="仿宋_GB2312" w:cs="仿宋_GB2312"/>
                <w:sz w:val="22"/>
                <w:szCs w:val="22"/>
                <w:lang w:val="en-US" w:eastAsia="zh-CN"/>
              </w:rPr>
              <w:t>信息公开规范性（4分）</w:t>
            </w:r>
          </w:p>
        </w:tc>
        <w:tc>
          <w:tcPr>
            <w:tcW w:w="585" w:type="pct"/>
            <w:shd w:val="clear" w:color="auto" w:fill="auto"/>
            <w:noWrap/>
            <w:vAlign w:val="center"/>
          </w:tcPr>
          <w:p>
            <w:pPr>
              <w:keepNext w:val="0"/>
              <w:keepLines w:val="0"/>
              <w:pageBreakBefore w:val="0"/>
              <w:widowControl/>
              <w:suppressLineNumbers w:val="0"/>
              <w:wordWrap/>
              <w:overflowPunct/>
              <w:topLinePunct w:val="0"/>
              <w:bidi w:val="0"/>
              <w:adjustRightInd w:val="0"/>
              <w:snapToGrid w:val="0"/>
              <w:jc w:val="center"/>
              <w:textAlignment w:val="center"/>
              <w:rPr>
                <w:rFonts w:hint="eastAsia" w:ascii="仿宋_GB2312" w:hAnsi="仿宋_GB2312" w:eastAsia="仿宋_GB2312" w:cs="仿宋_GB2312"/>
                <w:i w:val="0"/>
                <w:snapToGrid w:val="0"/>
                <w:color w:val="000000"/>
                <w:kern w:val="0"/>
                <w:sz w:val="22"/>
                <w:szCs w:val="22"/>
                <w:u w:val="none"/>
                <w:lang w:val="en-US" w:eastAsia="zh-CN" w:bidi="ar"/>
              </w:rPr>
            </w:pPr>
            <w:r>
              <w:rPr>
                <w:rFonts w:hint="eastAsia" w:ascii="仿宋_GB2312" w:hAnsi="仿宋_GB2312" w:eastAsia="仿宋_GB2312" w:cs="仿宋_GB2312"/>
                <w:i w:val="0"/>
                <w:snapToGrid w:val="0"/>
                <w:color w:val="000000"/>
                <w:kern w:val="0"/>
                <w:sz w:val="22"/>
                <w:szCs w:val="22"/>
                <w:u w:val="none"/>
                <w:lang w:val="en-US" w:eastAsia="zh-CN" w:bidi="ar"/>
              </w:rPr>
              <w:t>4.00</w:t>
            </w:r>
          </w:p>
        </w:tc>
        <w:tc>
          <w:tcPr>
            <w:tcW w:w="683" w:type="pct"/>
            <w:shd w:val="clear" w:color="auto" w:fill="auto"/>
            <w:noWrap/>
            <w:vAlign w:val="center"/>
          </w:tcPr>
          <w:p>
            <w:pPr>
              <w:keepNext w:val="0"/>
              <w:keepLines w:val="0"/>
              <w:pageBreakBefore w:val="0"/>
              <w:widowControl/>
              <w:suppressLineNumbers w:val="0"/>
              <w:wordWrap/>
              <w:overflowPunct/>
              <w:topLinePunct w:val="0"/>
              <w:bidi w:val="0"/>
              <w:adjustRightInd w:val="0"/>
              <w:snapToGrid w:val="0"/>
              <w:jc w:val="center"/>
              <w:textAlignment w:val="center"/>
              <w:rPr>
                <w:rFonts w:hint="eastAsia" w:ascii="仿宋_GB2312" w:hAnsi="仿宋_GB2312" w:eastAsia="仿宋_GB2312" w:cs="仿宋_GB2312"/>
                <w:i w:val="0"/>
                <w:snapToGrid w:val="0"/>
                <w:color w:val="000000"/>
                <w:kern w:val="0"/>
                <w:sz w:val="22"/>
                <w:szCs w:val="22"/>
                <w:u w:val="none"/>
                <w:lang w:val="en-US" w:eastAsia="zh-CN" w:bidi="ar"/>
              </w:rPr>
            </w:pPr>
            <w:r>
              <w:rPr>
                <w:rFonts w:hint="eastAsia" w:ascii="仿宋_GB2312" w:hAnsi="仿宋_GB2312" w:eastAsia="仿宋_GB2312" w:cs="仿宋_GB2312"/>
                <w:i w:val="0"/>
                <w:snapToGrid w:val="0"/>
                <w:color w:val="000000"/>
                <w:kern w:val="0"/>
                <w:sz w:val="22"/>
                <w:szCs w:val="22"/>
                <w:u w:val="none"/>
                <w:lang w:val="en-US" w:eastAsia="zh-CN" w:bidi="ar"/>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65" w:type="pct"/>
            <w:vMerge w:val="restart"/>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产出</w:t>
            </w:r>
          </w:p>
          <w:p>
            <w:pPr>
              <w:keepNext w:val="0"/>
              <w:keepLines w:val="0"/>
              <w:pageBreakBefore w:val="0"/>
              <w:widowControl/>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w:t>
            </w:r>
            <w:r>
              <w:rPr>
                <w:rFonts w:hint="eastAsia" w:ascii="仿宋_GB2312" w:hAnsi="仿宋_GB2312" w:eastAsia="仿宋_GB2312" w:cs="仿宋_GB2312"/>
                <w:sz w:val="22"/>
                <w:szCs w:val="22"/>
                <w:lang w:val="en-US" w:eastAsia="zh-CN"/>
              </w:rPr>
              <w:t>15</w:t>
            </w:r>
            <w:r>
              <w:rPr>
                <w:rFonts w:hint="eastAsia" w:ascii="仿宋_GB2312" w:hAnsi="仿宋_GB2312" w:eastAsia="仿宋_GB2312" w:cs="仿宋_GB2312"/>
                <w:sz w:val="22"/>
                <w:szCs w:val="22"/>
              </w:rPr>
              <w:t>分）</w:t>
            </w:r>
          </w:p>
        </w:tc>
        <w:tc>
          <w:tcPr>
            <w:tcW w:w="116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2"/>
                <w:szCs w:val="22"/>
                <w:lang w:val="en-US" w:eastAsia="zh-CN"/>
              </w:rPr>
            </w:pPr>
            <w:r>
              <w:rPr>
                <w:rFonts w:hint="eastAsia" w:ascii="仿宋_GB2312" w:hAnsi="仿宋_GB2312" w:eastAsia="仿宋_GB2312" w:cs="仿宋_GB2312"/>
                <w:sz w:val="22"/>
                <w:szCs w:val="22"/>
                <w:lang w:val="en-US" w:eastAsia="zh-CN"/>
              </w:rPr>
              <w:t>产出数量</w:t>
            </w:r>
            <w:r>
              <w:rPr>
                <w:rFonts w:hint="eastAsia" w:ascii="仿宋_GB2312" w:hAnsi="仿宋_GB2312" w:eastAsia="仿宋_GB2312" w:cs="仿宋_GB2312"/>
                <w:sz w:val="22"/>
                <w:szCs w:val="22"/>
              </w:rPr>
              <w:t>（</w:t>
            </w:r>
            <w:r>
              <w:rPr>
                <w:rFonts w:hint="eastAsia" w:ascii="仿宋_GB2312" w:hAnsi="仿宋_GB2312" w:eastAsia="仿宋_GB2312" w:cs="仿宋_GB2312"/>
                <w:sz w:val="22"/>
                <w:szCs w:val="22"/>
                <w:lang w:val="en-US" w:eastAsia="zh-CN"/>
              </w:rPr>
              <w:t>4</w:t>
            </w:r>
            <w:r>
              <w:rPr>
                <w:rFonts w:hint="eastAsia" w:ascii="仿宋_GB2312" w:hAnsi="仿宋_GB2312" w:eastAsia="仿宋_GB2312" w:cs="仿宋_GB2312"/>
                <w:sz w:val="22"/>
                <w:szCs w:val="22"/>
              </w:rPr>
              <w:t>分）</w:t>
            </w:r>
          </w:p>
        </w:tc>
        <w:tc>
          <w:tcPr>
            <w:tcW w:w="1798" w:type="pct"/>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2"/>
                <w:szCs w:val="22"/>
              </w:rPr>
            </w:pPr>
            <w:r>
              <w:rPr>
                <w:rFonts w:hint="eastAsia" w:ascii="仿宋_GB2312" w:hAnsi="仿宋_GB2312" w:eastAsia="仿宋_GB2312" w:cs="仿宋_GB2312"/>
                <w:sz w:val="22"/>
                <w:szCs w:val="22"/>
                <w:lang w:val="en-US" w:eastAsia="zh-CN"/>
              </w:rPr>
              <w:t>实际产出率</w:t>
            </w:r>
            <w:r>
              <w:rPr>
                <w:rFonts w:hint="eastAsia" w:ascii="仿宋_GB2312" w:hAnsi="仿宋_GB2312" w:eastAsia="仿宋_GB2312" w:cs="仿宋_GB2312"/>
                <w:sz w:val="22"/>
                <w:szCs w:val="22"/>
              </w:rPr>
              <w:t>（</w:t>
            </w:r>
            <w:r>
              <w:rPr>
                <w:rFonts w:hint="eastAsia" w:ascii="仿宋_GB2312" w:hAnsi="仿宋_GB2312" w:eastAsia="仿宋_GB2312" w:cs="仿宋_GB2312"/>
                <w:sz w:val="22"/>
                <w:szCs w:val="22"/>
                <w:lang w:val="en-US" w:eastAsia="zh-CN"/>
              </w:rPr>
              <w:t>4</w:t>
            </w:r>
            <w:r>
              <w:rPr>
                <w:rFonts w:hint="eastAsia" w:ascii="仿宋_GB2312" w:hAnsi="仿宋_GB2312" w:eastAsia="仿宋_GB2312" w:cs="仿宋_GB2312"/>
                <w:sz w:val="22"/>
                <w:szCs w:val="22"/>
              </w:rPr>
              <w:t>分）</w:t>
            </w:r>
          </w:p>
        </w:tc>
        <w:tc>
          <w:tcPr>
            <w:tcW w:w="585" w:type="pct"/>
            <w:shd w:val="clear" w:color="auto" w:fill="auto"/>
            <w:noWrap/>
            <w:vAlign w:val="center"/>
          </w:tcPr>
          <w:p>
            <w:pPr>
              <w:keepNext w:val="0"/>
              <w:keepLines w:val="0"/>
              <w:pageBreakBefore w:val="0"/>
              <w:widowControl/>
              <w:suppressLineNumbers w:val="0"/>
              <w:wordWrap/>
              <w:overflowPunct/>
              <w:topLinePunct w:val="0"/>
              <w:bidi w:val="0"/>
              <w:adjustRightInd w:val="0"/>
              <w:snapToGrid w:val="0"/>
              <w:jc w:val="center"/>
              <w:textAlignment w:val="center"/>
              <w:rPr>
                <w:rFonts w:hint="eastAsia" w:ascii="仿宋_GB2312" w:hAnsi="仿宋_GB2312" w:eastAsia="仿宋_GB2312" w:cs="仿宋_GB2312"/>
                <w:sz w:val="22"/>
                <w:szCs w:val="22"/>
                <w:lang w:val="en-US"/>
              </w:rPr>
            </w:pPr>
            <w:r>
              <w:rPr>
                <w:rFonts w:hint="eastAsia" w:ascii="仿宋_GB2312" w:hAnsi="仿宋_GB2312" w:eastAsia="仿宋_GB2312" w:cs="仿宋_GB2312"/>
                <w:i w:val="0"/>
                <w:snapToGrid w:val="0"/>
                <w:color w:val="000000"/>
                <w:kern w:val="0"/>
                <w:sz w:val="22"/>
                <w:szCs w:val="22"/>
                <w:u w:val="none"/>
                <w:lang w:val="en-US" w:eastAsia="zh-CN" w:bidi="ar"/>
              </w:rPr>
              <w:t>3.60</w:t>
            </w:r>
          </w:p>
        </w:tc>
        <w:tc>
          <w:tcPr>
            <w:tcW w:w="683" w:type="pct"/>
            <w:shd w:val="clear" w:color="auto" w:fill="auto"/>
            <w:noWrap/>
            <w:vAlign w:val="center"/>
          </w:tcPr>
          <w:p>
            <w:pPr>
              <w:keepNext w:val="0"/>
              <w:keepLines w:val="0"/>
              <w:pageBreakBefore w:val="0"/>
              <w:widowControl/>
              <w:suppressLineNumbers w:val="0"/>
              <w:wordWrap/>
              <w:overflowPunct/>
              <w:topLinePunct w:val="0"/>
              <w:bidi w:val="0"/>
              <w:adjustRightInd w:val="0"/>
              <w:snapToGrid w:val="0"/>
              <w:jc w:val="center"/>
              <w:textAlignment w:val="center"/>
              <w:rPr>
                <w:rFonts w:hint="eastAsia" w:ascii="仿宋_GB2312" w:hAnsi="仿宋_GB2312" w:eastAsia="仿宋_GB2312" w:cs="仿宋_GB2312"/>
                <w:sz w:val="22"/>
                <w:szCs w:val="22"/>
              </w:rPr>
            </w:pPr>
            <w:r>
              <w:rPr>
                <w:rFonts w:hint="eastAsia" w:ascii="仿宋_GB2312" w:hAnsi="仿宋_GB2312" w:eastAsia="仿宋_GB2312" w:cs="仿宋_GB2312"/>
                <w:i w:val="0"/>
                <w:snapToGrid w:val="0"/>
                <w:color w:val="000000"/>
                <w:kern w:val="0"/>
                <w:sz w:val="22"/>
                <w:szCs w:val="22"/>
                <w:u w:val="none"/>
                <w:lang w:val="en-US" w:eastAsia="zh-CN" w:bidi="ar"/>
              </w:rPr>
              <w:t>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65" w:type="pct"/>
            <w:vMerge w:val="continue"/>
            <w:vAlign w:val="center"/>
          </w:tcPr>
          <w:p>
            <w:pPr>
              <w:keepNext w:val="0"/>
              <w:keepLines w:val="0"/>
              <w:pageBreakBefore w:val="0"/>
              <w:widowControl/>
              <w:kinsoku/>
              <w:wordWrap/>
              <w:overflowPunct/>
              <w:topLinePunct w:val="0"/>
              <w:autoSpaceDE/>
              <w:autoSpaceDN/>
              <w:bidi w:val="0"/>
              <w:adjustRightInd w:val="0"/>
              <w:snapToGrid w:val="0"/>
              <w:textAlignment w:val="auto"/>
              <w:rPr>
                <w:rFonts w:hint="eastAsia" w:ascii="仿宋_GB2312" w:hAnsi="仿宋_GB2312" w:eastAsia="仿宋_GB2312" w:cs="仿宋_GB2312"/>
                <w:sz w:val="22"/>
                <w:szCs w:val="22"/>
              </w:rPr>
            </w:pPr>
          </w:p>
        </w:tc>
        <w:tc>
          <w:tcPr>
            <w:tcW w:w="116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2"/>
                <w:szCs w:val="22"/>
              </w:rPr>
            </w:pPr>
            <w:r>
              <w:rPr>
                <w:rFonts w:hint="eastAsia" w:ascii="仿宋_GB2312" w:hAnsi="仿宋_GB2312" w:eastAsia="仿宋_GB2312" w:cs="仿宋_GB2312"/>
                <w:sz w:val="22"/>
                <w:szCs w:val="22"/>
                <w:lang w:val="en-US" w:eastAsia="zh-CN"/>
              </w:rPr>
              <w:t>产出质量</w:t>
            </w:r>
            <w:r>
              <w:rPr>
                <w:rFonts w:hint="eastAsia" w:ascii="仿宋_GB2312" w:hAnsi="仿宋_GB2312" w:eastAsia="仿宋_GB2312" w:cs="仿宋_GB2312"/>
                <w:sz w:val="22"/>
                <w:szCs w:val="22"/>
              </w:rPr>
              <w:t>（</w:t>
            </w:r>
            <w:r>
              <w:rPr>
                <w:rFonts w:hint="eastAsia" w:ascii="仿宋_GB2312" w:hAnsi="仿宋_GB2312" w:eastAsia="仿宋_GB2312" w:cs="仿宋_GB2312"/>
                <w:sz w:val="22"/>
                <w:szCs w:val="22"/>
                <w:lang w:val="en-US" w:eastAsia="zh-CN"/>
              </w:rPr>
              <w:t>4</w:t>
            </w:r>
            <w:r>
              <w:rPr>
                <w:rFonts w:hint="eastAsia" w:ascii="仿宋_GB2312" w:hAnsi="仿宋_GB2312" w:eastAsia="仿宋_GB2312" w:cs="仿宋_GB2312"/>
                <w:sz w:val="22"/>
                <w:szCs w:val="22"/>
              </w:rPr>
              <w:t>分）</w:t>
            </w:r>
          </w:p>
        </w:tc>
        <w:tc>
          <w:tcPr>
            <w:tcW w:w="1798" w:type="pct"/>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2"/>
                <w:szCs w:val="22"/>
              </w:rPr>
            </w:pPr>
            <w:r>
              <w:rPr>
                <w:rFonts w:hint="eastAsia" w:ascii="仿宋_GB2312" w:hAnsi="仿宋_GB2312" w:eastAsia="仿宋_GB2312" w:cs="仿宋_GB2312"/>
                <w:sz w:val="22"/>
                <w:szCs w:val="22"/>
                <w:lang w:val="en-US" w:eastAsia="zh-CN"/>
              </w:rPr>
              <w:t>产出达标率</w:t>
            </w:r>
            <w:r>
              <w:rPr>
                <w:rFonts w:hint="eastAsia" w:ascii="仿宋_GB2312" w:hAnsi="仿宋_GB2312" w:eastAsia="仿宋_GB2312" w:cs="仿宋_GB2312"/>
                <w:sz w:val="22"/>
                <w:szCs w:val="22"/>
              </w:rPr>
              <w:t>（</w:t>
            </w:r>
            <w:r>
              <w:rPr>
                <w:rFonts w:hint="eastAsia" w:ascii="仿宋_GB2312" w:hAnsi="仿宋_GB2312" w:eastAsia="仿宋_GB2312" w:cs="仿宋_GB2312"/>
                <w:sz w:val="22"/>
                <w:szCs w:val="22"/>
                <w:lang w:val="en-US" w:eastAsia="zh-CN"/>
              </w:rPr>
              <w:t>4</w:t>
            </w:r>
            <w:r>
              <w:rPr>
                <w:rFonts w:hint="eastAsia" w:ascii="仿宋_GB2312" w:hAnsi="仿宋_GB2312" w:eastAsia="仿宋_GB2312" w:cs="仿宋_GB2312"/>
                <w:sz w:val="22"/>
                <w:szCs w:val="22"/>
              </w:rPr>
              <w:t>分）</w:t>
            </w:r>
          </w:p>
        </w:tc>
        <w:tc>
          <w:tcPr>
            <w:tcW w:w="585" w:type="pct"/>
            <w:shd w:val="clear" w:color="auto" w:fill="auto"/>
            <w:noWrap/>
            <w:vAlign w:val="center"/>
          </w:tcPr>
          <w:p>
            <w:pPr>
              <w:keepNext w:val="0"/>
              <w:keepLines w:val="0"/>
              <w:pageBreakBefore w:val="0"/>
              <w:widowControl/>
              <w:suppressLineNumbers w:val="0"/>
              <w:wordWrap/>
              <w:overflowPunct/>
              <w:topLinePunct w:val="0"/>
              <w:bidi w:val="0"/>
              <w:adjustRightInd w:val="0"/>
              <w:snapToGrid w:val="0"/>
              <w:jc w:val="center"/>
              <w:textAlignment w:val="center"/>
              <w:rPr>
                <w:rFonts w:hint="eastAsia" w:ascii="仿宋_GB2312" w:hAnsi="仿宋_GB2312" w:eastAsia="仿宋_GB2312" w:cs="仿宋_GB2312"/>
                <w:sz w:val="22"/>
                <w:szCs w:val="22"/>
                <w:lang w:val="en-US" w:eastAsia="zh-CN"/>
              </w:rPr>
            </w:pPr>
            <w:r>
              <w:rPr>
                <w:rFonts w:hint="eastAsia" w:ascii="仿宋_GB2312" w:hAnsi="仿宋_GB2312" w:eastAsia="仿宋_GB2312" w:cs="仿宋_GB2312"/>
                <w:i w:val="0"/>
                <w:snapToGrid w:val="0"/>
                <w:color w:val="000000"/>
                <w:kern w:val="0"/>
                <w:sz w:val="22"/>
                <w:szCs w:val="22"/>
                <w:u w:val="none"/>
                <w:lang w:val="en-US" w:eastAsia="zh-CN" w:bidi="ar"/>
              </w:rPr>
              <w:t>2.00</w:t>
            </w:r>
          </w:p>
        </w:tc>
        <w:tc>
          <w:tcPr>
            <w:tcW w:w="683" w:type="pct"/>
            <w:shd w:val="clear" w:color="auto" w:fill="auto"/>
            <w:noWrap/>
            <w:vAlign w:val="center"/>
          </w:tcPr>
          <w:p>
            <w:pPr>
              <w:keepNext w:val="0"/>
              <w:keepLines w:val="0"/>
              <w:pageBreakBefore w:val="0"/>
              <w:widowControl/>
              <w:suppressLineNumbers w:val="0"/>
              <w:wordWrap/>
              <w:overflowPunct/>
              <w:topLinePunct w:val="0"/>
              <w:bidi w:val="0"/>
              <w:adjustRightInd w:val="0"/>
              <w:snapToGrid w:val="0"/>
              <w:jc w:val="center"/>
              <w:textAlignment w:val="center"/>
              <w:rPr>
                <w:rFonts w:hint="eastAsia" w:ascii="仿宋_GB2312" w:hAnsi="仿宋_GB2312" w:eastAsia="仿宋_GB2312" w:cs="仿宋_GB2312"/>
                <w:sz w:val="22"/>
                <w:szCs w:val="22"/>
              </w:rPr>
            </w:pPr>
            <w:r>
              <w:rPr>
                <w:rFonts w:hint="eastAsia" w:ascii="仿宋_GB2312" w:hAnsi="仿宋_GB2312" w:eastAsia="仿宋_GB2312" w:cs="仿宋_GB2312"/>
                <w:i w:val="0"/>
                <w:snapToGrid w:val="0"/>
                <w:color w:val="000000"/>
                <w:kern w:val="0"/>
                <w:sz w:val="22"/>
                <w:szCs w:val="22"/>
                <w:u w:val="none"/>
                <w:lang w:val="en-US" w:eastAsia="zh-CN" w:bidi="ar"/>
              </w:rPr>
              <w:t>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65" w:type="pct"/>
            <w:vMerge w:val="continue"/>
            <w:vAlign w:val="center"/>
          </w:tcPr>
          <w:p>
            <w:pPr>
              <w:keepNext w:val="0"/>
              <w:keepLines w:val="0"/>
              <w:pageBreakBefore w:val="0"/>
              <w:widowControl/>
              <w:kinsoku/>
              <w:wordWrap/>
              <w:overflowPunct/>
              <w:topLinePunct w:val="0"/>
              <w:autoSpaceDE/>
              <w:autoSpaceDN/>
              <w:bidi w:val="0"/>
              <w:adjustRightInd w:val="0"/>
              <w:snapToGrid w:val="0"/>
              <w:textAlignment w:val="auto"/>
              <w:rPr>
                <w:rFonts w:hint="eastAsia" w:ascii="仿宋_GB2312" w:hAnsi="仿宋_GB2312" w:eastAsia="仿宋_GB2312" w:cs="仿宋_GB2312"/>
                <w:sz w:val="22"/>
                <w:szCs w:val="22"/>
              </w:rPr>
            </w:pPr>
          </w:p>
        </w:tc>
        <w:tc>
          <w:tcPr>
            <w:tcW w:w="116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2"/>
                <w:szCs w:val="22"/>
              </w:rPr>
            </w:pPr>
            <w:r>
              <w:rPr>
                <w:rFonts w:hint="eastAsia" w:ascii="仿宋_GB2312" w:hAnsi="仿宋_GB2312" w:eastAsia="仿宋_GB2312" w:cs="仿宋_GB2312"/>
                <w:sz w:val="22"/>
                <w:szCs w:val="22"/>
                <w:lang w:val="en-US" w:eastAsia="zh-CN"/>
              </w:rPr>
              <w:t>产出时效</w:t>
            </w:r>
            <w:r>
              <w:rPr>
                <w:rFonts w:hint="eastAsia" w:ascii="仿宋_GB2312" w:hAnsi="仿宋_GB2312" w:eastAsia="仿宋_GB2312" w:cs="仿宋_GB2312"/>
                <w:sz w:val="22"/>
                <w:szCs w:val="22"/>
              </w:rPr>
              <w:t>（</w:t>
            </w:r>
            <w:r>
              <w:rPr>
                <w:rFonts w:hint="eastAsia" w:ascii="仿宋_GB2312" w:hAnsi="仿宋_GB2312" w:eastAsia="仿宋_GB2312" w:cs="仿宋_GB2312"/>
                <w:sz w:val="22"/>
                <w:szCs w:val="22"/>
                <w:lang w:val="en-US" w:eastAsia="zh-CN"/>
              </w:rPr>
              <w:t>4</w:t>
            </w:r>
            <w:r>
              <w:rPr>
                <w:rFonts w:hint="eastAsia" w:ascii="仿宋_GB2312" w:hAnsi="仿宋_GB2312" w:eastAsia="仿宋_GB2312" w:cs="仿宋_GB2312"/>
                <w:sz w:val="22"/>
                <w:szCs w:val="22"/>
              </w:rPr>
              <w:t>分）</w:t>
            </w:r>
          </w:p>
        </w:tc>
        <w:tc>
          <w:tcPr>
            <w:tcW w:w="1798" w:type="pct"/>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2"/>
                <w:szCs w:val="22"/>
              </w:rPr>
            </w:pPr>
            <w:r>
              <w:rPr>
                <w:rFonts w:hint="eastAsia" w:ascii="仿宋_GB2312" w:hAnsi="仿宋_GB2312" w:eastAsia="仿宋_GB2312" w:cs="仿宋_GB2312"/>
                <w:sz w:val="22"/>
                <w:szCs w:val="22"/>
                <w:lang w:val="en-US" w:eastAsia="zh-CN"/>
              </w:rPr>
              <w:t>完成及时性</w:t>
            </w:r>
            <w:r>
              <w:rPr>
                <w:rFonts w:hint="eastAsia" w:ascii="仿宋_GB2312" w:hAnsi="仿宋_GB2312" w:eastAsia="仿宋_GB2312" w:cs="仿宋_GB2312"/>
                <w:sz w:val="22"/>
                <w:szCs w:val="22"/>
              </w:rPr>
              <w:t>（</w:t>
            </w:r>
            <w:r>
              <w:rPr>
                <w:rFonts w:hint="eastAsia" w:ascii="仿宋_GB2312" w:hAnsi="仿宋_GB2312" w:eastAsia="仿宋_GB2312" w:cs="仿宋_GB2312"/>
                <w:sz w:val="22"/>
                <w:szCs w:val="22"/>
                <w:lang w:val="en-US" w:eastAsia="zh-CN"/>
              </w:rPr>
              <w:t>4</w:t>
            </w:r>
            <w:r>
              <w:rPr>
                <w:rFonts w:hint="eastAsia" w:ascii="仿宋_GB2312" w:hAnsi="仿宋_GB2312" w:eastAsia="仿宋_GB2312" w:cs="仿宋_GB2312"/>
                <w:sz w:val="22"/>
                <w:szCs w:val="22"/>
              </w:rPr>
              <w:t>分）</w:t>
            </w:r>
          </w:p>
        </w:tc>
        <w:tc>
          <w:tcPr>
            <w:tcW w:w="585" w:type="pct"/>
            <w:shd w:val="clear" w:color="auto" w:fill="auto"/>
            <w:noWrap/>
            <w:vAlign w:val="center"/>
          </w:tcPr>
          <w:p>
            <w:pPr>
              <w:keepNext w:val="0"/>
              <w:keepLines w:val="0"/>
              <w:pageBreakBefore w:val="0"/>
              <w:widowControl/>
              <w:suppressLineNumbers w:val="0"/>
              <w:wordWrap/>
              <w:overflowPunct/>
              <w:topLinePunct w:val="0"/>
              <w:bidi w:val="0"/>
              <w:adjustRightInd w:val="0"/>
              <w:snapToGrid w:val="0"/>
              <w:jc w:val="center"/>
              <w:textAlignment w:val="center"/>
              <w:rPr>
                <w:rFonts w:hint="eastAsia" w:ascii="仿宋_GB2312" w:hAnsi="仿宋_GB2312" w:eastAsia="仿宋_GB2312" w:cs="仿宋_GB2312"/>
                <w:sz w:val="22"/>
                <w:szCs w:val="22"/>
                <w:lang w:val="en-US" w:eastAsia="zh-CN"/>
              </w:rPr>
            </w:pPr>
            <w:r>
              <w:rPr>
                <w:rFonts w:hint="eastAsia" w:ascii="仿宋_GB2312" w:hAnsi="仿宋_GB2312" w:eastAsia="仿宋_GB2312" w:cs="仿宋_GB2312"/>
                <w:sz w:val="22"/>
                <w:szCs w:val="22"/>
                <w:lang w:val="en-US" w:eastAsia="zh-CN"/>
              </w:rPr>
              <w:t>1.00</w:t>
            </w:r>
          </w:p>
        </w:tc>
        <w:tc>
          <w:tcPr>
            <w:tcW w:w="683" w:type="pct"/>
            <w:shd w:val="clear" w:color="auto" w:fill="auto"/>
            <w:noWrap/>
            <w:vAlign w:val="center"/>
          </w:tcPr>
          <w:p>
            <w:pPr>
              <w:keepNext w:val="0"/>
              <w:keepLines w:val="0"/>
              <w:pageBreakBefore w:val="0"/>
              <w:widowControl/>
              <w:suppressLineNumbers w:val="0"/>
              <w:wordWrap/>
              <w:overflowPunct/>
              <w:topLinePunct w:val="0"/>
              <w:bidi w:val="0"/>
              <w:adjustRightInd w:val="0"/>
              <w:snapToGrid w:val="0"/>
              <w:jc w:val="center"/>
              <w:textAlignment w:val="center"/>
              <w:rPr>
                <w:rFonts w:hint="eastAsia" w:ascii="仿宋_GB2312" w:hAnsi="仿宋_GB2312" w:eastAsia="仿宋_GB2312" w:cs="仿宋_GB2312"/>
                <w:sz w:val="22"/>
                <w:szCs w:val="22"/>
              </w:rPr>
            </w:pPr>
            <w:r>
              <w:rPr>
                <w:rFonts w:hint="eastAsia" w:ascii="仿宋_GB2312" w:hAnsi="仿宋_GB2312" w:eastAsia="仿宋_GB2312" w:cs="仿宋_GB2312"/>
                <w:i w:val="0"/>
                <w:snapToGrid w:val="0"/>
                <w:color w:val="000000"/>
                <w:kern w:val="0"/>
                <w:sz w:val="22"/>
                <w:szCs w:val="22"/>
                <w:u w:val="none"/>
                <w:lang w:val="en-US" w:eastAsia="zh-CN" w:bidi="ar"/>
              </w:rPr>
              <w:t>25.00%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65" w:type="pct"/>
            <w:vMerge w:val="continue"/>
            <w:vAlign w:val="center"/>
          </w:tcPr>
          <w:p>
            <w:pPr>
              <w:keepNext w:val="0"/>
              <w:keepLines w:val="0"/>
              <w:pageBreakBefore w:val="0"/>
              <w:widowControl/>
              <w:kinsoku/>
              <w:wordWrap/>
              <w:overflowPunct/>
              <w:topLinePunct w:val="0"/>
              <w:autoSpaceDE/>
              <w:autoSpaceDN/>
              <w:bidi w:val="0"/>
              <w:adjustRightInd w:val="0"/>
              <w:snapToGrid w:val="0"/>
              <w:textAlignment w:val="auto"/>
              <w:rPr>
                <w:rFonts w:hint="eastAsia" w:ascii="仿宋_GB2312" w:hAnsi="仿宋_GB2312" w:eastAsia="仿宋_GB2312" w:cs="仿宋_GB2312"/>
                <w:sz w:val="22"/>
                <w:szCs w:val="22"/>
              </w:rPr>
            </w:pPr>
          </w:p>
        </w:tc>
        <w:tc>
          <w:tcPr>
            <w:tcW w:w="116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2"/>
                <w:szCs w:val="22"/>
              </w:rPr>
            </w:pPr>
            <w:r>
              <w:rPr>
                <w:rFonts w:hint="eastAsia" w:ascii="仿宋_GB2312" w:hAnsi="仿宋_GB2312" w:eastAsia="仿宋_GB2312" w:cs="仿宋_GB2312"/>
                <w:sz w:val="22"/>
                <w:szCs w:val="22"/>
                <w:lang w:val="en-US" w:eastAsia="zh-CN"/>
              </w:rPr>
              <w:t>产出成本（3分）</w:t>
            </w:r>
          </w:p>
        </w:tc>
        <w:tc>
          <w:tcPr>
            <w:tcW w:w="1798" w:type="pct"/>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2"/>
                <w:szCs w:val="22"/>
                <w:lang w:val="en-US" w:eastAsia="zh-CN"/>
              </w:rPr>
            </w:pPr>
            <w:r>
              <w:rPr>
                <w:rFonts w:hint="eastAsia" w:ascii="仿宋_GB2312" w:hAnsi="仿宋_GB2312" w:eastAsia="仿宋_GB2312" w:cs="仿宋_GB2312"/>
                <w:sz w:val="22"/>
                <w:szCs w:val="22"/>
                <w:lang w:val="en-US" w:eastAsia="zh-CN"/>
              </w:rPr>
              <w:t>政府采购节支率（3分）</w:t>
            </w:r>
          </w:p>
        </w:tc>
        <w:tc>
          <w:tcPr>
            <w:tcW w:w="585" w:type="pct"/>
            <w:shd w:val="clear" w:color="auto" w:fill="auto"/>
            <w:noWrap/>
            <w:vAlign w:val="center"/>
          </w:tcPr>
          <w:p>
            <w:pPr>
              <w:keepNext w:val="0"/>
              <w:keepLines w:val="0"/>
              <w:pageBreakBefore w:val="0"/>
              <w:widowControl/>
              <w:suppressLineNumbers w:val="0"/>
              <w:wordWrap/>
              <w:overflowPunct/>
              <w:topLinePunct w:val="0"/>
              <w:bidi w:val="0"/>
              <w:adjustRightInd w:val="0"/>
              <w:snapToGrid w:val="0"/>
              <w:jc w:val="center"/>
              <w:textAlignment w:val="center"/>
              <w:rPr>
                <w:rFonts w:hint="eastAsia" w:ascii="仿宋_GB2312" w:hAnsi="仿宋_GB2312" w:eastAsia="仿宋_GB2312" w:cs="仿宋_GB2312"/>
                <w:i w:val="0"/>
                <w:snapToGrid w:val="0"/>
                <w:color w:val="000000"/>
                <w:kern w:val="0"/>
                <w:sz w:val="22"/>
                <w:szCs w:val="22"/>
                <w:u w:val="none"/>
                <w:lang w:val="en-US" w:eastAsia="zh-CN" w:bidi="ar"/>
              </w:rPr>
            </w:pPr>
            <w:r>
              <w:rPr>
                <w:rFonts w:hint="eastAsia" w:ascii="仿宋_GB2312" w:hAnsi="仿宋_GB2312" w:eastAsia="仿宋_GB2312" w:cs="仿宋_GB2312"/>
                <w:i w:val="0"/>
                <w:snapToGrid w:val="0"/>
                <w:color w:val="000000"/>
                <w:kern w:val="0"/>
                <w:sz w:val="22"/>
                <w:szCs w:val="22"/>
                <w:u w:val="none"/>
                <w:lang w:val="en-US" w:eastAsia="zh-CN" w:bidi="ar"/>
              </w:rPr>
              <w:t>3.00</w:t>
            </w:r>
          </w:p>
        </w:tc>
        <w:tc>
          <w:tcPr>
            <w:tcW w:w="683" w:type="pct"/>
            <w:shd w:val="clear" w:color="auto" w:fill="auto"/>
            <w:noWrap/>
            <w:vAlign w:val="center"/>
          </w:tcPr>
          <w:p>
            <w:pPr>
              <w:keepNext w:val="0"/>
              <w:keepLines w:val="0"/>
              <w:pageBreakBefore w:val="0"/>
              <w:widowControl/>
              <w:suppressLineNumbers w:val="0"/>
              <w:wordWrap/>
              <w:overflowPunct/>
              <w:topLinePunct w:val="0"/>
              <w:bidi w:val="0"/>
              <w:adjustRightInd w:val="0"/>
              <w:snapToGrid w:val="0"/>
              <w:jc w:val="center"/>
              <w:textAlignment w:val="center"/>
              <w:rPr>
                <w:rFonts w:hint="eastAsia" w:ascii="仿宋_GB2312" w:hAnsi="仿宋_GB2312" w:eastAsia="仿宋_GB2312" w:cs="仿宋_GB2312"/>
                <w:i w:val="0"/>
                <w:snapToGrid w:val="0"/>
                <w:color w:val="000000"/>
                <w:kern w:val="0"/>
                <w:sz w:val="22"/>
                <w:szCs w:val="22"/>
                <w:u w:val="none"/>
                <w:lang w:val="en-US" w:eastAsia="zh-CN" w:bidi="ar"/>
              </w:rPr>
            </w:pPr>
            <w:r>
              <w:rPr>
                <w:rFonts w:hint="eastAsia" w:ascii="仿宋_GB2312" w:hAnsi="仿宋_GB2312" w:eastAsia="仿宋_GB2312" w:cs="仿宋_GB2312"/>
                <w:i w:val="0"/>
                <w:snapToGrid w:val="0"/>
                <w:color w:val="000000"/>
                <w:kern w:val="0"/>
                <w:sz w:val="22"/>
                <w:szCs w:val="22"/>
                <w:u w:val="none"/>
                <w:lang w:val="en-US" w:eastAsia="zh-CN" w:bidi="ar"/>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65" w:type="pct"/>
            <w:vMerge w:val="restart"/>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2"/>
                <w:szCs w:val="22"/>
                <w:lang w:val="en-US" w:eastAsia="zh-CN"/>
              </w:rPr>
            </w:pPr>
            <w:r>
              <w:rPr>
                <w:rFonts w:hint="eastAsia" w:ascii="仿宋_GB2312" w:hAnsi="仿宋_GB2312" w:eastAsia="仿宋_GB2312" w:cs="仿宋_GB2312"/>
                <w:sz w:val="22"/>
                <w:szCs w:val="22"/>
                <w:lang w:val="en-US" w:eastAsia="zh-CN"/>
              </w:rPr>
              <w:t>效益</w:t>
            </w:r>
          </w:p>
          <w:p>
            <w:pPr>
              <w:keepNext w:val="0"/>
              <w:keepLines w:val="0"/>
              <w:pageBreakBefore w:val="0"/>
              <w:widowControl/>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w:t>
            </w:r>
            <w:r>
              <w:rPr>
                <w:rFonts w:hint="eastAsia" w:ascii="仿宋_GB2312" w:hAnsi="仿宋_GB2312" w:eastAsia="仿宋_GB2312" w:cs="仿宋_GB2312"/>
                <w:sz w:val="22"/>
                <w:szCs w:val="22"/>
                <w:lang w:val="en-US" w:eastAsia="zh-CN"/>
              </w:rPr>
              <w:t>15</w:t>
            </w:r>
            <w:r>
              <w:rPr>
                <w:rFonts w:hint="eastAsia" w:ascii="仿宋_GB2312" w:hAnsi="仿宋_GB2312" w:eastAsia="仿宋_GB2312" w:cs="仿宋_GB2312"/>
                <w:sz w:val="22"/>
                <w:szCs w:val="22"/>
              </w:rPr>
              <w:t>分）</w:t>
            </w:r>
          </w:p>
        </w:tc>
        <w:tc>
          <w:tcPr>
            <w:tcW w:w="1166" w:type="pct"/>
            <w:vMerge w:val="restart"/>
            <w:shd w:val="clear" w:color="auto" w:fill="auto"/>
            <w:vAlign w:val="center"/>
          </w:tcPr>
          <w:p>
            <w:pPr>
              <w:keepNext w:val="0"/>
              <w:keepLines w:val="0"/>
              <w:pageBreakBefore w:val="0"/>
              <w:widowControl/>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项目效益（</w:t>
            </w:r>
            <w:r>
              <w:rPr>
                <w:rFonts w:hint="eastAsia" w:ascii="仿宋_GB2312" w:hAnsi="仿宋_GB2312" w:eastAsia="仿宋_GB2312" w:cs="仿宋_GB2312"/>
                <w:sz w:val="22"/>
                <w:szCs w:val="22"/>
                <w:lang w:val="en-US" w:eastAsia="zh-CN"/>
              </w:rPr>
              <w:t>15</w:t>
            </w:r>
            <w:r>
              <w:rPr>
                <w:rFonts w:hint="eastAsia" w:ascii="仿宋_GB2312" w:hAnsi="仿宋_GB2312" w:eastAsia="仿宋_GB2312" w:cs="仿宋_GB2312"/>
                <w:sz w:val="22"/>
                <w:szCs w:val="22"/>
              </w:rPr>
              <w:t>分）</w:t>
            </w:r>
          </w:p>
        </w:tc>
        <w:tc>
          <w:tcPr>
            <w:tcW w:w="1798" w:type="pct"/>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社会效益（</w:t>
            </w:r>
            <w:r>
              <w:rPr>
                <w:rFonts w:hint="eastAsia" w:ascii="仿宋_GB2312" w:hAnsi="仿宋_GB2312" w:eastAsia="仿宋_GB2312" w:cs="仿宋_GB2312"/>
                <w:sz w:val="22"/>
                <w:szCs w:val="22"/>
                <w:lang w:val="en-US" w:eastAsia="zh-CN"/>
              </w:rPr>
              <w:t>10</w:t>
            </w:r>
            <w:r>
              <w:rPr>
                <w:rFonts w:hint="eastAsia" w:ascii="仿宋_GB2312" w:hAnsi="仿宋_GB2312" w:eastAsia="仿宋_GB2312" w:cs="仿宋_GB2312"/>
                <w:sz w:val="22"/>
                <w:szCs w:val="22"/>
              </w:rPr>
              <w:t>分）</w:t>
            </w:r>
          </w:p>
        </w:tc>
        <w:tc>
          <w:tcPr>
            <w:tcW w:w="585" w:type="pct"/>
            <w:shd w:val="clear" w:color="auto" w:fill="auto"/>
            <w:noWrap/>
            <w:vAlign w:val="center"/>
          </w:tcPr>
          <w:p>
            <w:pPr>
              <w:keepNext w:val="0"/>
              <w:keepLines w:val="0"/>
              <w:pageBreakBefore w:val="0"/>
              <w:widowControl/>
              <w:suppressLineNumbers w:val="0"/>
              <w:wordWrap/>
              <w:overflowPunct/>
              <w:topLinePunct w:val="0"/>
              <w:bidi w:val="0"/>
              <w:adjustRightInd w:val="0"/>
              <w:snapToGrid w:val="0"/>
              <w:jc w:val="center"/>
              <w:textAlignment w:val="center"/>
              <w:rPr>
                <w:rFonts w:hint="eastAsia" w:ascii="仿宋_GB2312" w:hAnsi="仿宋_GB2312" w:eastAsia="仿宋_GB2312" w:cs="仿宋_GB2312"/>
                <w:sz w:val="22"/>
                <w:szCs w:val="22"/>
                <w:lang w:val="en-US"/>
              </w:rPr>
            </w:pPr>
            <w:r>
              <w:rPr>
                <w:rFonts w:hint="eastAsia" w:ascii="仿宋_GB2312" w:hAnsi="仿宋_GB2312" w:eastAsia="仿宋_GB2312" w:cs="仿宋_GB2312"/>
                <w:i w:val="0"/>
                <w:snapToGrid w:val="0"/>
                <w:color w:val="000000"/>
                <w:kern w:val="0"/>
                <w:sz w:val="22"/>
                <w:szCs w:val="22"/>
                <w:u w:val="none"/>
                <w:lang w:val="en-US" w:eastAsia="zh-CN" w:bidi="ar"/>
              </w:rPr>
              <w:t>7.00</w:t>
            </w:r>
          </w:p>
        </w:tc>
        <w:tc>
          <w:tcPr>
            <w:tcW w:w="683" w:type="pct"/>
            <w:shd w:val="clear" w:color="auto" w:fill="auto"/>
            <w:noWrap/>
            <w:vAlign w:val="center"/>
          </w:tcPr>
          <w:p>
            <w:pPr>
              <w:keepNext w:val="0"/>
              <w:keepLines w:val="0"/>
              <w:pageBreakBefore w:val="0"/>
              <w:widowControl/>
              <w:suppressLineNumbers w:val="0"/>
              <w:wordWrap/>
              <w:overflowPunct/>
              <w:topLinePunct w:val="0"/>
              <w:bidi w:val="0"/>
              <w:adjustRightInd w:val="0"/>
              <w:snapToGrid w:val="0"/>
              <w:jc w:val="center"/>
              <w:textAlignment w:val="center"/>
              <w:rPr>
                <w:rFonts w:hint="eastAsia" w:ascii="仿宋_GB2312" w:hAnsi="仿宋_GB2312" w:eastAsia="仿宋_GB2312" w:cs="仿宋_GB2312"/>
                <w:sz w:val="22"/>
                <w:szCs w:val="22"/>
              </w:rPr>
            </w:pPr>
            <w:r>
              <w:rPr>
                <w:rFonts w:hint="eastAsia" w:ascii="仿宋_GB2312" w:hAnsi="仿宋_GB2312" w:eastAsia="仿宋_GB2312" w:cs="仿宋_GB2312"/>
                <w:i w:val="0"/>
                <w:snapToGrid w:val="0"/>
                <w:color w:val="000000"/>
                <w:kern w:val="0"/>
                <w:sz w:val="22"/>
                <w:szCs w:val="22"/>
                <w:u w:val="none"/>
                <w:lang w:val="en-US" w:eastAsia="zh-CN" w:bidi="ar"/>
              </w:rPr>
              <w:t>70.00%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65" w:type="pct"/>
            <w:vMerge w:val="continue"/>
            <w:vAlign w:val="center"/>
          </w:tcPr>
          <w:p>
            <w:pPr>
              <w:keepNext w:val="0"/>
              <w:keepLines w:val="0"/>
              <w:pageBreakBefore w:val="0"/>
              <w:widowControl/>
              <w:kinsoku/>
              <w:wordWrap/>
              <w:overflowPunct/>
              <w:topLinePunct w:val="0"/>
              <w:autoSpaceDE/>
              <w:autoSpaceDN/>
              <w:bidi w:val="0"/>
              <w:adjustRightInd w:val="0"/>
              <w:snapToGrid w:val="0"/>
              <w:textAlignment w:val="auto"/>
              <w:rPr>
                <w:rFonts w:hint="eastAsia" w:ascii="仿宋_GB2312" w:hAnsi="仿宋_GB2312" w:eastAsia="仿宋_GB2312" w:cs="仿宋_GB2312"/>
                <w:sz w:val="22"/>
                <w:szCs w:val="22"/>
              </w:rPr>
            </w:pPr>
          </w:p>
        </w:tc>
        <w:tc>
          <w:tcPr>
            <w:tcW w:w="1166" w:type="pct"/>
            <w:vMerge w:val="continue"/>
            <w:vAlign w:val="center"/>
          </w:tcPr>
          <w:p>
            <w:pPr>
              <w:keepNext w:val="0"/>
              <w:keepLines w:val="0"/>
              <w:pageBreakBefore w:val="0"/>
              <w:widowControl/>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2"/>
                <w:szCs w:val="22"/>
              </w:rPr>
            </w:pPr>
          </w:p>
        </w:tc>
        <w:tc>
          <w:tcPr>
            <w:tcW w:w="1798" w:type="pct"/>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2"/>
                <w:szCs w:val="22"/>
              </w:rPr>
            </w:pPr>
            <w:r>
              <w:rPr>
                <w:rFonts w:hint="eastAsia" w:ascii="仿宋_GB2312" w:hAnsi="仿宋_GB2312" w:eastAsia="仿宋_GB2312" w:cs="仿宋_GB2312"/>
                <w:sz w:val="22"/>
                <w:szCs w:val="22"/>
                <w:lang w:val="en-US" w:eastAsia="zh-CN"/>
              </w:rPr>
              <w:t>服务对象</w:t>
            </w:r>
            <w:r>
              <w:rPr>
                <w:rFonts w:hint="eastAsia" w:ascii="仿宋_GB2312" w:hAnsi="仿宋_GB2312" w:eastAsia="仿宋_GB2312" w:cs="仿宋_GB2312"/>
                <w:sz w:val="22"/>
                <w:szCs w:val="22"/>
              </w:rPr>
              <w:t>满意度（</w:t>
            </w:r>
            <w:r>
              <w:rPr>
                <w:rFonts w:hint="eastAsia" w:ascii="仿宋_GB2312" w:hAnsi="仿宋_GB2312" w:eastAsia="仿宋_GB2312" w:cs="仿宋_GB2312"/>
                <w:sz w:val="22"/>
                <w:szCs w:val="22"/>
                <w:lang w:val="en-US" w:eastAsia="zh-CN"/>
              </w:rPr>
              <w:t>5</w:t>
            </w:r>
            <w:r>
              <w:rPr>
                <w:rFonts w:hint="eastAsia" w:ascii="仿宋_GB2312" w:hAnsi="仿宋_GB2312" w:eastAsia="仿宋_GB2312" w:cs="仿宋_GB2312"/>
                <w:sz w:val="22"/>
                <w:szCs w:val="22"/>
              </w:rPr>
              <w:t>分）</w:t>
            </w:r>
          </w:p>
        </w:tc>
        <w:tc>
          <w:tcPr>
            <w:tcW w:w="585" w:type="pct"/>
            <w:shd w:val="clear" w:color="auto" w:fill="auto"/>
            <w:noWrap/>
            <w:vAlign w:val="center"/>
          </w:tcPr>
          <w:p>
            <w:pPr>
              <w:keepNext w:val="0"/>
              <w:keepLines w:val="0"/>
              <w:pageBreakBefore w:val="0"/>
              <w:widowControl/>
              <w:suppressLineNumbers w:val="0"/>
              <w:wordWrap/>
              <w:overflowPunct/>
              <w:topLinePunct w:val="0"/>
              <w:bidi w:val="0"/>
              <w:adjustRightInd w:val="0"/>
              <w:snapToGrid w:val="0"/>
              <w:jc w:val="center"/>
              <w:textAlignment w:val="center"/>
              <w:rPr>
                <w:rFonts w:hint="eastAsia" w:ascii="仿宋_GB2312" w:hAnsi="仿宋_GB2312" w:eastAsia="仿宋_GB2312" w:cs="仿宋_GB2312"/>
                <w:sz w:val="22"/>
                <w:szCs w:val="22"/>
                <w:lang w:val="en-US" w:eastAsia="zh-CN"/>
              </w:rPr>
            </w:pPr>
            <w:r>
              <w:rPr>
                <w:rFonts w:hint="eastAsia" w:ascii="仿宋_GB2312" w:hAnsi="仿宋_GB2312" w:eastAsia="仿宋_GB2312" w:cs="仿宋_GB2312"/>
                <w:sz w:val="22"/>
                <w:szCs w:val="22"/>
                <w:lang w:val="en-US" w:eastAsia="zh-CN"/>
              </w:rPr>
              <w:t>3.00</w:t>
            </w:r>
          </w:p>
        </w:tc>
        <w:tc>
          <w:tcPr>
            <w:tcW w:w="683" w:type="pct"/>
            <w:shd w:val="clear" w:color="auto" w:fill="auto"/>
            <w:noWrap/>
            <w:vAlign w:val="center"/>
          </w:tcPr>
          <w:p>
            <w:pPr>
              <w:keepNext w:val="0"/>
              <w:keepLines w:val="0"/>
              <w:pageBreakBefore w:val="0"/>
              <w:widowControl/>
              <w:suppressLineNumbers w:val="0"/>
              <w:wordWrap/>
              <w:overflowPunct/>
              <w:topLinePunct w:val="0"/>
              <w:bidi w:val="0"/>
              <w:adjustRightInd w:val="0"/>
              <w:snapToGrid w:val="0"/>
              <w:jc w:val="center"/>
              <w:textAlignment w:val="center"/>
              <w:rPr>
                <w:rFonts w:hint="eastAsia" w:ascii="仿宋_GB2312" w:hAnsi="仿宋_GB2312" w:eastAsia="仿宋_GB2312" w:cs="仿宋_GB2312"/>
                <w:sz w:val="22"/>
                <w:szCs w:val="22"/>
              </w:rPr>
            </w:pPr>
            <w:r>
              <w:rPr>
                <w:rFonts w:hint="eastAsia" w:ascii="仿宋_GB2312" w:hAnsi="仿宋_GB2312" w:eastAsia="仿宋_GB2312" w:cs="仿宋_GB2312"/>
                <w:i w:val="0"/>
                <w:snapToGrid w:val="0"/>
                <w:color w:val="000000"/>
                <w:kern w:val="0"/>
                <w:sz w:val="22"/>
                <w:szCs w:val="22"/>
                <w:u w:val="none"/>
                <w:lang w:val="en-US" w:eastAsia="zh-CN" w:bidi="ar"/>
              </w:rPr>
              <w:t>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30" w:type="pct"/>
            <w:gridSpan w:val="3"/>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bCs/>
                <w:sz w:val="22"/>
                <w:szCs w:val="22"/>
              </w:rPr>
            </w:pPr>
            <w:r>
              <w:rPr>
                <w:rFonts w:hint="eastAsia" w:ascii="仿宋_GB2312" w:hAnsi="仿宋_GB2312" w:eastAsia="仿宋_GB2312" w:cs="仿宋_GB2312"/>
                <w:b/>
                <w:sz w:val="22"/>
                <w:szCs w:val="22"/>
              </w:rPr>
              <w:t>合计</w:t>
            </w:r>
          </w:p>
        </w:tc>
        <w:tc>
          <w:tcPr>
            <w:tcW w:w="585" w:type="pct"/>
            <w:shd w:val="clear" w:color="auto" w:fill="auto"/>
            <w:noWrap/>
            <w:vAlign w:val="center"/>
          </w:tcPr>
          <w:p>
            <w:pPr>
              <w:keepNext w:val="0"/>
              <w:keepLines w:val="0"/>
              <w:pageBreakBefore w:val="0"/>
              <w:widowControl/>
              <w:suppressLineNumbers w:val="0"/>
              <w:wordWrap/>
              <w:overflowPunct/>
              <w:topLinePunct w:val="0"/>
              <w:bidi w:val="0"/>
              <w:adjustRightInd w:val="0"/>
              <w:snapToGrid w:val="0"/>
              <w:jc w:val="center"/>
              <w:textAlignment w:val="center"/>
              <w:rPr>
                <w:rFonts w:hint="eastAsia" w:ascii="仿宋_GB2312" w:hAnsi="仿宋_GB2312" w:eastAsia="仿宋_GB2312" w:cs="仿宋_GB2312"/>
                <w:b/>
                <w:bCs w:val="0"/>
                <w:sz w:val="22"/>
                <w:szCs w:val="22"/>
                <w:highlight w:val="none"/>
                <w:lang w:val="en-US"/>
              </w:rPr>
            </w:pPr>
            <w:r>
              <w:rPr>
                <w:rFonts w:hint="eastAsia" w:ascii="仿宋_GB2312" w:hAnsi="仿宋_GB2312" w:eastAsia="仿宋_GB2312" w:cs="仿宋_GB2312"/>
                <w:b/>
                <w:bCs w:val="0"/>
                <w:i w:val="0"/>
                <w:snapToGrid w:val="0"/>
                <w:color w:val="000000"/>
                <w:kern w:val="0"/>
                <w:sz w:val="22"/>
                <w:szCs w:val="22"/>
                <w:highlight w:val="none"/>
                <w:u w:val="none"/>
                <w:lang w:val="en-US" w:eastAsia="zh-CN" w:bidi="ar"/>
              </w:rPr>
              <w:t>85.60</w:t>
            </w:r>
          </w:p>
        </w:tc>
        <w:tc>
          <w:tcPr>
            <w:tcW w:w="683" w:type="pct"/>
            <w:shd w:val="clear" w:color="auto" w:fill="auto"/>
            <w:noWrap/>
            <w:vAlign w:val="center"/>
          </w:tcPr>
          <w:p>
            <w:pPr>
              <w:keepNext w:val="0"/>
              <w:keepLines w:val="0"/>
              <w:pageBreakBefore w:val="0"/>
              <w:widowControl/>
              <w:suppressLineNumbers w:val="0"/>
              <w:wordWrap/>
              <w:overflowPunct/>
              <w:topLinePunct w:val="0"/>
              <w:bidi w:val="0"/>
              <w:adjustRightInd w:val="0"/>
              <w:snapToGrid w:val="0"/>
              <w:jc w:val="center"/>
              <w:textAlignment w:val="center"/>
              <w:rPr>
                <w:rFonts w:hint="eastAsia" w:ascii="仿宋_GB2312" w:hAnsi="仿宋_GB2312" w:eastAsia="仿宋_GB2312" w:cs="仿宋_GB2312"/>
                <w:b/>
                <w:bCs w:val="0"/>
                <w:sz w:val="22"/>
                <w:szCs w:val="22"/>
                <w:highlight w:val="none"/>
              </w:rPr>
            </w:pPr>
            <w:r>
              <w:rPr>
                <w:rFonts w:hint="eastAsia" w:ascii="仿宋_GB2312" w:hAnsi="仿宋_GB2312" w:eastAsia="仿宋_GB2312" w:cs="仿宋_GB2312"/>
                <w:b/>
                <w:bCs w:val="0"/>
                <w:i w:val="0"/>
                <w:snapToGrid w:val="0"/>
                <w:color w:val="000000"/>
                <w:kern w:val="0"/>
                <w:sz w:val="22"/>
                <w:szCs w:val="22"/>
                <w:highlight w:val="none"/>
                <w:u w:val="none"/>
                <w:lang w:val="en-US" w:eastAsia="zh-CN" w:bidi="ar"/>
              </w:rPr>
              <w:t>85.60%</w:t>
            </w:r>
          </w:p>
        </w:tc>
      </w:tr>
    </w:tbl>
    <w:p>
      <w:pPr>
        <w:keepNext w:val="0"/>
        <w:keepLines w:val="0"/>
        <w:pageBreakBefore w:val="0"/>
        <w:kinsoku/>
        <w:wordWrap/>
        <w:topLinePunct w:val="0"/>
        <w:autoSpaceDE w:val="0"/>
        <w:autoSpaceDN w:val="0"/>
        <w:bidi w:val="0"/>
        <w:adjustRightInd/>
        <w:snapToGrid/>
        <w:spacing w:beforeLines="0" w:afterLines="0" w:line="240" w:lineRule="auto"/>
        <w:ind w:firstLine="0" w:firstLineChars="0"/>
        <w:textAlignment w:val="baseline"/>
        <w:rPr>
          <w:sz w:val="22"/>
          <w:szCs w:val="20"/>
        </w:rPr>
      </w:pPr>
    </w:p>
    <w:p>
      <w:pPr>
        <w:pStyle w:val="5"/>
        <w:keepNext w:val="0"/>
        <w:keepLines w:val="0"/>
        <w:pageBreakBefore w:val="0"/>
        <w:kinsoku/>
        <w:wordWrap/>
        <w:overflowPunct w:val="0"/>
        <w:topLinePunct w:val="0"/>
        <w:bidi w:val="0"/>
        <w:adjustRightInd/>
        <w:snapToGrid/>
        <w:spacing w:before="0" w:beforeLines="0" w:after="0" w:afterLines="0" w:line="560" w:lineRule="exact"/>
        <w:ind w:firstLine="640" w:firstLineChars="200"/>
        <w:jc w:val="both"/>
        <w:rPr>
          <w:rFonts w:hint="default"/>
          <w:b w:val="0"/>
          <w:bCs w:val="0"/>
          <w:color w:val="auto"/>
          <w:lang w:val="en-US" w:eastAsia="zh-CN"/>
        </w:rPr>
      </w:pPr>
      <w:r>
        <w:rPr>
          <w:rFonts w:hint="eastAsia"/>
          <w:b w:val="0"/>
          <w:bCs w:val="0"/>
          <w:color w:val="auto"/>
          <w:lang w:val="en-US" w:eastAsia="zh-CN"/>
        </w:rPr>
        <w:t>五</w:t>
      </w:r>
      <w:r>
        <w:rPr>
          <w:rFonts w:hint="default"/>
          <w:b w:val="0"/>
          <w:bCs w:val="0"/>
          <w:color w:val="auto"/>
          <w:lang w:val="en-US" w:eastAsia="zh-CN"/>
        </w:rPr>
        <w:t>、</w:t>
      </w:r>
      <w:r>
        <w:rPr>
          <w:rFonts w:hint="eastAsia"/>
          <w:b w:val="0"/>
          <w:bCs w:val="0"/>
          <w:color w:val="auto"/>
          <w:lang w:val="en-US" w:eastAsia="zh-CN"/>
        </w:rPr>
        <w:t>主要绩效</w:t>
      </w:r>
    </w:p>
    <w:p>
      <w:pPr>
        <w:pStyle w:val="56"/>
        <w:keepNext w:val="0"/>
        <w:keepLines w:val="0"/>
        <w:pageBreakBefore w:val="0"/>
        <w:numPr>
          <w:ilvl w:val="0"/>
          <w:numId w:val="0"/>
        </w:numPr>
        <w:wordWrap/>
        <w:overflowPunct w:val="0"/>
        <w:topLinePunct w:val="0"/>
        <w:bidi w:val="0"/>
        <w:adjustRightInd/>
        <w:snapToGrid/>
        <w:spacing w:beforeLines="0" w:afterLines="0" w:line="560" w:lineRule="exact"/>
        <w:ind w:firstLine="640" w:firstLineChars="200"/>
        <w:jc w:val="both"/>
        <w:rPr>
          <w:rFonts w:hint="eastAsia" w:ascii="仿宋" w:hAnsi="仿宋" w:eastAsia="仿宋" w:cs="仿宋"/>
          <w:color w:val="auto"/>
          <w:kern w:val="0"/>
          <w:sz w:val="32"/>
          <w:szCs w:val="32"/>
          <w:highlight w:val="yellow"/>
          <w:lang w:val="en-US" w:eastAsia="zh-CN" w:bidi="ar-SA"/>
        </w:rPr>
      </w:pPr>
      <w:r>
        <w:rPr>
          <w:rFonts w:hint="eastAsia" w:ascii="楷体_GB2312" w:hAnsi="楷体_GB2312" w:eastAsia="楷体_GB2312" w:cs="楷体_GB2312"/>
          <w:b w:val="0"/>
          <w:bCs w:val="0"/>
          <w:snapToGrid w:val="0"/>
          <w:color w:val="auto"/>
          <w:kern w:val="0"/>
          <w:sz w:val="32"/>
          <w:szCs w:val="32"/>
          <w:highlight w:val="none"/>
          <w:lang w:val="en-US" w:eastAsia="zh-CN" w:bidi="ar-SA"/>
        </w:rPr>
        <w:t>（一）采购过程实施公开公正。</w:t>
      </w:r>
      <w:r>
        <w:rPr>
          <w:rFonts w:hint="eastAsia" w:ascii="仿宋_GB2312" w:hAnsi="仿宋_GB2312" w:eastAsia="仿宋_GB2312" w:cs="仿宋_GB2312"/>
          <w:color w:val="auto"/>
          <w:kern w:val="0"/>
          <w:sz w:val="32"/>
          <w:szCs w:val="32"/>
          <w:highlight w:val="none"/>
          <w:lang w:val="en-US" w:eastAsia="zh-CN" w:bidi="ar-SA"/>
        </w:rPr>
        <w:t>菏泽家政职业学院严格按照政府采购法和采购实施条例以及学院采购管理暂行办法的规定开展采购文件编写和审定、招标流程规范、采购意向公开、参数论证、中标人确定、项目招标和中标公告发布等工作，确保确保项目各环节的公开、公平、公正。</w:t>
      </w:r>
    </w:p>
    <w:p>
      <w:pPr>
        <w:pStyle w:val="56"/>
        <w:keepNext w:val="0"/>
        <w:keepLines w:val="0"/>
        <w:pageBreakBefore w:val="0"/>
        <w:numPr>
          <w:ilvl w:val="0"/>
          <w:numId w:val="0"/>
        </w:numPr>
        <w:wordWrap/>
        <w:overflowPunct w:val="0"/>
        <w:topLinePunct w:val="0"/>
        <w:bidi w:val="0"/>
        <w:adjustRightInd/>
        <w:snapToGrid/>
        <w:spacing w:beforeLines="0" w:afterLines="0" w:line="560" w:lineRule="exact"/>
        <w:ind w:firstLine="640" w:firstLineChars="200"/>
        <w:jc w:val="both"/>
        <w:rPr>
          <w:rFonts w:hint="eastAsia" w:ascii="仿宋_GB2312" w:hAnsi="仿宋_GB2312" w:eastAsia="仿宋_GB2312" w:cs="仿宋_GB2312"/>
          <w:b w:val="0"/>
          <w:bCs w:val="0"/>
          <w:snapToGrid w:val="0"/>
          <w:color w:val="auto"/>
          <w:kern w:val="0"/>
          <w:sz w:val="32"/>
          <w:szCs w:val="32"/>
          <w:highlight w:val="none"/>
          <w:lang w:val="en-US" w:eastAsia="zh-CN" w:bidi="ar-SA"/>
        </w:rPr>
      </w:pPr>
      <w:r>
        <w:rPr>
          <w:rFonts w:hint="eastAsia" w:ascii="楷体_GB2312" w:hAnsi="楷体_GB2312" w:eastAsia="楷体_GB2312" w:cs="楷体_GB2312"/>
          <w:b w:val="0"/>
          <w:bCs w:val="0"/>
          <w:snapToGrid w:val="0"/>
          <w:color w:val="auto"/>
          <w:kern w:val="0"/>
          <w:sz w:val="32"/>
          <w:szCs w:val="32"/>
          <w:highlight w:val="none"/>
          <w:lang w:val="en-US" w:eastAsia="zh-CN" w:bidi="ar-SA"/>
        </w:rPr>
        <w:t>（二）采购预算编报严谨规范。</w:t>
      </w:r>
      <w:r>
        <w:rPr>
          <w:rFonts w:hint="eastAsia" w:ascii="仿宋_GB2312" w:hAnsi="仿宋_GB2312" w:eastAsia="仿宋_GB2312" w:cs="仿宋_GB2312"/>
          <w:color w:val="auto"/>
          <w:kern w:val="0"/>
          <w:sz w:val="32"/>
          <w:szCs w:val="32"/>
          <w:highlight w:val="none"/>
          <w:lang w:val="en-US" w:eastAsia="zh-CN" w:bidi="ar-SA"/>
        </w:rPr>
        <w:t>菏泽家政职业学院重视采购经济性。考虑到视频监控设备的技术专业性和复杂性，同时便于对接学院已建成的信息化系统，经学院领导开会研究决定，该项目由学院信息中心牵头，安保处共同配合完成。在经项目前期考察后，设计编写项目方案；在确定好招标代理公司后，对项目整体参数是否完善、是否存在倾向性等因素进行专家论证；依据专家论证调整后的项目内容编制预算，并报财政部门申请预算。</w:t>
      </w:r>
    </w:p>
    <w:p>
      <w:pPr>
        <w:pStyle w:val="5"/>
        <w:keepNext w:val="0"/>
        <w:keepLines w:val="0"/>
        <w:pageBreakBefore w:val="0"/>
        <w:kinsoku/>
        <w:wordWrap/>
        <w:overflowPunct w:val="0"/>
        <w:topLinePunct w:val="0"/>
        <w:bidi w:val="0"/>
        <w:adjustRightInd/>
        <w:snapToGrid/>
        <w:spacing w:before="0" w:beforeLines="0" w:after="0" w:afterLines="0" w:line="560" w:lineRule="exact"/>
        <w:ind w:firstLine="640" w:firstLineChars="200"/>
        <w:jc w:val="both"/>
        <w:rPr>
          <w:rFonts w:hint="default"/>
          <w:b w:val="0"/>
          <w:bCs w:val="0"/>
          <w:color w:val="auto"/>
          <w:lang w:val="en-US" w:eastAsia="zh-CN"/>
        </w:rPr>
      </w:pPr>
      <w:bookmarkStart w:id="0" w:name="_Toc21873442"/>
      <w:r>
        <w:rPr>
          <w:rFonts w:hint="eastAsia"/>
          <w:b w:val="0"/>
          <w:bCs w:val="0"/>
          <w:color w:val="auto"/>
          <w:lang w:val="en-US" w:eastAsia="zh-CN"/>
        </w:rPr>
        <w:t>六</w:t>
      </w:r>
      <w:r>
        <w:rPr>
          <w:rFonts w:hint="default"/>
          <w:b w:val="0"/>
          <w:bCs w:val="0"/>
          <w:color w:val="auto"/>
          <w:lang w:val="en-US" w:eastAsia="zh-CN"/>
        </w:rPr>
        <w:t>、</w:t>
      </w:r>
      <w:r>
        <w:rPr>
          <w:rFonts w:hint="default"/>
          <w:b w:val="0"/>
          <w:bCs w:val="0"/>
          <w:color w:val="auto"/>
        </w:rPr>
        <w:t>存在问题</w:t>
      </w:r>
    </w:p>
    <w:p>
      <w:pPr>
        <w:pStyle w:val="56"/>
        <w:keepNext w:val="0"/>
        <w:keepLines w:val="0"/>
        <w:pageBreakBefore w:val="0"/>
        <w:numPr>
          <w:ilvl w:val="0"/>
          <w:numId w:val="0"/>
        </w:numPr>
        <w:kinsoku/>
        <w:wordWrap/>
        <w:overflowPunct w:val="0"/>
        <w:topLinePunct w:val="0"/>
        <w:bidi w:val="0"/>
        <w:adjustRightInd/>
        <w:snapToGrid/>
        <w:spacing w:beforeLines="0" w:afterLines="0" w:line="560" w:lineRule="exact"/>
        <w:ind w:firstLine="640" w:firstLineChars="200"/>
        <w:jc w:val="both"/>
        <w:textAlignment w:val="auto"/>
        <w:rPr>
          <w:rFonts w:hint="eastAsia" w:ascii="仿宋_GB2312"/>
          <w:b w:val="0"/>
          <w:bCs w:val="0"/>
          <w:color w:val="auto"/>
          <w:sz w:val="32"/>
          <w:szCs w:val="32"/>
          <w:highlight w:val="none"/>
          <w:lang w:val="en-US" w:eastAsia="zh-CN"/>
        </w:rPr>
      </w:pPr>
      <w:r>
        <w:rPr>
          <w:rFonts w:hint="eastAsia" w:ascii="楷体_GB2312" w:hAnsi="楷体_GB2312" w:eastAsia="楷体_GB2312" w:cs="楷体_GB2312"/>
          <w:snapToGrid w:val="0"/>
          <w:color w:val="auto"/>
          <w:sz w:val="32"/>
          <w:szCs w:val="32"/>
          <w:highlight w:val="none"/>
          <w:lang w:val="en-US" w:eastAsia="zh-CN" w:bidi="ar-SA"/>
        </w:rPr>
        <w:t>（一）采购组织管理不够规范。</w:t>
      </w:r>
      <w:r>
        <w:rPr>
          <w:rFonts w:hint="eastAsia" w:ascii="仿宋_GB2312" w:hAnsi="仿宋_GB2312" w:eastAsia="仿宋_GB2312" w:cs="仿宋_GB2312"/>
          <w:b/>
          <w:bCs/>
          <w:snapToGrid w:val="0"/>
          <w:color w:val="auto"/>
          <w:sz w:val="32"/>
          <w:szCs w:val="32"/>
          <w:highlight w:val="none"/>
          <w:lang w:val="en-US" w:eastAsia="zh-CN" w:bidi="ar-SA"/>
        </w:rPr>
        <w:t>一是</w:t>
      </w:r>
      <w:r>
        <w:rPr>
          <w:rFonts w:hint="eastAsia" w:ascii="仿宋_GB2312" w:hAnsi="仿宋_GB2312" w:eastAsia="仿宋_GB2312" w:cs="仿宋_GB2312"/>
          <w:b/>
          <w:bCs/>
          <w:snapToGrid w:val="0"/>
          <w:kern w:val="0"/>
          <w:sz w:val="32"/>
          <w:szCs w:val="32"/>
          <w:highlight w:val="none"/>
          <w:lang w:val="en-US" w:eastAsia="zh-CN" w:bidi="ar-SA"/>
        </w:rPr>
        <w:t>采购组织工作不够规范。</w:t>
      </w:r>
      <w:r>
        <w:rPr>
          <w:rFonts w:hint="eastAsia" w:ascii="仿宋_GB2312" w:hAnsi="仿宋_GB2312" w:eastAsia="仿宋_GB2312" w:cs="仿宋_GB2312"/>
          <w:color w:val="auto"/>
          <w:sz w:val="32"/>
          <w:szCs w:val="32"/>
          <w:highlight w:val="none"/>
          <w:lang w:val="en-US" w:eastAsia="zh-CN"/>
        </w:rPr>
        <w:t>《采购代理委托协议》中的预算金额与调整后的《</w:t>
      </w:r>
      <w:r>
        <w:rPr>
          <w:rFonts w:hint="eastAsia" w:ascii="仿宋_GB2312" w:hAnsi="仿宋_GB2312" w:eastAsia="仿宋_GB2312" w:cs="仿宋_GB2312"/>
          <w:snapToGrid w:val="0"/>
          <w:kern w:val="0"/>
          <w:sz w:val="32"/>
          <w:szCs w:val="32"/>
          <w:highlight w:val="none"/>
          <w:lang w:val="en-US" w:eastAsia="zh-CN" w:bidi="ar-SA"/>
        </w:rPr>
        <w:t>政府</w:t>
      </w:r>
      <w:r>
        <w:rPr>
          <w:rFonts w:hint="eastAsia" w:ascii="仿宋_GB2312" w:hAnsi="仿宋_GB2312" w:eastAsia="仿宋_GB2312" w:cs="仿宋_GB2312"/>
          <w:color w:val="auto"/>
          <w:sz w:val="32"/>
          <w:szCs w:val="32"/>
          <w:highlight w:val="none"/>
          <w:lang w:val="en-US" w:eastAsia="zh-CN"/>
        </w:rPr>
        <w:t>采购计划》和《招标文件》中的金额</w:t>
      </w:r>
      <w:r>
        <w:rPr>
          <w:rFonts w:hint="eastAsia" w:ascii="仿宋_GB2312" w:hAnsi="仿宋_GB2312" w:eastAsia="仿宋_GB2312" w:cs="仿宋_GB2312"/>
          <w:snapToGrid w:val="0"/>
          <w:kern w:val="0"/>
          <w:sz w:val="32"/>
          <w:szCs w:val="32"/>
          <w:lang w:val="en-US" w:eastAsia="zh-CN" w:bidi="ar-SA"/>
        </w:rPr>
        <w:t>不一致。</w:t>
      </w:r>
      <w:r>
        <w:rPr>
          <w:rFonts w:hint="eastAsia" w:ascii="仿宋_GB2312" w:hAnsi="仿宋_GB2312" w:eastAsia="仿宋_GB2312" w:cs="仿宋_GB2312"/>
          <w:color w:val="auto"/>
          <w:sz w:val="32"/>
          <w:szCs w:val="32"/>
          <w:highlight w:val="none"/>
          <w:lang w:val="en-US" w:eastAsia="zh-CN"/>
        </w:rPr>
        <w:t>在先有采购计划后有采购代理委托的原则下，《采购代理委托协议》与《</w:t>
      </w:r>
      <w:r>
        <w:rPr>
          <w:rFonts w:hint="eastAsia" w:ascii="仿宋_GB2312" w:hAnsi="仿宋_GB2312" w:eastAsia="仿宋_GB2312" w:cs="仿宋_GB2312"/>
          <w:snapToGrid w:val="0"/>
          <w:kern w:val="0"/>
          <w:sz w:val="32"/>
          <w:szCs w:val="32"/>
          <w:highlight w:val="none"/>
          <w:lang w:val="en-US" w:eastAsia="zh-CN" w:bidi="ar-SA"/>
        </w:rPr>
        <w:t>政府</w:t>
      </w:r>
      <w:r>
        <w:rPr>
          <w:rFonts w:hint="eastAsia" w:ascii="仿宋_GB2312" w:hAnsi="仿宋_GB2312" w:eastAsia="仿宋_GB2312" w:cs="仿宋_GB2312"/>
          <w:color w:val="auto"/>
          <w:sz w:val="32"/>
          <w:szCs w:val="32"/>
          <w:highlight w:val="none"/>
          <w:lang w:val="en-US" w:eastAsia="zh-CN"/>
        </w:rPr>
        <w:t>采购计划》的金额不一致，且《招标文件》公示金额与《采购代理委托协议》不一致，说明《采购代理委托协议》签订金额未严格依据采购计划签订；</w:t>
      </w:r>
      <w:r>
        <w:rPr>
          <w:rFonts w:hint="eastAsia" w:ascii="仿宋_GB2312" w:hAnsi="仿宋_GB2312" w:eastAsia="仿宋_GB2312" w:cs="仿宋_GB2312"/>
          <w:b/>
          <w:bCs/>
          <w:snapToGrid w:val="0"/>
          <w:color w:val="auto"/>
          <w:sz w:val="32"/>
          <w:szCs w:val="32"/>
          <w:highlight w:val="none"/>
          <w:lang w:val="en-US" w:eastAsia="zh-CN" w:bidi="ar-SA"/>
        </w:rPr>
        <w:t>二是</w:t>
      </w:r>
      <w:r>
        <w:rPr>
          <w:rFonts w:hint="eastAsia" w:ascii="仿宋_GB2312" w:hAnsi="仿宋_GB2312" w:eastAsia="仿宋_GB2312" w:cs="仿宋_GB2312"/>
          <w:b/>
          <w:bCs/>
          <w:color w:val="auto"/>
          <w:sz w:val="32"/>
          <w:szCs w:val="32"/>
          <w:highlight w:val="none"/>
          <w:lang w:val="en-US" w:eastAsia="zh-CN"/>
        </w:rPr>
        <w:t>评审专家费用支付不够合规。</w:t>
      </w:r>
      <w:r>
        <w:rPr>
          <w:rFonts w:hint="eastAsia" w:ascii="仿宋_GB2312" w:hAnsi="仿宋_GB2312" w:eastAsia="仿宋_GB2312" w:cs="仿宋_GB2312"/>
          <w:b w:val="0"/>
          <w:bCs w:val="0"/>
          <w:color w:val="auto"/>
          <w:sz w:val="32"/>
          <w:szCs w:val="32"/>
          <w:highlight w:val="none"/>
          <w:lang w:val="en-US" w:eastAsia="zh-CN"/>
        </w:rPr>
        <w:t>专家费支付应按照《山东省政府采购评审劳务报酬标准》（2017）的要求，由采购人或集中采购机构支付专家评审费，但实际由代理机构进行支付，涉及资金3500元。</w:t>
      </w:r>
    </w:p>
    <w:p>
      <w:pPr>
        <w:pStyle w:val="56"/>
        <w:keepNext w:val="0"/>
        <w:keepLines w:val="0"/>
        <w:pageBreakBefore w:val="0"/>
        <w:numPr>
          <w:ilvl w:val="0"/>
          <w:numId w:val="0"/>
        </w:numPr>
        <w:kinsoku/>
        <w:wordWrap/>
        <w:overflowPunct w:val="0"/>
        <w:topLinePunct w:val="0"/>
        <w:bidi w:val="0"/>
        <w:adjustRightInd/>
        <w:snapToGrid/>
        <w:spacing w:beforeLines="0" w:afterLines="0" w:line="560" w:lineRule="exact"/>
        <w:ind w:firstLine="640" w:firstLineChars="200"/>
        <w:jc w:val="both"/>
        <w:outlineLvl w:val="9"/>
        <w:rPr>
          <w:rFonts w:hint="eastAsia" w:ascii="仿宋_GB2312" w:hAnsi="仿宋_GB2312" w:eastAsia="仿宋_GB2312" w:cs="仿宋_GB2312"/>
          <w:b w:val="0"/>
          <w:bCs w:val="0"/>
          <w:color w:val="auto"/>
          <w:sz w:val="32"/>
          <w:szCs w:val="32"/>
          <w:highlight w:val="yellow"/>
          <w:lang w:val="en-US" w:eastAsia="zh-CN"/>
        </w:rPr>
      </w:pPr>
      <w:r>
        <w:rPr>
          <w:rFonts w:hint="eastAsia" w:ascii="楷体_GB2312" w:hAnsi="楷体_GB2312" w:eastAsia="楷体_GB2312" w:cs="楷体_GB2312"/>
          <w:snapToGrid w:val="0"/>
          <w:color w:val="auto"/>
          <w:sz w:val="32"/>
          <w:szCs w:val="32"/>
          <w:highlight w:val="none"/>
          <w:lang w:val="en-US" w:eastAsia="zh-CN" w:bidi="ar-SA"/>
        </w:rPr>
        <w:t>（二）项目产出效益发挥滞后。</w:t>
      </w:r>
      <w:r>
        <w:rPr>
          <w:rFonts w:hint="eastAsia" w:ascii="仿宋_GB2312" w:hAnsi="仿宋_GB2312" w:eastAsia="仿宋_GB2312" w:cs="仿宋_GB2312"/>
          <w:b/>
          <w:bCs/>
          <w:color w:val="auto"/>
          <w:sz w:val="32"/>
          <w:szCs w:val="32"/>
          <w:highlight w:val="none"/>
          <w:lang w:val="en-US" w:eastAsia="zh-CN"/>
        </w:rPr>
        <w:t>项目履约验收进度滞后，且项目效益未能及时发挥。</w:t>
      </w:r>
      <w:r>
        <w:rPr>
          <w:rFonts w:hint="eastAsia" w:ascii="仿宋_GB2312" w:hAnsi="仿宋_GB2312" w:eastAsia="仿宋_GB2312" w:cs="仿宋_GB2312"/>
          <w:color w:val="auto"/>
          <w:sz w:val="32"/>
          <w:szCs w:val="32"/>
          <w:highlight w:val="none"/>
          <w:lang w:val="en-US" w:eastAsia="zh-CN"/>
        </w:rPr>
        <w:t>项目合同签订时间为2022年6月13日，</w:t>
      </w:r>
      <w:r>
        <w:rPr>
          <w:rFonts w:hint="eastAsia" w:ascii="仿宋_GB2312" w:hAnsi="仿宋_GB2312" w:eastAsia="仿宋_GB2312" w:cs="仿宋_GB2312"/>
          <w:b w:val="0"/>
          <w:bCs w:val="0"/>
          <w:color w:val="auto"/>
          <w:sz w:val="32"/>
          <w:szCs w:val="32"/>
          <w:highlight w:val="none"/>
          <w:lang w:val="en-US" w:eastAsia="zh-CN"/>
        </w:rPr>
        <w:t>合同约定工期为“合同签订之日起60日内供货安装调试完毕，并通过验收”</w:t>
      </w:r>
      <w:r>
        <w:rPr>
          <w:rFonts w:hint="eastAsia" w:ascii="仿宋_GB2312" w:hAnsi="仿宋_GB2312" w:eastAsia="仿宋_GB2312" w:cs="仿宋_GB2312"/>
          <w:color w:val="auto"/>
          <w:sz w:val="32"/>
          <w:szCs w:val="32"/>
          <w:highlight w:val="none"/>
          <w:lang w:val="en-US" w:eastAsia="zh-CN"/>
        </w:rPr>
        <w:t>，即按照合同约定，完工时间应为2022年8月13日，但截至评价工作结束，项目仍有部分</w:t>
      </w:r>
      <w:r>
        <w:rPr>
          <w:rFonts w:hint="eastAsia" w:ascii="仿宋_GB2312" w:hAnsi="仿宋_GB2312" w:eastAsia="仿宋_GB2312" w:cs="仿宋_GB2312"/>
          <w:color w:val="000000"/>
          <w:kern w:val="0"/>
          <w:sz w:val="32"/>
          <w:szCs w:val="32"/>
          <w:highlight w:val="none"/>
          <w:lang w:bidi="ar-SA"/>
        </w:rPr>
        <w:t>系统软件功能调整</w:t>
      </w:r>
      <w:r>
        <w:rPr>
          <w:rFonts w:hint="eastAsia" w:ascii="仿宋_GB2312" w:hAnsi="仿宋_GB2312" w:eastAsia="仿宋_GB2312" w:cs="仿宋_GB2312"/>
          <w:color w:val="auto"/>
          <w:sz w:val="32"/>
          <w:szCs w:val="32"/>
          <w:highlight w:val="none"/>
          <w:lang w:val="en-US" w:eastAsia="zh-CN"/>
        </w:rPr>
        <w:t>工作未完成，产出完成时间明显滞后，进而造成履约验收滞后，建设成果无法投入使用，项目效益未能及时发挥，项目满意度情况无法及时掌握。</w:t>
      </w:r>
    </w:p>
    <w:p>
      <w:pPr>
        <w:pStyle w:val="5"/>
        <w:keepNext w:val="0"/>
        <w:keepLines w:val="0"/>
        <w:pageBreakBefore w:val="0"/>
        <w:kinsoku/>
        <w:wordWrap/>
        <w:overflowPunct w:val="0"/>
        <w:topLinePunct w:val="0"/>
        <w:bidi w:val="0"/>
        <w:adjustRightInd/>
        <w:snapToGrid/>
        <w:spacing w:before="0" w:beforeLines="0" w:after="0" w:afterLines="0" w:line="560" w:lineRule="exact"/>
        <w:ind w:firstLine="640" w:firstLineChars="200"/>
        <w:jc w:val="both"/>
        <w:rPr>
          <w:rFonts w:hint="eastAsia"/>
          <w:b w:val="0"/>
          <w:bCs w:val="0"/>
          <w:color w:val="auto"/>
          <w:lang w:val="en-US" w:eastAsia="zh-CN"/>
        </w:rPr>
      </w:pPr>
      <w:r>
        <w:rPr>
          <w:rFonts w:hint="eastAsia"/>
          <w:b w:val="0"/>
          <w:bCs w:val="0"/>
          <w:color w:val="auto"/>
          <w:lang w:val="en-US" w:eastAsia="zh-CN"/>
        </w:rPr>
        <w:t>七、整改建议</w:t>
      </w:r>
    </w:p>
    <w:p>
      <w:pPr>
        <w:pStyle w:val="56"/>
        <w:keepNext w:val="0"/>
        <w:keepLines w:val="0"/>
        <w:pageBreakBefore w:val="0"/>
        <w:widowControl/>
        <w:numPr>
          <w:ilvl w:val="0"/>
          <w:numId w:val="0"/>
        </w:numPr>
        <w:kinsoku/>
        <w:wordWrap/>
        <w:overflowPunct w:val="0"/>
        <w:topLinePunct w:val="0"/>
        <w:autoSpaceDE/>
        <w:autoSpaceDN/>
        <w:bidi w:val="0"/>
        <w:adjustRightInd/>
        <w:snapToGrid/>
        <w:spacing w:beforeLines="0" w:afterLines="0" w:line="560" w:lineRule="exact"/>
        <w:ind w:left="0" w:firstLine="640" w:firstLineChars="200"/>
        <w:jc w:val="both"/>
        <w:textAlignment w:val="auto"/>
        <w:outlineLvl w:val="9"/>
        <w:rPr>
          <w:rFonts w:hint="eastAsia" w:ascii="仿宋_GB2312" w:hAnsi="仿宋_GB2312" w:eastAsia="仿宋_GB2312" w:cs="仿宋_GB2312"/>
          <w:bCs/>
          <w:sz w:val="32"/>
          <w:szCs w:val="32"/>
          <w:lang w:val="en-US" w:eastAsia="zh-CN"/>
        </w:rPr>
      </w:pPr>
      <w:r>
        <w:rPr>
          <w:rFonts w:hint="eastAsia" w:ascii="楷体_GB2312" w:hAnsi="楷体_GB2312" w:eastAsia="楷体_GB2312" w:cs="楷体_GB2312"/>
          <w:snapToGrid w:val="0"/>
          <w:color w:val="auto"/>
          <w:sz w:val="32"/>
          <w:szCs w:val="32"/>
          <w:highlight w:val="none"/>
          <w:lang w:val="en-US" w:eastAsia="zh-CN" w:bidi="ar-SA"/>
        </w:rPr>
        <w:t>（一）提升采购管理能力，做好采购日常工作。</w:t>
      </w:r>
      <w:r>
        <w:rPr>
          <w:rFonts w:hint="eastAsia" w:ascii="仿宋_GB2312" w:hAnsi="仿宋_GB2312" w:eastAsia="仿宋_GB2312" w:cs="仿宋_GB2312"/>
          <w:b/>
          <w:bCs w:val="0"/>
          <w:snapToGrid w:val="0"/>
          <w:color w:val="000000"/>
          <w:sz w:val="32"/>
          <w:szCs w:val="32"/>
          <w:highlight w:val="none"/>
          <w:lang w:val="en-US" w:eastAsia="zh-CN"/>
        </w:rPr>
        <w:t>一是规范采购过程，严格按照采购流程开展工作。</w:t>
      </w:r>
      <w:r>
        <w:rPr>
          <w:rFonts w:hint="eastAsia" w:ascii="仿宋_GB2312" w:hAnsi="仿宋_GB2312" w:eastAsia="仿宋_GB2312" w:cs="仿宋_GB2312"/>
          <w:b w:val="0"/>
          <w:bCs/>
          <w:snapToGrid w:val="0"/>
          <w:kern w:val="0"/>
          <w:sz w:val="32"/>
          <w:szCs w:val="32"/>
          <w:highlight w:val="none"/>
          <w:lang w:val="en-US" w:eastAsia="zh-CN" w:bidi="ar-SA"/>
        </w:rPr>
        <w:t>建议项目单位严格按照政府采购工作</w:t>
      </w:r>
      <w:r>
        <w:rPr>
          <w:rFonts w:hint="eastAsia" w:ascii="仿宋_GB2312" w:hAnsi="仿宋_GB2312" w:eastAsia="仿宋_GB2312" w:cs="仿宋_GB2312"/>
          <w:bCs/>
          <w:snapToGrid w:val="0"/>
          <w:kern w:val="0"/>
          <w:sz w:val="32"/>
          <w:szCs w:val="32"/>
          <w:lang w:val="en-US" w:eastAsia="zh-CN" w:bidi="ar-SA"/>
        </w:rPr>
        <w:t>流程做好“</w:t>
      </w:r>
      <w:r>
        <w:rPr>
          <w:rFonts w:hint="eastAsia" w:ascii="仿宋_GB2312" w:hAnsi="仿宋_GB2312" w:eastAsia="仿宋_GB2312" w:cs="仿宋_GB2312"/>
          <w:b w:val="0"/>
          <w:bCs/>
          <w:kern w:val="0"/>
          <w:sz w:val="32"/>
          <w:szCs w:val="32"/>
          <w:lang w:val="en-US" w:eastAsia="zh-CN" w:bidi="ar"/>
        </w:rPr>
        <w:t>采购计划、</w:t>
      </w:r>
      <w:r>
        <w:rPr>
          <w:rFonts w:hint="eastAsia" w:ascii="仿宋_GB2312" w:hAnsi="仿宋_GB2312" w:eastAsia="仿宋_GB2312" w:cs="仿宋_GB2312"/>
          <w:bCs/>
          <w:kern w:val="0"/>
          <w:sz w:val="32"/>
          <w:szCs w:val="32"/>
          <w:lang w:val="en-US" w:eastAsia="zh-CN" w:bidi="ar"/>
        </w:rPr>
        <w:t>政府</w:t>
      </w:r>
      <w:r>
        <w:rPr>
          <w:rFonts w:hint="eastAsia" w:ascii="仿宋_GB2312" w:hAnsi="仿宋_GB2312" w:eastAsia="仿宋_GB2312" w:cs="仿宋_GB2312"/>
          <w:b w:val="0"/>
          <w:bCs/>
          <w:kern w:val="0"/>
          <w:sz w:val="32"/>
          <w:szCs w:val="32"/>
          <w:lang w:val="en-US" w:eastAsia="zh-CN" w:bidi="ar"/>
        </w:rPr>
        <w:t>采购预算、采购意向、采购需求、组织采购、合同订立、履约验收、资金支付、采购质量和采购内控管理”</w:t>
      </w:r>
      <w:r>
        <w:rPr>
          <w:rFonts w:hint="eastAsia" w:ascii="仿宋_GB2312" w:hAnsi="仿宋_GB2312" w:eastAsia="仿宋_GB2312" w:cs="仿宋_GB2312"/>
          <w:bCs/>
          <w:kern w:val="0"/>
          <w:sz w:val="32"/>
          <w:szCs w:val="32"/>
          <w:lang w:val="en-US" w:eastAsia="zh-CN" w:bidi="ar"/>
        </w:rPr>
        <w:t>9个环节的相关工作</w:t>
      </w:r>
      <w:r>
        <w:rPr>
          <w:rFonts w:hint="eastAsia" w:ascii="仿宋_GB2312" w:hAnsi="仿宋_GB2312" w:eastAsia="仿宋_GB2312" w:cs="仿宋_GB2312"/>
          <w:b w:val="0"/>
          <w:bCs/>
          <w:snapToGrid w:val="0"/>
          <w:color w:val="000000"/>
          <w:sz w:val="32"/>
          <w:szCs w:val="32"/>
          <w:highlight w:val="none"/>
          <w:lang w:val="en-US" w:eastAsia="zh-CN"/>
        </w:rPr>
        <w:t>，</w:t>
      </w:r>
      <w:r>
        <w:rPr>
          <w:rFonts w:hint="eastAsia" w:ascii="仿宋_GB2312" w:hAnsi="仿宋_GB2312" w:eastAsia="仿宋_GB2312" w:cs="仿宋_GB2312"/>
          <w:color w:val="auto"/>
          <w:sz w:val="32"/>
          <w:szCs w:val="32"/>
          <w:highlight w:val="none"/>
          <w:shd w:val="clear" w:fill="FFFFFF"/>
          <w:lang w:val="en-US" w:eastAsia="zh-CN"/>
        </w:rPr>
        <w:t>合理编制</w:t>
      </w:r>
      <w:r>
        <w:rPr>
          <w:rFonts w:hint="eastAsia" w:ascii="仿宋_GB2312" w:hAnsi="仿宋_GB2312" w:eastAsia="仿宋_GB2312" w:cs="仿宋_GB2312"/>
          <w:color w:val="auto"/>
          <w:sz w:val="32"/>
          <w:szCs w:val="32"/>
          <w:highlight w:val="none"/>
          <w:shd w:val="clear" w:fill="FFFFFF"/>
        </w:rPr>
        <w:t>采购</w:t>
      </w:r>
      <w:r>
        <w:rPr>
          <w:rFonts w:hint="eastAsia" w:ascii="仿宋_GB2312" w:hAnsi="仿宋_GB2312" w:eastAsia="仿宋_GB2312" w:cs="仿宋_GB2312"/>
          <w:color w:val="auto"/>
          <w:sz w:val="32"/>
          <w:szCs w:val="32"/>
          <w:highlight w:val="none"/>
          <w:shd w:val="clear" w:fill="FFFFFF"/>
          <w:lang w:val="en-US" w:eastAsia="zh-CN"/>
        </w:rPr>
        <w:t>计划和采购预算</w:t>
      </w:r>
      <w:r>
        <w:rPr>
          <w:rFonts w:hint="eastAsia" w:ascii="仿宋_GB2312" w:hAnsi="仿宋_GB2312" w:eastAsia="仿宋_GB2312" w:cs="仿宋_GB2312"/>
          <w:color w:val="auto"/>
          <w:sz w:val="32"/>
          <w:szCs w:val="32"/>
          <w:highlight w:val="none"/>
          <w:shd w:val="clear" w:fill="FFFFFF"/>
          <w:lang w:eastAsia="zh-CN"/>
        </w:rPr>
        <w:t>，</w:t>
      </w:r>
      <w:r>
        <w:rPr>
          <w:rFonts w:hint="eastAsia" w:ascii="仿宋_GB2312" w:hAnsi="仿宋_GB2312" w:eastAsia="仿宋_GB2312" w:cs="仿宋_GB2312"/>
          <w:b w:val="0"/>
          <w:bCs/>
          <w:snapToGrid w:val="0"/>
          <w:color w:val="000000"/>
          <w:sz w:val="32"/>
          <w:szCs w:val="32"/>
          <w:highlight w:val="none"/>
          <w:lang w:val="en-US" w:eastAsia="zh-CN"/>
        </w:rPr>
        <w:t>在明确项目</w:t>
      </w:r>
      <w:r>
        <w:rPr>
          <w:rFonts w:hint="eastAsia" w:ascii="仿宋_GB2312" w:hAnsi="仿宋_GB2312" w:eastAsia="仿宋_GB2312" w:cs="仿宋_GB2312"/>
          <w:b w:val="0"/>
          <w:bCs/>
          <w:snapToGrid w:val="0"/>
          <w:kern w:val="0"/>
          <w:sz w:val="32"/>
          <w:szCs w:val="32"/>
          <w:highlight w:val="none"/>
          <w:lang w:val="en-US" w:eastAsia="zh-CN" w:bidi="ar-SA"/>
        </w:rPr>
        <w:t>采购计划、批复项目政府采购预算的情况下，严格按照计划和预算开展采购组织实施等后续工作，尤其重视把控各环节工作的内容、时间以及政策要求，</w:t>
      </w:r>
      <w:r>
        <w:rPr>
          <w:rFonts w:hint="eastAsia" w:ascii="仿宋_GB2312" w:hAnsi="仿宋_GB2312" w:eastAsia="仿宋_GB2312" w:cs="仿宋_GB2312"/>
          <w:bCs/>
          <w:kern w:val="0"/>
          <w:sz w:val="32"/>
          <w:szCs w:val="32"/>
          <w:lang w:val="en-US" w:eastAsia="zh-CN" w:bidi="ar"/>
        </w:rPr>
        <w:t>确保采购管理工作的规范性、时效性、完整性、准确性、科学性、政策落实性和公开透明性；</w:t>
      </w:r>
      <w:r>
        <w:rPr>
          <w:rFonts w:hint="eastAsia" w:ascii="仿宋_GB2312" w:hAnsi="仿宋_GB2312" w:eastAsia="仿宋_GB2312" w:cs="仿宋_GB2312"/>
          <w:b/>
          <w:bCs w:val="0"/>
          <w:kern w:val="0"/>
          <w:sz w:val="32"/>
          <w:szCs w:val="32"/>
          <w:lang w:val="en-US" w:eastAsia="zh-CN" w:bidi="ar-SA"/>
        </w:rPr>
        <w:t>二是</w:t>
      </w:r>
      <w:r>
        <w:rPr>
          <w:rFonts w:hint="eastAsia" w:ascii="仿宋_GB2312" w:hAnsi="仿宋_GB2312" w:eastAsia="仿宋_GB2312" w:cs="仿宋_GB2312"/>
          <w:b/>
          <w:bCs w:val="0"/>
          <w:snapToGrid/>
          <w:color w:val="000000"/>
          <w:sz w:val="32"/>
          <w:szCs w:val="32"/>
          <w:highlight w:val="none"/>
          <w:lang w:val="en-US" w:eastAsia="zh-CN"/>
        </w:rPr>
        <w:t>严格执行制度要求，提高组织实施规范性</w:t>
      </w:r>
      <w:r>
        <w:rPr>
          <w:rFonts w:hint="eastAsia" w:ascii="仿宋_GB2312" w:hAnsi="仿宋_GB2312" w:eastAsia="仿宋_GB2312" w:cs="仿宋_GB2312"/>
          <w:b/>
          <w:bCs w:val="0"/>
          <w:sz w:val="32"/>
          <w:szCs w:val="32"/>
          <w:lang w:eastAsia="zh-CN"/>
        </w:rPr>
        <w:t>。</w:t>
      </w:r>
      <w:r>
        <w:rPr>
          <w:rFonts w:hint="eastAsia" w:ascii="仿宋_GB2312" w:hAnsi="仿宋_GB2312" w:eastAsia="仿宋_GB2312" w:cs="仿宋_GB2312"/>
          <w:b w:val="0"/>
          <w:bCs/>
          <w:sz w:val="32"/>
          <w:szCs w:val="32"/>
          <w:lang w:val="en-US" w:eastAsia="zh-CN"/>
        </w:rPr>
        <w:t>建议项目单位</w:t>
      </w:r>
      <w:r>
        <w:rPr>
          <w:rFonts w:hint="eastAsia" w:ascii="仿宋_GB2312" w:hAnsi="仿宋_GB2312" w:eastAsia="仿宋_GB2312" w:cs="仿宋_GB2312"/>
          <w:bCs/>
          <w:sz w:val="32"/>
          <w:szCs w:val="32"/>
        </w:rPr>
        <w:t>严格执行</w:t>
      </w:r>
      <w:r>
        <w:rPr>
          <w:rFonts w:hint="eastAsia" w:ascii="仿宋_GB2312" w:hAnsi="仿宋_GB2312" w:eastAsia="仿宋_GB2312" w:cs="仿宋_GB2312"/>
          <w:bCs/>
          <w:sz w:val="32"/>
          <w:szCs w:val="32"/>
          <w:lang w:val="en-US" w:eastAsia="zh-CN"/>
        </w:rPr>
        <w:t>国家、山东</w:t>
      </w:r>
      <w:r>
        <w:rPr>
          <w:rFonts w:hint="eastAsia" w:ascii="仿宋_GB2312" w:hAnsi="仿宋_GB2312" w:eastAsia="仿宋_GB2312" w:cs="仿宋_GB2312"/>
          <w:bCs/>
          <w:sz w:val="32"/>
          <w:szCs w:val="32"/>
        </w:rPr>
        <w:t>省</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菏泽</w:t>
      </w:r>
      <w:r>
        <w:rPr>
          <w:rFonts w:hint="eastAsia" w:ascii="仿宋_GB2312" w:hAnsi="仿宋_GB2312" w:eastAsia="仿宋_GB2312" w:cs="仿宋_GB2312"/>
          <w:bCs/>
          <w:sz w:val="32"/>
          <w:szCs w:val="32"/>
        </w:rPr>
        <w:t>市</w:t>
      </w:r>
      <w:r>
        <w:rPr>
          <w:rFonts w:hint="eastAsia" w:ascii="仿宋_GB2312" w:hAnsi="仿宋_GB2312" w:eastAsia="仿宋_GB2312" w:cs="仿宋_GB2312"/>
          <w:bCs/>
          <w:sz w:val="32"/>
          <w:szCs w:val="32"/>
          <w:lang w:val="en-US" w:eastAsia="zh-CN"/>
        </w:rPr>
        <w:t>相关</w:t>
      </w:r>
      <w:r>
        <w:rPr>
          <w:rFonts w:hint="eastAsia" w:ascii="仿宋_GB2312" w:hAnsi="仿宋_GB2312" w:eastAsia="仿宋_GB2312" w:cs="仿宋_GB2312"/>
          <w:bCs/>
          <w:sz w:val="32"/>
          <w:szCs w:val="32"/>
        </w:rPr>
        <w:t>采购</w:t>
      </w:r>
      <w:r>
        <w:rPr>
          <w:rFonts w:hint="eastAsia" w:ascii="仿宋_GB2312" w:hAnsi="仿宋_GB2312" w:eastAsia="仿宋_GB2312" w:cs="仿宋_GB2312"/>
          <w:bCs/>
          <w:sz w:val="32"/>
          <w:szCs w:val="32"/>
          <w:lang w:val="en-US" w:eastAsia="zh-CN"/>
        </w:rPr>
        <w:t>管理办法和</w:t>
      </w:r>
      <w:r>
        <w:rPr>
          <w:rFonts w:hint="eastAsia" w:ascii="仿宋_GB2312" w:hAnsi="仿宋_GB2312" w:eastAsia="仿宋_GB2312" w:cs="仿宋_GB2312"/>
          <w:bCs/>
          <w:sz w:val="32"/>
          <w:szCs w:val="32"/>
        </w:rPr>
        <w:t>文件要求，</w:t>
      </w:r>
      <w:r>
        <w:rPr>
          <w:rFonts w:hint="eastAsia" w:ascii="仿宋_GB2312" w:hAnsi="仿宋_GB2312" w:eastAsia="仿宋_GB2312" w:cs="仿宋_GB2312"/>
          <w:bCs/>
          <w:sz w:val="32"/>
          <w:szCs w:val="32"/>
          <w:lang w:val="en-US" w:eastAsia="zh-CN"/>
        </w:rPr>
        <w:t>进一步</w:t>
      </w:r>
      <w:r>
        <w:rPr>
          <w:rFonts w:hint="eastAsia" w:ascii="仿宋_GB2312" w:hAnsi="仿宋_GB2312" w:eastAsia="仿宋_GB2312" w:cs="仿宋_GB2312"/>
          <w:b w:val="0"/>
          <w:bCs/>
          <w:snapToGrid/>
          <w:color w:val="000000"/>
          <w:spacing w:val="0"/>
          <w:sz w:val="32"/>
          <w:szCs w:val="32"/>
          <w:highlight w:val="none"/>
          <w:lang w:val="en-US" w:eastAsia="zh-CN"/>
        </w:rPr>
        <w:t>强化采购过程管理，</w:t>
      </w:r>
      <w:r>
        <w:rPr>
          <w:rFonts w:hint="eastAsia" w:ascii="仿宋_GB2312" w:hAnsi="仿宋_GB2312" w:eastAsia="仿宋_GB2312" w:cs="仿宋_GB2312"/>
          <w:bCs/>
          <w:sz w:val="32"/>
          <w:szCs w:val="32"/>
        </w:rPr>
        <w:t>规范采购程序，</w:t>
      </w:r>
      <w:r>
        <w:rPr>
          <w:rFonts w:hint="eastAsia" w:ascii="仿宋_GB2312" w:hAnsi="仿宋_GB2312" w:eastAsia="仿宋_GB2312" w:cs="仿宋_GB2312"/>
          <w:bCs/>
          <w:sz w:val="32"/>
          <w:szCs w:val="32"/>
          <w:lang w:val="en-US" w:eastAsia="zh-CN"/>
        </w:rPr>
        <w:t>遵守采购当事人行为规范。针对该项目存在的采购</w:t>
      </w:r>
      <w:r>
        <w:rPr>
          <w:rFonts w:hint="eastAsia" w:ascii="仿宋_GB2312" w:hAnsi="仿宋_GB2312" w:eastAsia="仿宋_GB2312" w:cs="仿宋_GB2312"/>
          <w:b w:val="0"/>
          <w:bCs w:val="0"/>
          <w:color w:val="auto"/>
          <w:sz w:val="32"/>
          <w:szCs w:val="32"/>
          <w:highlight w:val="none"/>
          <w:lang w:val="en-US" w:eastAsia="zh-CN"/>
        </w:rPr>
        <w:t>评审劳务报酬</w:t>
      </w:r>
      <w:r>
        <w:rPr>
          <w:rFonts w:hint="eastAsia" w:ascii="仿宋_GB2312" w:hAnsi="仿宋_GB2312" w:eastAsia="仿宋_GB2312" w:cs="仿宋_GB2312"/>
          <w:bCs/>
          <w:sz w:val="32"/>
          <w:szCs w:val="32"/>
          <w:lang w:val="en-US" w:eastAsia="zh-CN"/>
        </w:rPr>
        <w:t>支付主体不合理问题，需</w:t>
      </w:r>
      <w:r>
        <w:rPr>
          <w:rFonts w:hint="eastAsia" w:ascii="仿宋_GB2312" w:hAnsi="仿宋_GB2312" w:eastAsia="仿宋_GB2312" w:cs="仿宋_GB2312"/>
          <w:b w:val="0"/>
          <w:bCs w:val="0"/>
          <w:color w:val="auto"/>
          <w:sz w:val="32"/>
          <w:szCs w:val="32"/>
          <w:highlight w:val="none"/>
          <w:lang w:val="en-US" w:eastAsia="zh-CN"/>
        </w:rPr>
        <w:t>按照《关于印发&lt;山东省政府采购评审劳务报酬标准&gt;的通知》</w:t>
      </w:r>
      <w:r>
        <w:rPr>
          <w:rFonts w:hint="eastAsia" w:ascii="仿宋_GB2312" w:hAnsi="仿宋_GB2312" w:eastAsia="仿宋_GB2312" w:cs="仿宋_GB2312"/>
          <w:b w:val="0"/>
          <w:bCs/>
          <w:color w:val="000000"/>
          <w:sz w:val="32"/>
          <w:szCs w:val="32"/>
          <w:highlight w:val="none"/>
          <w:lang w:val="en-US" w:eastAsia="zh-CN"/>
        </w:rPr>
        <w:t>（鲁财采</w:t>
      </w:r>
      <w:r>
        <w:rPr>
          <w:rFonts w:hint="eastAsia" w:ascii="仿宋_GB2312" w:hAnsi="仿宋_GB2312" w:eastAsia="仿宋_GB2312" w:cs="仿宋_GB2312"/>
          <w:bCs/>
          <w:color w:val="000000"/>
          <w:sz w:val="32"/>
          <w:szCs w:val="32"/>
          <w:lang w:val="en-US" w:eastAsia="zh-CN"/>
        </w:rPr>
        <w:t>〔2017〕28号</w:t>
      </w:r>
      <w:r>
        <w:rPr>
          <w:rFonts w:hint="eastAsia" w:ascii="仿宋_GB2312" w:hAnsi="仿宋_GB2312" w:eastAsia="仿宋_GB2312" w:cs="仿宋_GB2312"/>
          <w:b w:val="0"/>
          <w:bCs/>
          <w:color w:val="000000"/>
          <w:sz w:val="32"/>
          <w:szCs w:val="32"/>
          <w:highlight w:val="none"/>
          <w:lang w:val="en-US" w:eastAsia="zh-CN"/>
        </w:rPr>
        <w:t>）</w:t>
      </w:r>
      <w:r>
        <w:rPr>
          <w:rFonts w:hint="eastAsia" w:ascii="仿宋_GB2312" w:hAnsi="仿宋_GB2312" w:eastAsia="仿宋_GB2312" w:cs="仿宋_GB2312"/>
          <w:b w:val="0"/>
          <w:bCs/>
          <w:color w:val="000000"/>
          <w:sz w:val="32"/>
          <w:szCs w:val="32"/>
          <w:lang w:val="en-US" w:eastAsia="zh-CN"/>
        </w:rPr>
        <w:t>等文件规定，</w:t>
      </w:r>
      <w:r>
        <w:rPr>
          <w:rFonts w:hint="eastAsia" w:ascii="仿宋_GB2312" w:hAnsi="仿宋_GB2312" w:eastAsia="仿宋_GB2312" w:cs="仿宋_GB2312"/>
          <w:bCs/>
          <w:sz w:val="32"/>
          <w:szCs w:val="32"/>
          <w:lang w:val="en-US" w:eastAsia="zh-CN"/>
        </w:rPr>
        <w:t>由采购人或集中采购机构支付专家评审劳务费等，确保政府采购组织实施工作的规范性。</w:t>
      </w:r>
    </w:p>
    <w:p>
      <w:pPr>
        <w:pStyle w:val="56"/>
        <w:keepNext w:val="0"/>
        <w:keepLines w:val="0"/>
        <w:pageBreakBefore w:val="0"/>
        <w:widowControl/>
        <w:numPr>
          <w:ilvl w:val="0"/>
          <w:numId w:val="0"/>
        </w:numPr>
        <w:kinsoku/>
        <w:wordWrap/>
        <w:overflowPunct w:val="0"/>
        <w:topLinePunct w:val="0"/>
        <w:autoSpaceDE/>
        <w:autoSpaceDN/>
        <w:bidi w:val="0"/>
        <w:adjustRightInd/>
        <w:snapToGrid/>
        <w:spacing w:beforeLines="0" w:afterLines="0" w:line="560" w:lineRule="exact"/>
        <w:ind w:firstLine="640" w:firstLineChars="200"/>
        <w:jc w:val="both"/>
        <w:textAlignment w:val="auto"/>
        <w:outlineLvl w:val="9"/>
        <w:rPr>
          <w:rFonts w:hint="eastAsia" w:ascii="仿宋_GB2312" w:hAnsi="仿宋_GB2312" w:eastAsia="仿宋_GB2312" w:cs="仿宋_GB2312"/>
          <w:snapToGrid w:val="0"/>
          <w:kern w:val="0"/>
          <w:sz w:val="32"/>
          <w:szCs w:val="32"/>
          <w:lang w:val="en-US" w:eastAsia="zh-CN" w:bidi="ar-SA"/>
        </w:rPr>
      </w:pPr>
      <w:r>
        <w:rPr>
          <w:rFonts w:hint="eastAsia" w:ascii="楷体_GB2312" w:hAnsi="楷体_GB2312" w:eastAsia="楷体_GB2312" w:cs="楷体_GB2312"/>
          <w:snapToGrid w:val="0"/>
          <w:color w:val="auto"/>
          <w:sz w:val="32"/>
          <w:szCs w:val="32"/>
          <w:highlight w:val="none"/>
          <w:lang w:val="en-US" w:eastAsia="zh-CN" w:bidi="ar-SA"/>
        </w:rPr>
        <w:t>（二）加快推进项目进度，促进效益及时发挥。</w:t>
      </w:r>
      <w:r>
        <w:rPr>
          <w:rFonts w:hint="eastAsia" w:ascii="仿宋_GB2312" w:hAnsi="仿宋_GB2312" w:eastAsia="仿宋_GB2312" w:cs="仿宋_GB2312"/>
          <w:b w:val="0"/>
          <w:bCs w:val="0"/>
          <w:snapToGrid w:val="0"/>
          <w:color w:val="auto"/>
          <w:sz w:val="32"/>
          <w:szCs w:val="32"/>
          <w:highlight w:val="none"/>
          <w:lang w:val="en-US" w:eastAsia="zh-CN"/>
        </w:rPr>
        <w:t>建议项目单位接下来严格按照政府采购工作要求做好后续收尾工作。首先，加强项目进度管理，及时推进项目工作进度，并在项目工作完成、达到验收条件、供应商向采购人发出项目验收建议后，在7个工作日内启动项目验收，且验收工作需严格按照相关规定和质量标准进行；其次，项目单位</w:t>
      </w:r>
      <w:r>
        <w:rPr>
          <w:rFonts w:hint="eastAsia" w:ascii="仿宋_GB2312" w:hAnsi="仿宋_GB2312" w:eastAsia="仿宋_GB2312" w:cs="仿宋_GB2312"/>
          <w:color w:val="auto"/>
          <w:sz w:val="32"/>
          <w:szCs w:val="32"/>
          <w:highlight w:val="none"/>
          <w:lang w:val="en-US" w:eastAsia="zh-CN"/>
        </w:rPr>
        <w:t>出具验收报告或验收意见后，需在3个工作日内在“中国山东政府采购网”上公开验收意见，</w:t>
      </w:r>
      <w:r>
        <w:rPr>
          <w:rFonts w:hint="eastAsia" w:ascii="仿宋_GB2312" w:hAnsi="仿宋_GB2312" w:eastAsia="仿宋_GB2312" w:cs="仿宋_GB2312"/>
          <w:b w:val="0"/>
          <w:bCs w:val="0"/>
          <w:color w:val="auto"/>
          <w:kern w:val="0"/>
          <w:sz w:val="32"/>
          <w:szCs w:val="32"/>
          <w:highlight w:val="none"/>
        </w:rPr>
        <w:t>公告期不得少于</w:t>
      </w:r>
      <w:r>
        <w:rPr>
          <w:rFonts w:hint="eastAsia" w:ascii="仿宋_GB2312" w:hAnsi="仿宋_GB2312" w:eastAsia="仿宋_GB2312" w:cs="仿宋_GB2312"/>
          <w:b w:val="0"/>
          <w:bCs w:val="0"/>
          <w:color w:val="auto"/>
          <w:kern w:val="0"/>
          <w:sz w:val="32"/>
          <w:szCs w:val="32"/>
          <w:highlight w:val="none"/>
          <w:lang w:val="en-US" w:eastAsia="zh-CN"/>
        </w:rPr>
        <w:t>3</w:t>
      </w:r>
      <w:r>
        <w:rPr>
          <w:rFonts w:hint="eastAsia" w:ascii="仿宋_GB2312" w:hAnsi="仿宋_GB2312" w:eastAsia="仿宋_GB2312" w:cs="仿宋_GB2312"/>
          <w:b w:val="0"/>
          <w:bCs w:val="0"/>
          <w:color w:val="auto"/>
          <w:kern w:val="0"/>
          <w:sz w:val="32"/>
          <w:szCs w:val="32"/>
          <w:highlight w:val="none"/>
        </w:rPr>
        <w:t>个工作日</w:t>
      </w:r>
      <w:r>
        <w:rPr>
          <w:rFonts w:hint="eastAsia" w:ascii="仿宋_GB2312" w:hAnsi="仿宋_GB2312" w:eastAsia="仿宋_GB2312" w:cs="仿宋_GB2312"/>
          <w:b w:val="0"/>
          <w:bCs w:val="0"/>
          <w:color w:val="auto"/>
          <w:kern w:val="0"/>
          <w:sz w:val="32"/>
          <w:szCs w:val="32"/>
          <w:highlight w:val="none"/>
          <w:lang w:eastAsia="zh-CN"/>
        </w:rPr>
        <w:t>；</w:t>
      </w:r>
      <w:r>
        <w:rPr>
          <w:rFonts w:hint="eastAsia" w:ascii="仿宋_GB2312" w:hAnsi="仿宋_GB2312" w:eastAsia="仿宋_GB2312" w:cs="仿宋_GB2312"/>
          <w:b w:val="0"/>
          <w:bCs w:val="0"/>
          <w:color w:val="auto"/>
          <w:kern w:val="0"/>
          <w:sz w:val="32"/>
          <w:szCs w:val="32"/>
          <w:highlight w:val="none"/>
          <w:lang w:val="en-US" w:eastAsia="zh-CN"/>
        </w:rPr>
        <w:t>最后，</w:t>
      </w:r>
      <w:r>
        <w:rPr>
          <w:rFonts w:hint="eastAsia" w:ascii="仿宋_GB2312" w:hAnsi="仿宋_GB2312" w:eastAsia="仿宋_GB2312" w:cs="仿宋_GB2312"/>
          <w:color w:val="auto"/>
          <w:sz w:val="32"/>
          <w:szCs w:val="32"/>
          <w:highlight w:val="none"/>
          <w:lang w:val="en-US" w:eastAsia="zh-CN"/>
        </w:rPr>
        <w:t>在项目验收完成且收到发票后的5个工作日内按照合同约定的时间节点支付合同款。通过以上工作措施，</w:t>
      </w:r>
      <w:r>
        <w:rPr>
          <w:rFonts w:hint="eastAsia" w:ascii="仿宋_GB2312" w:hAnsi="仿宋_GB2312" w:eastAsia="仿宋_GB2312" w:cs="仿宋_GB2312"/>
          <w:b w:val="0"/>
          <w:bCs w:val="0"/>
          <w:snapToGrid w:val="0"/>
          <w:color w:val="auto"/>
          <w:sz w:val="32"/>
          <w:szCs w:val="32"/>
          <w:highlight w:val="none"/>
          <w:lang w:val="en-US" w:eastAsia="zh-CN"/>
        </w:rPr>
        <w:t>有效</w:t>
      </w:r>
      <w:r>
        <w:rPr>
          <w:rFonts w:hint="eastAsia" w:ascii="仿宋_GB2312" w:hAnsi="仿宋_GB2312" w:eastAsia="仿宋_GB2312" w:cs="仿宋_GB2312"/>
          <w:color w:val="auto"/>
          <w:sz w:val="32"/>
          <w:szCs w:val="32"/>
          <w:highlight w:val="none"/>
          <w:lang w:val="en-US" w:eastAsia="zh-CN"/>
        </w:rPr>
        <w:t>促进项目</w:t>
      </w:r>
      <w:r>
        <w:rPr>
          <w:rFonts w:hint="eastAsia" w:ascii="仿宋_GB2312" w:hAnsi="仿宋_GB2312" w:eastAsia="仿宋_GB2312" w:cs="仿宋_GB2312"/>
          <w:b w:val="0"/>
          <w:bCs w:val="0"/>
          <w:snapToGrid w:val="0"/>
          <w:color w:val="auto"/>
          <w:sz w:val="32"/>
          <w:szCs w:val="32"/>
          <w:highlight w:val="none"/>
          <w:lang w:val="en-US" w:eastAsia="zh-CN"/>
        </w:rPr>
        <w:t>效果及时充分发挥，促进财政资金使用效益最大化实现。</w:t>
      </w:r>
      <w:bookmarkEnd w:id="0"/>
    </w:p>
    <w:sectPr>
      <w:footerReference r:id="rId3" w:type="default"/>
      <w:pgSz w:w="11905" w:h="16840"/>
      <w:pgMar w:top="1474" w:right="1531" w:bottom="1610" w:left="1531" w:header="0" w:footer="1420" w:gutter="0"/>
      <w:pgNumType w:fmt="decimal" w:start="1"/>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6CF03636-9DDB-4E33-92AA-87B83C223B05}"/>
  </w:font>
  <w:font w:name="黑体">
    <w:panose1 w:val="02010609060101010101"/>
    <w:charset w:val="86"/>
    <w:family w:val="auto"/>
    <w:pitch w:val="default"/>
    <w:sig w:usb0="800002BF" w:usb1="38CF7CFA" w:usb2="00000016" w:usb3="00000000" w:csb0="00040001" w:csb1="00000000"/>
    <w:embedRegular r:id="rId2" w:fontKey="{BAC8E5ED-FF8F-4094-AD55-27C21A8AE16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3" w:fontKey="{408069CF-E3BB-4C86-ACC6-F92D485D2823}"/>
  </w:font>
  <w:font w:name="等线 Light">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embedRegular r:id="rId4" w:fontKey="{AD360A41-F208-4018-BD58-A8F293CD7D6B}"/>
  </w:font>
  <w:font w:name="仿宋_GB2312">
    <w:panose1 w:val="02010609030101010101"/>
    <w:charset w:val="86"/>
    <w:family w:val="auto"/>
    <w:pitch w:val="default"/>
    <w:sig w:usb0="00000001" w:usb1="080E0000" w:usb2="00000000" w:usb3="00000000" w:csb0="00040000" w:csb1="00000000"/>
    <w:embedRegular r:id="rId5" w:fontKey="{202DC6C4-EBB1-4BE8-B14C-03668CE2500C}"/>
  </w:font>
  <w:font w:name="楷体_GB2312">
    <w:panose1 w:val="02010609030101010101"/>
    <w:charset w:val="86"/>
    <w:family w:val="auto"/>
    <w:pitch w:val="default"/>
    <w:sig w:usb0="00000001" w:usb1="080E0000" w:usb2="00000000" w:usb3="00000000" w:csb0="00040000" w:csb1="00000000"/>
    <w:embedRegular r:id="rId6" w:fontKey="{461C1DCD-B4DB-4415-AB28-2EDE5F26A68E}"/>
  </w:font>
  <w:font w:name="Arial Narrow">
    <w:panose1 w:val="020B0606020202030204"/>
    <w:charset w:val="00"/>
    <w:family w:val="swiss"/>
    <w:pitch w:val="default"/>
    <w:sig w:usb0="00000287" w:usb1="00000800" w:usb2="00000000" w:usb3="00000000" w:csb0="2000009F" w:csb1="DFD70000"/>
  </w:font>
  <w:font w:name="Microsoft YaHei UI">
    <w:panose1 w:val="020B0503020204020204"/>
    <w:charset w:val="86"/>
    <w:family w:val="swiss"/>
    <w:pitch w:val="default"/>
    <w:sig w:usb0="80000287" w:usb1="2ACF3C50" w:usb2="00000016" w:usb3="00000000" w:csb0="0004001F" w:csb1="00000000"/>
  </w:font>
  <w:font w:name="方正小标宋简体">
    <w:panose1 w:val="02000000000000000000"/>
    <w:charset w:val="86"/>
    <w:family w:val="auto"/>
    <w:pitch w:val="default"/>
    <w:sig w:usb0="00000001" w:usb1="08000000" w:usb2="00000000" w:usb3="00000000" w:csb0="00040000" w:csb1="00000000"/>
    <w:embedRegular r:id="rId7" w:fontKey="{1C013FE1-99B6-46D5-9E67-E1FED0D3BCDD}"/>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495935"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495935"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0"/>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39.05pt;mso-position-horizontal:center;mso-position-horizontal-relative:margin;z-index:251660288;mso-width-relative:page;mso-height-relative:page;" filled="f" stroked="f" coordsize="21600,21600" o:gfxdata="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DJPe79MAAAAEAQAADwAAAAAAAAABACAAAAAiAAAAZHJzL2Rvd25yZXYu&#10;eG1sUEsBAhQAFAAAAAgAh07iQDwlZJ85AgAAYgQAAA4AAAAAAAAAAQAgAAAAIgEAAGRycy9lMm9E&#10;b2MueG1sUEsFBgAAAAAGAAYAWQEAAM0FAAAAAA==&#10;">
              <v:fill on="f" focussize="0,0"/>
              <v:stroke on="f" weight="0.5pt"/>
              <v:imagedata o:title=""/>
              <o:lock v:ext="edit" aspectratio="f"/>
              <v:textbox inset="0mm,0mm,0mm,0mm" style="mso-fit-shape-to-text:t;">
                <w:txbxContent>
                  <w:p>
                    <w:pPr>
                      <w:pStyle w:val="20"/>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sdt>
                          <w:sdtPr>
                            <w:rPr>
                              <w:rFonts w:hint="eastAsia" w:ascii="宋体" w:hAnsi="宋体" w:eastAsia="宋体" w:cs="宋体"/>
                              <w:sz w:val="24"/>
                              <w:szCs w:val="24"/>
                            </w:rPr>
                            <w:id w:val="1398859629"/>
                          </w:sdtPr>
                          <w:sdtEndPr>
                            <w:rPr>
                              <w:rFonts w:hint="eastAsia" w:ascii="宋体" w:hAnsi="宋体" w:eastAsia="宋体" w:cs="宋体"/>
                              <w:sz w:val="24"/>
                              <w:szCs w:val="24"/>
                            </w:rPr>
                          </w:sdtEndPr>
                          <w:sdtContent>
                            <w:p>
                              <w:pPr>
                                <w:pStyle w:val="20"/>
                                <w:jc w:val="center"/>
                                <w:rPr>
                                  <w:rFonts w:ascii="宋体" w:hAnsi="宋体" w:eastAsia="宋体" w:cs="宋体"/>
                                  <w:sz w:val="24"/>
                                  <w:szCs w:val="24"/>
                                </w:rPr>
                              </w:pPr>
                            </w:p>
                          </w:sdtContent>
                        </w:sdt>
                        <w:p>
                          <w:pPr>
                            <w:pStyle w:val="39"/>
                            <w:ind w:firstLine="600"/>
                          </w:pPr>
                        </w:p>
                      </w:txbxContent>
                    </wps:txbx>
                    <wps:bodyPr wrap="none" lIns="0" tIns="0" rIns="0" bIns="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Cx8GSczAEAAJkDAAAOAAAAAAAAAAEAIAAAAB4BAABkcnMvZTJv&#10;RG9jLnhtbFBLBQYAAAAABgAGAFkBAABcBQAAAAA=&#10;">
              <v:fill on="f" focussize="0,0"/>
              <v:stroke on="f"/>
              <v:imagedata o:title=""/>
              <o:lock v:ext="edit" aspectratio="f"/>
              <v:textbox inset="0mm,0mm,0mm,0mm" style="mso-fit-shape-to-text:t;">
                <w:txbxContent>
                  <w:sdt>
                    <w:sdtPr>
                      <w:rPr>
                        <w:rFonts w:hint="eastAsia" w:ascii="宋体" w:hAnsi="宋体" w:eastAsia="宋体" w:cs="宋体"/>
                        <w:sz w:val="24"/>
                        <w:szCs w:val="24"/>
                      </w:rPr>
                      <w:id w:val="1398859629"/>
                    </w:sdtPr>
                    <w:sdtEndPr>
                      <w:rPr>
                        <w:rFonts w:hint="eastAsia" w:ascii="宋体" w:hAnsi="宋体" w:eastAsia="宋体" w:cs="宋体"/>
                        <w:sz w:val="24"/>
                        <w:szCs w:val="24"/>
                      </w:rPr>
                    </w:sdtEndPr>
                    <w:sdtContent>
                      <w:p>
                        <w:pPr>
                          <w:pStyle w:val="20"/>
                          <w:jc w:val="center"/>
                          <w:rPr>
                            <w:rFonts w:ascii="宋体" w:hAnsi="宋体" w:eastAsia="宋体" w:cs="宋体"/>
                            <w:sz w:val="24"/>
                            <w:szCs w:val="24"/>
                          </w:rPr>
                        </w:pPr>
                      </w:p>
                    </w:sdtContent>
                  </w:sdt>
                  <w:p>
                    <w:pPr>
                      <w:pStyle w:val="39"/>
                      <w:ind w:firstLine="600"/>
                    </w:pP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70B3975"/>
    <w:multiLevelType w:val="multilevel"/>
    <w:tmpl w:val="470B3975"/>
    <w:lvl w:ilvl="0" w:tentative="0">
      <w:start w:val="1"/>
      <w:numFmt w:val="japaneseCounting"/>
      <w:pStyle w:val="83"/>
      <w:lvlText w:val="%1、"/>
      <w:lvlJc w:val="left"/>
      <w:pPr>
        <w:ind w:left="1360" w:hanging="720"/>
      </w:pPr>
      <w:rPr>
        <w:rFonts w:hint="default" w:ascii="黑体" w:hAnsi="黑体" w:eastAsia="黑体"/>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embedTrueTypeFonts/>
  <w:saveSubsetFonts/>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spaceForUL/>
    <w:ulTrailSpace/>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zNjBkOTgyNWQ1YTMxYzM3MzMwNWFiODNmOWIzYWMifQ=="/>
  </w:docVars>
  <w:rsids>
    <w:rsidRoot w:val="00FC03C0"/>
    <w:rsid w:val="00000DC3"/>
    <w:rsid w:val="00002289"/>
    <w:rsid w:val="00012039"/>
    <w:rsid w:val="00012775"/>
    <w:rsid w:val="00012D4B"/>
    <w:rsid w:val="0002117B"/>
    <w:rsid w:val="00031126"/>
    <w:rsid w:val="000314A5"/>
    <w:rsid w:val="00033A83"/>
    <w:rsid w:val="00034C12"/>
    <w:rsid w:val="00054B67"/>
    <w:rsid w:val="000559E2"/>
    <w:rsid w:val="000672AA"/>
    <w:rsid w:val="00071E07"/>
    <w:rsid w:val="000737BB"/>
    <w:rsid w:val="00081741"/>
    <w:rsid w:val="000839E0"/>
    <w:rsid w:val="00084A0C"/>
    <w:rsid w:val="0008774C"/>
    <w:rsid w:val="00091AA7"/>
    <w:rsid w:val="0009257B"/>
    <w:rsid w:val="00092E99"/>
    <w:rsid w:val="000957CE"/>
    <w:rsid w:val="00097CB9"/>
    <w:rsid w:val="000A538E"/>
    <w:rsid w:val="000A747C"/>
    <w:rsid w:val="000A7788"/>
    <w:rsid w:val="000B30EB"/>
    <w:rsid w:val="000B6149"/>
    <w:rsid w:val="000B63EC"/>
    <w:rsid w:val="000B6756"/>
    <w:rsid w:val="000C1F4A"/>
    <w:rsid w:val="000C3AFF"/>
    <w:rsid w:val="000C46D3"/>
    <w:rsid w:val="000D2CE5"/>
    <w:rsid w:val="000D3AC2"/>
    <w:rsid w:val="000D41D2"/>
    <w:rsid w:val="000E10CC"/>
    <w:rsid w:val="000F0499"/>
    <w:rsid w:val="000F1FB5"/>
    <w:rsid w:val="000F3330"/>
    <w:rsid w:val="000F4A69"/>
    <w:rsid w:val="00113516"/>
    <w:rsid w:val="00114D9C"/>
    <w:rsid w:val="0012149C"/>
    <w:rsid w:val="0012539A"/>
    <w:rsid w:val="0013390C"/>
    <w:rsid w:val="00135E2F"/>
    <w:rsid w:val="001417B4"/>
    <w:rsid w:val="00146319"/>
    <w:rsid w:val="0015538E"/>
    <w:rsid w:val="0015602A"/>
    <w:rsid w:val="00160311"/>
    <w:rsid w:val="00160DFD"/>
    <w:rsid w:val="0016392A"/>
    <w:rsid w:val="001652F9"/>
    <w:rsid w:val="00172F0B"/>
    <w:rsid w:val="001749FC"/>
    <w:rsid w:val="0017757E"/>
    <w:rsid w:val="00177DEB"/>
    <w:rsid w:val="00181770"/>
    <w:rsid w:val="00181967"/>
    <w:rsid w:val="001876E4"/>
    <w:rsid w:val="00194230"/>
    <w:rsid w:val="001962A0"/>
    <w:rsid w:val="00196A5D"/>
    <w:rsid w:val="001A063B"/>
    <w:rsid w:val="001A16A3"/>
    <w:rsid w:val="001A7E6A"/>
    <w:rsid w:val="001B1795"/>
    <w:rsid w:val="001C11EF"/>
    <w:rsid w:val="001D3F94"/>
    <w:rsid w:val="001D582B"/>
    <w:rsid w:val="001D61E0"/>
    <w:rsid w:val="001E162C"/>
    <w:rsid w:val="001F039F"/>
    <w:rsid w:val="00200DA7"/>
    <w:rsid w:val="0020526A"/>
    <w:rsid w:val="00224425"/>
    <w:rsid w:val="00227275"/>
    <w:rsid w:val="002361E4"/>
    <w:rsid w:val="00236480"/>
    <w:rsid w:val="00236D6D"/>
    <w:rsid w:val="00240E96"/>
    <w:rsid w:val="00241719"/>
    <w:rsid w:val="002441E5"/>
    <w:rsid w:val="0025127A"/>
    <w:rsid w:val="0025433A"/>
    <w:rsid w:val="00266292"/>
    <w:rsid w:val="00266BF7"/>
    <w:rsid w:val="002675AD"/>
    <w:rsid w:val="0027178F"/>
    <w:rsid w:val="002728C0"/>
    <w:rsid w:val="002730F0"/>
    <w:rsid w:val="00273121"/>
    <w:rsid w:val="00280FBF"/>
    <w:rsid w:val="00284BB2"/>
    <w:rsid w:val="002907E9"/>
    <w:rsid w:val="00290820"/>
    <w:rsid w:val="00295B0F"/>
    <w:rsid w:val="002A02E9"/>
    <w:rsid w:val="002A43A9"/>
    <w:rsid w:val="002B073B"/>
    <w:rsid w:val="002B7FD5"/>
    <w:rsid w:val="002C216A"/>
    <w:rsid w:val="002C71BD"/>
    <w:rsid w:val="002D2663"/>
    <w:rsid w:val="002D6728"/>
    <w:rsid w:val="002D732A"/>
    <w:rsid w:val="002E4803"/>
    <w:rsid w:val="002E4AFA"/>
    <w:rsid w:val="002E4D5D"/>
    <w:rsid w:val="002E57AE"/>
    <w:rsid w:val="002E62DF"/>
    <w:rsid w:val="002F5BCA"/>
    <w:rsid w:val="0031079C"/>
    <w:rsid w:val="00311C14"/>
    <w:rsid w:val="00317D13"/>
    <w:rsid w:val="00320121"/>
    <w:rsid w:val="00321389"/>
    <w:rsid w:val="00321553"/>
    <w:rsid w:val="00322A3B"/>
    <w:rsid w:val="00323B8C"/>
    <w:rsid w:val="00324CAA"/>
    <w:rsid w:val="003260EB"/>
    <w:rsid w:val="003342A7"/>
    <w:rsid w:val="003364CD"/>
    <w:rsid w:val="00336F9E"/>
    <w:rsid w:val="00344904"/>
    <w:rsid w:val="003464F9"/>
    <w:rsid w:val="00347749"/>
    <w:rsid w:val="003517DA"/>
    <w:rsid w:val="0035450F"/>
    <w:rsid w:val="003633B4"/>
    <w:rsid w:val="003658D5"/>
    <w:rsid w:val="00374AA6"/>
    <w:rsid w:val="003760DF"/>
    <w:rsid w:val="00377A6F"/>
    <w:rsid w:val="003870E7"/>
    <w:rsid w:val="00390A66"/>
    <w:rsid w:val="00390EE4"/>
    <w:rsid w:val="00391CC4"/>
    <w:rsid w:val="003947E1"/>
    <w:rsid w:val="003976C9"/>
    <w:rsid w:val="003A1379"/>
    <w:rsid w:val="003A40A1"/>
    <w:rsid w:val="003B6F3C"/>
    <w:rsid w:val="003C3A1C"/>
    <w:rsid w:val="003C4CC4"/>
    <w:rsid w:val="003C5AA8"/>
    <w:rsid w:val="003C755C"/>
    <w:rsid w:val="003C7D52"/>
    <w:rsid w:val="003D34C4"/>
    <w:rsid w:val="003D365E"/>
    <w:rsid w:val="003D46AC"/>
    <w:rsid w:val="003E4AD2"/>
    <w:rsid w:val="003F455A"/>
    <w:rsid w:val="0040421D"/>
    <w:rsid w:val="00406982"/>
    <w:rsid w:val="00410E4B"/>
    <w:rsid w:val="00413EA4"/>
    <w:rsid w:val="004215A3"/>
    <w:rsid w:val="00423C69"/>
    <w:rsid w:val="00424A00"/>
    <w:rsid w:val="00430694"/>
    <w:rsid w:val="004348E9"/>
    <w:rsid w:val="004415AC"/>
    <w:rsid w:val="00441EC1"/>
    <w:rsid w:val="004452F7"/>
    <w:rsid w:val="00445EA8"/>
    <w:rsid w:val="00453AF6"/>
    <w:rsid w:val="00454A45"/>
    <w:rsid w:val="00464A81"/>
    <w:rsid w:val="00465739"/>
    <w:rsid w:val="00466465"/>
    <w:rsid w:val="00470FA2"/>
    <w:rsid w:val="004719AD"/>
    <w:rsid w:val="00474FF8"/>
    <w:rsid w:val="00481681"/>
    <w:rsid w:val="00494A52"/>
    <w:rsid w:val="004A309F"/>
    <w:rsid w:val="004A62CC"/>
    <w:rsid w:val="004B75E9"/>
    <w:rsid w:val="004C285F"/>
    <w:rsid w:val="004C5253"/>
    <w:rsid w:val="004D137F"/>
    <w:rsid w:val="004D5FA7"/>
    <w:rsid w:val="004D6036"/>
    <w:rsid w:val="004F2628"/>
    <w:rsid w:val="004F4434"/>
    <w:rsid w:val="004F4815"/>
    <w:rsid w:val="004F509A"/>
    <w:rsid w:val="004F56F7"/>
    <w:rsid w:val="005006B8"/>
    <w:rsid w:val="00502732"/>
    <w:rsid w:val="0050469D"/>
    <w:rsid w:val="00506A1C"/>
    <w:rsid w:val="005105D6"/>
    <w:rsid w:val="00522AFD"/>
    <w:rsid w:val="00523CFC"/>
    <w:rsid w:val="00525CF5"/>
    <w:rsid w:val="005261E9"/>
    <w:rsid w:val="0053353B"/>
    <w:rsid w:val="005344F8"/>
    <w:rsid w:val="005348AE"/>
    <w:rsid w:val="00535845"/>
    <w:rsid w:val="0054104F"/>
    <w:rsid w:val="005427C3"/>
    <w:rsid w:val="0054297F"/>
    <w:rsid w:val="00543C5E"/>
    <w:rsid w:val="0054480B"/>
    <w:rsid w:val="005450DC"/>
    <w:rsid w:val="00546D37"/>
    <w:rsid w:val="005521D8"/>
    <w:rsid w:val="0055587B"/>
    <w:rsid w:val="00557EA3"/>
    <w:rsid w:val="00563E89"/>
    <w:rsid w:val="0057545F"/>
    <w:rsid w:val="00577326"/>
    <w:rsid w:val="005825F4"/>
    <w:rsid w:val="00584905"/>
    <w:rsid w:val="005A0F91"/>
    <w:rsid w:val="005A3B90"/>
    <w:rsid w:val="005A4C80"/>
    <w:rsid w:val="005A6A85"/>
    <w:rsid w:val="005B1262"/>
    <w:rsid w:val="005B3456"/>
    <w:rsid w:val="005B5303"/>
    <w:rsid w:val="005B649D"/>
    <w:rsid w:val="005B6A9E"/>
    <w:rsid w:val="005C0D21"/>
    <w:rsid w:val="005C37F0"/>
    <w:rsid w:val="005D106B"/>
    <w:rsid w:val="005D3C03"/>
    <w:rsid w:val="005D7C53"/>
    <w:rsid w:val="005E4478"/>
    <w:rsid w:val="005F240E"/>
    <w:rsid w:val="00602499"/>
    <w:rsid w:val="0060600B"/>
    <w:rsid w:val="00610FB2"/>
    <w:rsid w:val="006217C6"/>
    <w:rsid w:val="00625C37"/>
    <w:rsid w:val="00630853"/>
    <w:rsid w:val="006321CB"/>
    <w:rsid w:val="00637658"/>
    <w:rsid w:val="00643BAA"/>
    <w:rsid w:val="00643E48"/>
    <w:rsid w:val="006456F4"/>
    <w:rsid w:val="0065599C"/>
    <w:rsid w:val="006560E1"/>
    <w:rsid w:val="006569F1"/>
    <w:rsid w:val="00657E0E"/>
    <w:rsid w:val="00660A41"/>
    <w:rsid w:val="00674604"/>
    <w:rsid w:val="00675AB5"/>
    <w:rsid w:val="00677D15"/>
    <w:rsid w:val="00680E56"/>
    <w:rsid w:val="00682BDC"/>
    <w:rsid w:val="00683CEE"/>
    <w:rsid w:val="00685254"/>
    <w:rsid w:val="00685642"/>
    <w:rsid w:val="0068649A"/>
    <w:rsid w:val="006867E2"/>
    <w:rsid w:val="006873B1"/>
    <w:rsid w:val="00692218"/>
    <w:rsid w:val="0069495F"/>
    <w:rsid w:val="00694D7E"/>
    <w:rsid w:val="006A1774"/>
    <w:rsid w:val="006A1D36"/>
    <w:rsid w:val="006A20C4"/>
    <w:rsid w:val="006A3033"/>
    <w:rsid w:val="006A712C"/>
    <w:rsid w:val="006A74E7"/>
    <w:rsid w:val="006B5095"/>
    <w:rsid w:val="006B5544"/>
    <w:rsid w:val="006C7CE7"/>
    <w:rsid w:val="006D13F0"/>
    <w:rsid w:val="006D2618"/>
    <w:rsid w:val="006D4B30"/>
    <w:rsid w:val="006D5854"/>
    <w:rsid w:val="006E6D16"/>
    <w:rsid w:val="006F1F19"/>
    <w:rsid w:val="006F3907"/>
    <w:rsid w:val="006F7E30"/>
    <w:rsid w:val="00700A85"/>
    <w:rsid w:val="00704A05"/>
    <w:rsid w:val="00706295"/>
    <w:rsid w:val="007063F7"/>
    <w:rsid w:val="00717047"/>
    <w:rsid w:val="007224A6"/>
    <w:rsid w:val="0072471A"/>
    <w:rsid w:val="00726A48"/>
    <w:rsid w:val="00731649"/>
    <w:rsid w:val="00731751"/>
    <w:rsid w:val="007409EA"/>
    <w:rsid w:val="00741D91"/>
    <w:rsid w:val="00742DB7"/>
    <w:rsid w:val="00742F5A"/>
    <w:rsid w:val="007465AE"/>
    <w:rsid w:val="00767B62"/>
    <w:rsid w:val="007700E8"/>
    <w:rsid w:val="00772773"/>
    <w:rsid w:val="0077626F"/>
    <w:rsid w:val="00776BB9"/>
    <w:rsid w:val="00777B46"/>
    <w:rsid w:val="00791571"/>
    <w:rsid w:val="00793C03"/>
    <w:rsid w:val="00795F1E"/>
    <w:rsid w:val="007977CB"/>
    <w:rsid w:val="007A09DF"/>
    <w:rsid w:val="007B6FB5"/>
    <w:rsid w:val="007C1247"/>
    <w:rsid w:val="007C14B2"/>
    <w:rsid w:val="007C1594"/>
    <w:rsid w:val="007C7348"/>
    <w:rsid w:val="007D1B94"/>
    <w:rsid w:val="007D6750"/>
    <w:rsid w:val="007E075E"/>
    <w:rsid w:val="007E0A59"/>
    <w:rsid w:val="007E4818"/>
    <w:rsid w:val="007F1FE5"/>
    <w:rsid w:val="007F50DF"/>
    <w:rsid w:val="007F55B2"/>
    <w:rsid w:val="007F6467"/>
    <w:rsid w:val="007F7FAF"/>
    <w:rsid w:val="00807AEB"/>
    <w:rsid w:val="00813E42"/>
    <w:rsid w:val="008149CC"/>
    <w:rsid w:val="00815870"/>
    <w:rsid w:val="0082052C"/>
    <w:rsid w:val="008223B5"/>
    <w:rsid w:val="0082484D"/>
    <w:rsid w:val="00833CBD"/>
    <w:rsid w:val="00842992"/>
    <w:rsid w:val="008459F8"/>
    <w:rsid w:val="008511B9"/>
    <w:rsid w:val="00854DE8"/>
    <w:rsid w:val="00855AE8"/>
    <w:rsid w:val="0085759B"/>
    <w:rsid w:val="00863694"/>
    <w:rsid w:val="00863A10"/>
    <w:rsid w:val="00866628"/>
    <w:rsid w:val="008709F8"/>
    <w:rsid w:val="008729D9"/>
    <w:rsid w:val="00874DBB"/>
    <w:rsid w:val="00874E15"/>
    <w:rsid w:val="008755C7"/>
    <w:rsid w:val="0088030E"/>
    <w:rsid w:val="0088226C"/>
    <w:rsid w:val="00882971"/>
    <w:rsid w:val="00882AD6"/>
    <w:rsid w:val="00886AB3"/>
    <w:rsid w:val="00886F9C"/>
    <w:rsid w:val="008872DB"/>
    <w:rsid w:val="008878DA"/>
    <w:rsid w:val="00892D48"/>
    <w:rsid w:val="00896533"/>
    <w:rsid w:val="0089691D"/>
    <w:rsid w:val="008A481C"/>
    <w:rsid w:val="008A4B3E"/>
    <w:rsid w:val="008A5816"/>
    <w:rsid w:val="008B35AF"/>
    <w:rsid w:val="008B5E1C"/>
    <w:rsid w:val="008D313A"/>
    <w:rsid w:val="008D405A"/>
    <w:rsid w:val="008D4305"/>
    <w:rsid w:val="008D5BB5"/>
    <w:rsid w:val="008F3C47"/>
    <w:rsid w:val="008F582C"/>
    <w:rsid w:val="008F5DC9"/>
    <w:rsid w:val="008F7C5D"/>
    <w:rsid w:val="00904BF5"/>
    <w:rsid w:val="00905EBD"/>
    <w:rsid w:val="0091256F"/>
    <w:rsid w:val="00912DEF"/>
    <w:rsid w:val="009168F1"/>
    <w:rsid w:val="00916CBF"/>
    <w:rsid w:val="00920733"/>
    <w:rsid w:val="00921558"/>
    <w:rsid w:val="00923DEF"/>
    <w:rsid w:val="00924868"/>
    <w:rsid w:val="00926FDA"/>
    <w:rsid w:val="00931661"/>
    <w:rsid w:val="0093538E"/>
    <w:rsid w:val="00940798"/>
    <w:rsid w:val="009419DC"/>
    <w:rsid w:val="0094489A"/>
    <w:rsid w:val="00947553"/>
    <w:rsid w:val="00971C92"/>
    <w:rsid w:val="00972001"/>
    <w:rsid w:val="00972ED9"/>
    <w:rsid w:val="009777F3"/>
    <w:rsid w:val="00981346"/>
    <w:rsid w:val="00983085"/>
    <w:rsid w:val="00987568"/>
    <w:rsid w:val="00991EAD"/>
    <w:rsid w:val="00995662"/>
    <w:rsid w:val="009A1063"/>
    <w:rsid w:val="009A37B8"/>
    <w:rsid w:val="009B2906"/>
    <w:rsid w:val="009B2D3F"/>
    <w:rsid w:val="009B41A0"/>
    <w:rsid w:val="009D123B"/>
    <w:rsid w:val="009D3823"/>
    <w:rsid w:val="009D52E1"/>
    <w:rsid w:val="009E071F"/>
    <w:rsid w:val="009E0FBC"/>
    <w:rsid w:val="009F0D41"/>
    <w:rsid w:val="00A01E4A"/>
    <w:rsid w:val="00A03699"/>
    <w:rsid w:val="00A04AA9"/>
    <w:rsid w:val="00A072B7"/>
    <w:rsid w:val="00A140D0"/>
    <w:rsid w:val="00A1496F"/>
    <w:rsid w:val="00A157E0"/>
    <w:rsid w:val="00A163FE"/>
    <w:rsid w:val="00A23C0A"/>
    <w:rsid w:val="00A23C5F"/>
    <w:rsid w:val="00A24E27"/>
    <w:rsid w:val="00A33342"/>
    <w:rsid w:val="00A341D6"/>
    <w:rsid w:val="00A458DE"/>
    <w:rsid w:val="00A51A9C"/>
    <w:rsid w:val="00A5361A"/>
    <w:rsid w:val="00A540D5"/>
    <w:rsid w:val="00A614A9"/>
    <w:rsid w:val="00A661B9"/>
    <w:rsid w:val="00A66A74"/>
    <w:rsid w:val="00A80187"/>
    <w:rsid w:val="00A8139C"/>
    <w:rsid w:val="00A815F3"/>
    <w:rsid w:val="00A84C39"/>
    <w:rsid w:val="00A850D9"/>
    <w:rsid w:val="00A922DF"/>
    <w:rsid w:val="00A94F50"/>
    <w:rsid w:val="00A97F8C"/>
    <w:rsid w:val="00AB1127"/>
    <w:rsid w:val="00AB3643"/>
    <w:rsid w:val="00AB42B6"/>
    <w:rsid w:val="00AB461F"/>
    <w:rsid w:val="00AB643B"/>
    <w:rsid w:val="00AB78CA"/>
    <w:rsid w:val="00AB79B0"/>
    <w:rsid w:val="00AC31E7"/>
    <w:rsid w:val="00AD4E37"/>
    <w:rsid w:val="00AD4ED8"/>
    <w:rsid w:val="00AE36E0"/>
    <w:rsid w:val="00AF4E25"/>
    <w:rsid w:val="00B04C77"/>
    <w:rsid w:val="00B07778"/>
    <w:rsid w:val="00B1056D"/>
    <w:rsid w:val="00B20F48"/>
    <w:rsid w:val="00B3276A"/>
    <w:rsid w:val="00B330FE"/>
    <w:rsid w:val="00B45465"/>
    <w:rsid w:val="00B46D6D"/>
    <w:rsid w:val="00B51882"/>
    <w:rsid w:val="00B54865"/>
    <w:rsid w:val="00B65961"/>
    <w:rsid w:val="00B6642F"/>
    <w:rsid w:val="00B66731"/>
    <w:rsid w:val="00B7265D"/>
    <w:rsid w:val="00B7267B"/>
    <w:rsid w:val="00B739F2"/>
    <w:rsid w:val="00B742E4"/>
    <w:rsid w:val="00B74B1D"/>
    <w:rsid w:val="00B767FB"/>
    <w:rsid w:val="00B76804"/>
    <w:rsid w:val="00B77885"/>
    <w:rsid w:val="00B8413D"/>
    <w:rsid w:val="00B84897"/>
    <w:rsid w:val="00B91830"/>
    <w:rsid w:val="00B92C1E"/>
    <w:rsid w:val="00B92C23"/>
    <w:rsid w:val="00B92D8B"/>
    <w:rsid w:val="00B944D6"/>
    <w:rsid w:val="00B955CD"/>
    <w:rsid w:val="00BA5444"/>
    <w:rsid w:val="00BA6336"/>
    <w:rsid w:val="00BA67EE"/>
    <w:rsid w:val="00BB09BA"/>
    <w:rsid w:val="00BB0C6F"/>
    <w:rsid w:val="00BB3204"/>
    <w:rsid w:val="00BB52A3"/>
    <w:rsid w:val="00BC0A87"/>
    <w:rsid w:val="00BC1284"/>
    <w:rsid w:val="00BC510E"/>
    <w:rsid w:val="00BC62A2"/>
    <w:rsid w:val="00BD1B92"/>
    <w:rsid w:val="00BD1E4E"/>
    <w:rsid w:val="00BD3782"/>
    <w:rsid w:val="00BD4E2C"/>
    <w:rsid w:val="00BD61BD"/>
    <w:rsid w:val="00BE5147"/>
    <w:rsid w:val="00BE7F35"/>
    <w:rsid w:val="00BF0112"/>
    <w:rsid w:val="00BF1AAD"/>
    <w:rsid w:val="00BF3B2A"/>
    <w:rsid w:val="00BF486E"/>
    <w:rsid w:val="00BF6BB6"/>
    <w:rsid w:val="00BF6C45"/>
    <w:rsid w:val="00C017CD"/>
    <w:rsid w:val="00C10B5A"/>
    <w:rsid w:val="00C11DD5"/>
    <w:rsid w:val="00C23610"/>
    <w:rsid w:val="00C2366F"/>
    <w:rsid w:val="00C256F5"/>
    <w:rsid w:val="00C2642D"/>
    <w:rsid w:val="00C27C0C"/>
    <w:rsid w:val="00C31AFA"/>
    <w:rsid w:val="00C32576"/>
    <w:rsid w:val="00C405F6"/>
    <w:rsid w:val="00C41A38"/>
    <w:rsid w:val="00C424BF"/>
    <w:rsid w:val="00C429FF"/>
    <w:rsid w:val="00C42A24"/>
    <w:rsid w:val="00C44354"/>
    <w:rsid w:val="00C473F9"/>
    <w:rsid w:val="00C6237D"/>
    <w:rsid w:val="00C63FF8"/>
    <w:rsid w:val="00C67CBF"/>
    <w:rsid w:val="00C77D3E"/>
    <w:rsid w:val="00C77D9D"/>
    <w:rsid w:val="00C91D37"/>
    <w:rsid w:val="00C93990"/>
    <w:rsid w:val="00C97361"/>
    <w:rsid w:val="00CA2085"/>
    <w:rsid w:val="00CA2860"/>
    <w:rsid w:val="00CA6FA1"/>
    <w:rsid w:val="00CB0D48"/>
    <w:rsid w:val="00CB1EB4"/>
    <w:rsid w:val="00CB7215"/>
    <w:rsid w:val="00CC223E"/>
    <w:rsid w:val="00CD6152"/>
    <w:rsid w:val="00CE3DD3"/>
    <w:rsid w:val="00CE40B6"/>
    <w:rsid w:val="00CE6C7D"/>
    <w:rsid w:val="00CE7E04"/>
    <w:rsid w:val="00CF3178"/>
    <w:rsid w:val="00D026E0"/>
    <w:rsid w:val="00D05F98"/>
    <w:rsid w:val="00D17579"/>
    <w:rsid w:val="00D2019B"/>
    <w:rsid w:val="00D22178"/>
    <w:rsid w:val="00D22D1E"/>
    <w:rsid w:val="00D32A4B"/>
    <w:rsid w:val="00D33CE7"/>
    <w:rsid w:val="00D4026E"/>
    <w:rsid w:val="00D47E2A"/>
    <w:rsid w:val="00D50390"/>
    <w:rsid w:val="00D542EA"/>
    <w:rsid w:val="00D62B11"/>
    <w:rsid w:val="00D64B1D"/>
    <w:rsid w:val="00D64F97"/>
    <w:rsid w:val="00D721E8"/>
    <w:rsid w:val="00D75D30"/>
    <w:rsid w:val="00D76704"/>
    <w:rsid w:val="00D87F68"/>
    <w:rsid w:val="00D916DD"/>
    <w:rsid w:val="00D96E73"/>
    <w:rsid w:val="00DA1C7B"/>
    <w:rsid w:val="00DA3CC3"/>
    <w:rsid w:val="00DA6EE2"/>
    <w:rsid w:val="00DB16D3"/>
    <w:rsid w:val="00DB45AB"/>
    <w:rsid w:val="00DB73E3"/>
    <w:rsid w:val="00DC271B"/>
    <w:rsid w:val="00DC2C20"/>
    <w:rsid w:val="00DD1962"/>
    <w:rsid w:val="00DE02C2"/>
    <w:rsid w:val="00DE5BA4"/>
    <w:rsid w:val="00DE7F84"/>
    <w:rsid w:val="00DF0599"/>
    <w:rsid w:val="00E01EBB"/>
    <w:rsid w:val="00E03BB2"/>
    <w:rsid w:val="00E03F8D"/>
    <w:rsid w:val="00E06ABF"/>
    <w:rsid w:val="00E11FDE"/>
    <w:rsid w:val="00E2086B"/>
    <w:rsid w:val="00E22901"/>
    <w:rsid w:val="00E2331D"/>
    <w:rsid w:val="00E27A4D"/>
    <w:rsid w:val="00E35E4A"/>
    <w:rsid w:val="00E3744A"/>
    <w:rsid w:val="00E412FF"/>
    <w:rsid w:val="00E42EC5"/>
    <w:rsid w:val="00E51D0F"/>
    <w:rsid w:val="00E55214"/>
    <w:rsid w:val="00E62863"/>
    <w:rsid w:val="00E635CE"/>
    <w:rsid w:val="00E63805"/>
    <w:rsid w:val="00E70396"/>
    <w:rsid w:val="00E719DF"/>
    <w:rsid w:val="00E8144C"/>
    <w:rsid w:val="00E846D4"/>
    <w:rsid w:val="00E84E4E"/>
    <w:rsid w:val="00E85C10"/>
    <w:rsid w:val="00E85C22"/>
    <w:rsid w:val="00E936F3"/>
    <w:rsid w:val="00E942F1"/>
    <w:rsid w:val="00EA352C"/>
    <w:rsid w:val="00EA4723"/>
    <w:rsid w:val="00EC023E"/>
    <w:rsid w:val="00ED32F2"/>
    <w:rsid w:val="00ED45FA"/>
    <w:rsid w:val="00EE059B"/>
    <w:rsid w:val="00EE0DD2"/>
    <w:rsid w:val="00EE1FC8"/>
    <w:rsid w:val="00EE2ED5"/>
    <w:rsid w:val="00EE6F59"/>
    <w:rsid w:val="00EF05C1"/>
    <w:rsid w:val="00EF106D"/>
    <w:rsid w:val="00EF1796"/>
    <w:rsid w:val="00EF6FE9"/>
    <w:rsid w:val="00F00456"/>
    <w:rsid w:val="00F02D40"/>
    <w:rsid w:val="00F03DD1"/>
    <w:rsid w:val="00F0768F"/>
    <w:rsid w:val="00F123C4"/>
    <w:rsid w:val="00F12758"/>
    <w:rsid w:val="00F2062E"/>
    <w:rsid w:val="00F21975"/>
    <w:rsid w:val="00F24CD7"/>
    <w:rsid w:val="00F263A9"/>
    <w:rsid w:val="00F26454"/>
    <w:rsid w:val="00F2717A"/>
    <w:rsid w:val="00F2722A"/>
    <w:rsid w:val="00F27441"/>
    <w:rsid w:val="00F31A91"/>
    <w:rsid w:val="00F34869"/>
    <w:rsid w:val="00F36225"/>
    <w:rsid w:val="00F41667"/>
    <w:rsid w:val="00F45EDA"/>
    <w:rsid w:val="00F4685C"/>
    <w:rsid w:val="00F51871"/>
    <w:rsid w:val="00F51990"/>
    <w:rsid w:val="00F52712"/>
    <w:rsid w:val="00F5628F"/>
    <w:rsid w:val="00F61ED9"/>
    <w:rsid w:val="00F623E6"/>
    <w:rsid w:val="00F630A6"/>
    <w:rsid w:val="00F671EF"/>
    <w:rsid w:val="00F6773D"/>
    <w:rsid w:val="00F70042"/>
    <w:rsid w:val="00F70FD6"/>
    <w:rsid w:val="00F807B4"/>
    <w:rsid w:val="00F8629D"/>
    <w:rsid w:val="00F91141"/>
    <w:rsid w:val="00F93D2D"/>
    <w:rsid w:val="00F96986"/>
    <w:rsid w:val="00FA0265"/>
    <w:rsid w:val="00FA5953"/>
    <w:rsid w:val="00FB3C94"/>
    <w:rsid w:val="00FC03C0"/>
    <w:rsid w:val="00FC1382"/>
    <w:rsid w:val="00FC1E73"/>
    <w:rsid w:val="00FC3D21"/>
    <w:rsid w:val="00FC406B"/>
    <w:rsid w:val="00FC5D6A"/>
    <w:rsid w:val="00FD012A"/>
    <w:rsid w:val="00FD0A6C"/>
    <w:rsid w:val="00FD6060"/>
    <w:rsid w:val="00FE06A5"/>
    <w:rsid w:val="00FE13F6"/>
    <w:rsid w:val="00FE7314"/>
    <w:rsid w:val="00FF4979"/>
    <w:rsid w:val="00FF6A2B"/>
    <w:rsid w:val="00FF6A45"/>
    <w:rsid w:val="01204282"/>
    <w:rsid w:val="0125032E"/>
    <w:rsid w:val="01264868"/>
    <w:rsid w:val="012C5551"/>
    <w:rsid w:val="01337466"/>
    <w:rsid w:val="01353FC2"/>
    <w:rsid w:val="014B3D12"/>
    <w:rsid w:val="01593C77"/>
    <w:rsid w:val="017460A8"/>
    <w:rsid w:val="017975E2"/>
    <w:rsid w:val="018A2487"/>
    <w:rsid w:val="01A6211F"/>
    <w:rsid w:val="01AC0AC9"/>
    <w:rsid w:val="01B91D0C"/>
    <w:rsid w:val="01BA040D"/>
    <w:rsid w:val="01BF5575"/>
    <w:rsid w:val="01C04F3F"/>
    <w:rsid w:val="01E01364"/>
    <w:rsid w:val="02056D00"/>
    <w:rsid w:val="0212795F"/>
    <w:rsid w:val="02133648"/>
    <w:rsid w:val="02150D2B"/>
    <w:rsid w:val="022025FF"/>
    <w:rsid w:val="02266418"/>
    <w:rsid w:val="024B72E9"/>
    <w:rsid w:val="026A5180"/>
    <w:rsid w:val="02732775"/>
    <w:rsid w:val="02752D2C"/>
    <w:rsid w:val="02791D5F"/>
    <w:rsid w:val="027D0A20"/>
    <w:rsid w:val="028F20BC"/>
    <w:rsid w:val="02916F6B"/>
    <w:rsid w:val="029414BC"/>
    <w:rsid w:val="02CF6352"/>
    <w:rsid w:val="02D12C2D"/>
    <w:rsid w:val="02DB0B53"/>
    <w:rsid w:val="02E92DB0"/>
    <w:rsid w:val="02F05920"/>
    <w:rsid w:val="02F71F8E"/>
    <w:rsid w:val="02FA0F21"/>
    <w:rsid w:val="030C10C3"/>
    <w:rsid w:val="031033AD"/>
    <w:rsid w:val="03106A9C"/>
    <w:rsid w:val="03215DBB"/>
    <w:rsid w:val="03263F0C"/>
    <w:rsid w:val="03284581"/>
    <w:rsid w:val="03305FFE"/>
    <w:rsid w:val="03394157"/>
    <w:rsid w:val="033B7FD4"/>
    <w:rsid w:val="033C5409"/>
    <w:rsid w:val="035741A7"/>
    <w:rsid w:val="035970C4"/>
    <w:rsid w:val="0370616B"/>
    <w:rsid w:val="037A4362"/>
    <w:rsid w:val="03841B83"/>
    <w:rsid w:val="03872C87"/>
    <w:rsid w:val="038E7EA6"/>
    <w:rsid w:val="039D6C5C"/>
    <w:rsid w:val="03B5695C"/>
    <w:rsid w:val="03C148D9"/>
    <w:rsid w:val="03C76963"/>
    <w:rsid w:val="03D6325E"/>
    <w:rsid w:val="03E07A24"/>
    <w:rsid w:val="03E9031E"/>
    <w:rsid w:val="03EE3EEF"/>
    <w:rsid w:val="03FB1AC5"/>
    <w:rsid w:val="041212ED"/>
    <w:rsid w:val="04172211"/>
    <w:rsid w:val="042707B1"/>
    <w:rsid w:val="04324803"/>
    <w:rsid w:val="04513DDD"/>
    <w:rsid w:val="045466AD"/>
    <w:rsid w:val="045A64CC"/>
    <w:rsid w:val="04643CCC"/>
    <w:rsid w:val="0471723D"/>
    <w:rsid w:val="047E2606"/>
    <w:rsid w:val="04873E02"/>
    <w:rsid w:val="04976F65"/>
    <w:rsid w:val="04A54141"/>
    <w:rsid w:val="04B23B5D"/>
    <w:rsid w:val="04B938A2"/>
    <w:rsid w:val="04BF6533"/>
    <w:rsid w:val="04C20D17"/>
    <w:rsid w:val="04CE1C59"/>
    <w:rsid w:val="04D03CAB"/>
    <w:rsid w:val="04D44493"/>
    <w:rsid w:val="04DB74FC"/>
    <w:rsid w:val="04E23328"/>
    <w:rsid w:val="04E43B54"/>
    <w:rsid w:val="04FD0162"/>
    <w:rsid w:val="05135121"/>
    <w:rsid w:val="051523F7"/>
    <w:rsid w:val="051C0586"/>
    <w:rsid w:val="051F3764"/>
    <w:rsid w:val="05234AA6"/>
    <w:rsid w:val="05283431"/>
    <w:rsid w:val="053C31C1"/>
    <w:rsid w:val="054D733B"/>
    <w:rsid w:val="05690CCC"/>
    <w:rsid w:val="0571605A"/>
    <w:rsid w:val="05881D34"/>
    <w:rsid w:val="058B310F"/>
    <w:rsid w:val="05A05B06"/>
    <w:rsid w:val="05A90912"/>
    <w:rsid w:val="05AA1CE1"/>
    <w:rsid w:val="05AD32B9"/>
    <w:rsid w:val="05B3028B"/>
    <w:rsid w:val="05C20D80"/>
    <w:rsid w:val="05CD7509"/>
    <w:rsid w:val="05DE045E"/>
    <w:rsid w:val="05EE3490"/>
    <w:rsid w:val="060043AE"/>
    <w:rsid w:val="06117E2D"/>
    <w:rsid w:val="062B6BDC"/>
    <w:rsid w:val="06312753"/>
    <w:rsid w:val="06392BA9"/>
    <w:rsid w:val="063D305A"/>
    <w:rsid w:val="06497A35"/>
    <w:rsid w:val="064D272C"/>
    <w:rsid w:val="064E5367"/>
    <w:rsid w:val="064F06FB"/>
    <w:rsid w:val="06521EE4"/>
    <w:rsid w:val="06616556"/>
    <w:rsid w:val="066F5951"/>
    <w:rsid w:val="06890D89"/>
    <w:rsid w:val="068A641F"/>
    <w:rsid w:val="069A757F"/>
    <w:rsid w:val="06BD210F"/>
    <w:rsid w:val="06C66B0D"/>
    <w:rsid w:val="06C743CC"/>
    <w:rsid w:val="06D13635"/>
    <w:rsid w:val="06D33389"/>
    <w:rsid w:val="06E269E0"/>
    <w:rsid w:val="06FC4B3E"/>
    <w:rsid w:val="06FE437E"/>
    <w:rsid w:val="070868C7"/>
    <w:rsid w:val="07113BAF"/>
    <w:rsid w:val="07334B24"/>
    <w:rsid w:val="07465DF0"/>
    <w:rsid w:val="0750135F"/>
    <w:rsid w:val="075D322A"/>
    <w:rsid w:val="076D6513"/>
    <w:rsid w:val="0775504D"/>
    <w:rsid w:val="07787C6A"/>
    <w:rsid w:val="07912906"/>
    <w:rsid w:val="07953BC3"/>
    <w:rsid w:val="079C3EC4"/>
    <w:rsid w:val="07A62D33"/>
    <w:rsid w:val="07C8501D"/>
    <w:rsid w:val="07D305D3"/>
    <w:rsid w:val="07D94EB6"/>
    <w:rsid w:val="07EB0BDA"/>
    <w:rsid w:val="07F21CD6"/>
    <w:rsid w:val="07FA36D0"/>
    <w:rsid w:val="082025E1"/>
    <w:rsid w:val="082770CF"/>
    <w:rsid w:val="082F1CF8"/>
    <w:rsid w:val="082F6031"/>
    <w:rsid w:val="08336636"/>
    <w:rsid w:val="08367CC0"/>
    <w:rsid w:val="08444A26"/>
    <w:rsid w:val="0869623A"/>
    <w:rsid w:val="088A7F5F"/>
    <w:rsid w:val="08A67509"/>
    <w:rsid w:val="08B070EC"/>
    <w:rsid w:val="08D3632B"/>
    <w:rsid w:val="08DC21FB"/>
    <w:rsid w:val="08DD4532"/>
    <w:rsid w:val="08E07583"/>
    <w:rsid w:val="08F5733C"/>
    <w:rsid w:val="09056282"/>
    <w:rsid w:val="090917CB"/>
    <w:rsid w:val="090F503C"/>
    <w:rsid w:val="09100193"/>
    <w:rsid w:val="091F3652"/>
    <w:rsid w:val="09231624"/>
    <w:rsid w:val="09303B81"/>
    <w:rsid w:val="093C1F68"/>
    <w:rsid w:val="093D421B"/>
    <w:rsid w:val="095621D3"/>
    <w:rsid w:val="095D095C"/>
    <w:rsid w:val="09646A02"/>
    <w:rsid w:val="096612C0"/>
    <w:rsid w:val="09683B2E"/>
    <w:rsid w:val="097255A3"/>
    <w:rsid w:val="097832F6"/>
    <w:rsid w:val="099E2256"/>
    <w:rsid w:val="09B37646"/>
    <w:rsid w:val="09CD27F9"/>
    <w:rsid w:val="09D569FC"/>
    <w:rsid w:val="09D726E9"/>
    <w:rsid w:val="09E0077E"/>
    <w:rsid w:val="09E24F7A"/>
    <w:rsid w:val="09F5305F"/>
    <w:rsid w:val="0A051F93"/>
    <w:rsid w:val="0A287494"/>
    <w:rsid w:val="0A2D3153"/>
    <w:rsid w:val="0A3208AE"/>
    <w:rsid w:val="0A5D06DB"/>
    <w:rsid w:val="0A660503"/>
    <w:rsid w:val="0A7749C9"/>
    <w:rsid w:val="0A896457"/>
    <w:rsid w:val="0A987BE4"/>
    <w:rsid w:val="0A9D03BC"/>
    <w:rsid w:val="0AA31963"/>
    <w:rsid w:val="0AA43DC8"/>
    <w:rsid w:val="0AAD44AA"/>
    <w:rsid w:val="0AB10479"/>
    <w:rsid w:val="0AC64FEA"/>
    <w:rsid w:val="0AD067A9"/>
    <w:rsid w:val="0AE541F1"/>
    <w:rsid w:val="0AF5056E"/>
    <w:rsid w:val="0B001CAE"/>
    <w:rsid w:val="0B027084"/>
    <w:rsid w:val="0B224DC6"/>
    <w:rsid w:val="0B23759E"/>
    <w:rsid w:val="0B314B57"/>
    <w:rsid w:val="0B382D08"/>
    <w:rsid w:val="0B5275E0"/>
    <w:rsid w:val="0B540401"/>
    <w:rsid w:val="0B597A55"/>
    <w:rsid w:val="0B5C5BE2"/>
    <w:rsid w:val="0B7C0033"/>
    <w:rsid w:val="0BA80456"/>
    <w:rsid w:val="0BAB26FE"/>
    <w:rsid w:val="0BB0648D"/>
    <w:rsid w:val="0BB32F0F"/>
    <w:rsid w:val="0BB54B14"/>
    <w:rsid w:val="0BBA4FFF"/>
    <w:rsid w:val="0BC13CEC"/>
    <w:rsid w:val="0BC5590F"/>
    <w:rsid w:val="0BC63CAD"/>
    <w:rsid w:val="0BCB720C"/>
    <w:rsid w:val="0BD912D6"/>
    <w:rsid w:val="0BDF68AE"/>
    <w:rsid w:val="0BE33857"/>
    <w:rsid w:val="0BEA7D3B"/>
    <w:rsid w:val="0C0F66FF"/>
    <w:rsid w:val="0C1167F4"/>
    <w:rsid w:val="0C210110"/>
    <w:rsid w:val="0C2C1FAA"/>
    <w:rsid w:val="0C357CCF"/>
    <w:rsid w:val="0C3602F1"/>
    <w:rsid w:val="0C4C3EA9"/>
    <w:rsid w:val="0C5114BF"/>
    <w:rsid w:val="0C5C286D"/>
    <w:rsid w:val="0C6D51E5"/>
    <w:rsid w:val="0C6D53F5"/>
    <w:rsid w:val="0C6F1B33"/>
    <w:rsid w:val="0C6F3960"/>
    <w:rsid w:val="0C74714C"/>
    <w:rsid w:val="0C8757E5"/>
    <w:rsid w:val="0CBA1B93"/>
    <w:rsid w:val="0CC73BBB"/>
    <w:rsid w:val="0CE560AB"/>
    <w:rsid w:val="0CE628C0"/>
    <w:rsid w:val="0CED53E0"/>
    <w:rsid w:val="0CF2292D"/>
    <w:rsid w:val="0CF33644"/>
    <w:rsid w:val="0CF5657D"/>
    <w:rsid w:val="0CFA4CF6"/>
    <w:rsid w:val="0D0C1620"/>
    <w:rsid w:val="0D1A0D7D"/>
    <w:rsid w:val="0D2766C4"/>
    <w:rsid w:val="0D3B30F1"/>
    <w:rsid w:val="0D444B80"/>
    <w:rsid w:val="0D5572BA"/>
    <w:rsid w:val="0D5E2993"/>
    <w:rsid w:val="0D5F4167"/>
    <w:rsid w:val="0D6109A6"/>
    <w:rsid w:val="0D644A18"/>
    <w:rsid w:val="0D723C7E"/>
    <w:rsid w:val="0D73619D"/>
    <w:rsid w:val="0D773809"/>
    <w:rsid w:val="0D7B68C1"/>
    <w:rsid w:val="0D947EA8"/>
    <w:rsid w:val="0DA66B9D"/>
    <w:rsid w:val="0DAD337F"/>
    <w:rsid w:val="0DCD1081"/>
    <w:rsid w:val="0E141759"/>
    <w:rsid w:val="0E291A0D"/>
    <w:rsid w:val="0E312591"/>
    <w:rsid w:val="0E8411D1"/>
    <w:rsid w:val="0E861AB2"/>
    <w:rsid w:val="0E8636C8"/>
    <w:rsid w:val="0E982FE7"/>
    <w:rsid w:val="0EA02A70"/>
    <w:rsid w:val="0EC73CBB"/>
    <w:rsid w:val="0ECF384D"/>
    <w:rsid w:val="0ED9769B"/>
    <w:rsid w:val="0EF10D38"/>
    <w:rsid w:val="0EFF0CDC"/>
    <w:rsid w:val="0F0767AD"/>
    <w:rsid w:val="0F255825"/>
    <w:rsid w:val="0F396CB8"/>
    <w:rsid w:val="0F452A30"/>
    <w:rsid w:val="0F480E28"/>
    <w:rsid w:val="0F536D68"/>
    <w:rsid w:val="0F5B3E93"/>
    <w:rsid w:val="0F6C1BFC"/>
    <w:rsid w:val="0F786D63"/>
    <w:rsid w:val="0F7C2CF7"/>
    <w:rsid w:val="0F873994"/>
    <w:rsid w:val="0F876D07"/>
    <w:rsid w:val="0FAA2654"/>
    <w:rsid w:val="0FB25328"/>
    <w:rsid w:val="0FBD6A10"/>
    <w:rsid w:val="0FCA30AB"/>
    <w:rsid w:val="0FDB0BA8"/>
    <w:rsid w:val="0FE75644"/>
    <w:rsid w:val="1008596E"/>
    <w:rsid w:val="10157FD4"/>
    <w:rsid w:val="1021649D"/>
    <w:rsid w:val="1025513D"/>
    <w:rsid w:val="102756DC"/>
    <w:rsid w:val="103F5AD3"/>
    <w:rsid w:val="10404795"/>
    <w:rsid w:val="106954C8"/>
    <w:rsid w:val="106E63F3"/>
    <w:rsid w:val="10A45621"/>
    <w:rsid w:val="10B823DF"/>
    <w:rsid w:val="10B9561A"/>
    <w:rsid w:val="10D16104"/>
    <w:rsid w:val="10D22B52"/>
    <w:rsid w:val="10D92BC4"/>
    <w:rsid w:val="10DB01C8"/>
    <w:rsid w:val="10DF07AC"/>
    <w:rsid w:val="10EF77B8"/>
    <w:rsid w:val="10F438F4"/>
    <w:rsid w:val="110A206C"/>
    <w:rsid w:val="111F1C5D"/>
    <w:rsid w:val="1125116C"/>
    <w:rsid w:val="112A78A5"/>
    <w:rsid w:val="113A7B4F"/>
    <w:rsid w:val="114C52BE"/>
    <w:rsid w:val="11732FA9"/>
    <w:rsid w:val="11835407"/>
    <w:rsid w:val="11890DA7"/>
    <w:rsid w:val="11987B90"/>
    <w:rsid w:val="119C670C"/>
    <w:rsid w:val="11B94F2C"/>
    <w:rsid w:val="11C669F2"/>
    <w:rsid w:val="11CC056B"/>
    <w:rsid w:val="11D75E60"/>
    <w:rsid w:val="11F211B2"/>
    <w:rsid w:val="12113875"/>
    <w:rsid w:val="12187B79"/>
    <w:rsid w:val="123705BE"/>
    <w:rsid w:val="123845ED"/>
    <w:rsid w:val="12466189"/>
    <w:rsid w:val="12504576"/>
    <w:rsid w:val="125A5631"/>
    <w:rsid w:val="12606739"/>
    <w:rsid w:val="12611DF3"/>
    <w:rsid w:val="127945B5"/>
    <w:rsid w:val="127950DA"/>
    <w:rsid w:val="128935A7"/>
    <w:rsid w:val="128A32F1"/>
    <w:rsid w:val="128B0235"/>
    <w:rsid w:val="12986792"/>
    <w:rsid w:val="12BC5227"/>
    <w:rsid w:val="12BF3EBF"/>
    <w:rsid w:val="12D46E7B"/>
    <w:rsid w:val="12DD6EFA"/>
    <w:rsid w:val="12EE74B1"/>
    <w:rsid w:val="13143C4B"/>
    <w:rsid w:val="13144FF5"/>
    <w:rsid w:val="131D36D4"/>
    <w:rsid w:val="13220D35"/>
    <w:rsid w:val="13375318"/>
    <w:rsid w:val="133B4272"/>
    <w:rsid w:val="13416360"/>
    <w:rsid w:val="134D4EEE"/>
    <w:rsid w:val="13547EA6"/>
    <w:rsid w:val="135863A6"/>
    <w:rsid w:val="135D7F16"/>
    <w:rsid w:val="13601B67"/>
    <w:rsid w:val="13637D2A"/>
    <w:rsid w:val="13753589"/>
    <w:rsid w:val="137F6567"/>
    <w:rsid w:val="137F6846"/>
    <w:rsid w:val="137F707B"/>
    <w:rsid w:val="138C3EEE"/>
    <w:rsid w:val="13961EAE"/>
    <w:rsid w:val="13975A0A"/>
    <w:rsid w:val="13AC4813"/>
    <w:rsid w:val="13B42857"/>
    <w:rsid w:val="13C15AB3"/>
    <w:rsid w:val="13C20C1E"/>
    <w:rsid w:val="13F55499"/>
    <w:rsid w:val="13F75965"/>
    <w:rsid w:val="13F87B02"/>
    <w:rsid w:val="140A2064"/>
    <w:rsid w:val="14123796"/>
    <w:rsid w:val="141937EB"/>
    <w:rsid w:val="145F1D42"/>
    <w:rsid w:val="14611DF7"/>
    <w:rsid w:val="146401FE"/>
    <w:rsid w:val="14724B59"/>
    <w:rsid w:val="147321EF"/>
    <w:rsid w:val="147342CD"/>
    <w:rsid w:val="1477046D"/>
    <w:rsid w:val="14812E91"/>
    <w:rsid w:val="1488534A"/>
    <w:rsid w:val="14900BAD"/>
    <w:rsid w:val="149C7701"/>
    <w:rsid w:val="14A724C0"/>
    <w:rsid w:val="14B70650"/>
    <w:rsid w:val="14BF2190"/>
    <w:rsid w:val="14C85056"/>
    <w:rsid w:val="14ED7728"/>
    <w:rsid w:val="15065DE9"/>
    <w:rsid w:val="1507463D"/>
    <w:rsid w:val="150955A7"/>
    <w:rsid w:val="1514725A"/>
    <w:rsid w:val="15175270"/>
    <w:rsid w:val="152467F1"/>
    <w:rsid w:val="15397733"/>
    <w:rsid w:val="1545051F"/>
    <w:rsid w:val="15475B55"/>
    <w:rsid w:val="1552345D"/>
    <w:rsid w:val="15802C9C"/>
    <w:rsid w:val="15867893"/>
    <w:rsid w:val="15913E36"/>
    <w:rsid w:val="15A02E09"/>
    <w:rsid w:val="15B234E2"/>
    <w:rsid w:val="15C202C9"/>
    <w:rsid w:val="15CC0287"/>
    <w:rsid w:val="15D64D53"/>
    <w:rsid w:val="15DA3A7D"/>
    <w:rsid w:val="15F2609F"/>
    <w:rsid w:val="15FA7DD9"/>
    <w:rsid w:val="16202C7A"/>
    <w:rsid w:val="16227A29"/>
    <w:rsid w:val="162B4B2F"/>
    <w:rsid w:val="162C47C7"/>
    <w:rsid w:val="1639623B"/>
    <w:rsid w:val="16461C0D"/>
    <w:rsid w:val="16483CC0"/>
    <w:rsid w:val="165D61B6"/>
    <w:rsid w:val="166F352A"/>
    <w:rsid w:val="1670169E"/>
    <w:rsid w:val="16731333"/>
    <w:rsid w:val="16930926"/>
    <w:rsid w:val="16957051"/>
    <w:rsid w:val="169C6879"/>
    <w:rsid w:val="169E445C"/>
    <w:rsid w:val="16A0247D"/>
    <w:rsid w:val="16BC4FDA"/>
    <w:rsid w:val="16C60CFC"/>
    <w:rsid w:val="16DC449A"/>
    <w:rsid w:val="16E20019"/>
    <w:rsid w:val="16E6352E"/>
    <w:rsid w:val="16FC0C31"/>
    <w:rsid w:val="17017F86"/>
    <w:rsid w:val="170F2D89"/>
    <w:rsid w:val="17111F66"/>
    <w:rsid w:val="171664DB"/>
    <w:rsid w:val="172F7590"/>
    <w:rsid w:val="173753F0"/>
    <w:rsid w:val="17477CBB"/>
    <w:rsid w:val="175D4C5F"/>
    <w:rsid w:val="175E0F34"/>
    <w:rsid w:val="17645E3D"/>
    <w:rsid w:val="176B421A"/>
    <w:rsid w:val="177015A0"/>
    <w:rsid w:val="17842B8C"/>
    <w:rsid w:val="17852B00"/>
    <w:rsid w:val="178A7EFF"/>
    <w:rsid w:val="17A3683F"/>
    <w:rsid w:val="17A72EF9"/>
    <w:rsid w:val="17B11229"/>
    <w:rsid w:val="17D36886"/>
    <w:rsid w:val="17E112AA"/>
    <w:rsid w:val="17EA54FA"/>
    <w:rsid w:val="17FC2FA4"/>
    <w:rsid w:val="17FE1A89"/>
    <w:rsid w:val="1808535E"/>
    <w:rsid w:val="180E2895"/>
    <w:rsid w:val="18167A61"/>
    <w:rsid w:val="181A5423"/>
    <w:rsid w:val="18301240"/>
    <w:rsid w:val="183216CF"/>
    <w:rsid w:val="183879D7"/>
    <w:rsid w:val="183D7425"/>
    <w:rsid w:val="184221A8"/>
    <w:rsid w:val="18443480"/>
    <w:rsid w:val="184B4A34"/>
    <w:rsid w:val="184C217A"/>
    <w:rsid w:val="184D1CD5"/>
    <w:rsid w:val="18573016"/>
    <w:rsid w:val="1858795A"/>
    <w:rsid w:val="186364ED"/>
    <w:rsid w:val="18706CE5"/>
    <w:rsid w:val="18760C73"/>
    <w:rsid w:val="18865227"/>
    <w:rsid w:val="189F35B2"/>
    <w:rsid w:val="18BA7315"/>
    <w:rsid w:val="18BB10D5"/>
    <w:rsid w:val="18C93389"/>
    <w:rsid w:val="18D42202"/>
    <w:rsid w:val="18FB5842"/>
    <w:rsid w:val="191C4B27"/>
    <w:rsid w:val="192F2B88"/>
    <w:rsid w:val="19362A2E"/>
    <w:rsid w:val="193C13BA"/>
    <w:rsid w:val="19491386"/>
    <w:rsid w:val="194D1ACE"/>
    <w:rsid w:val="195425C1"/>
    <w:rsid w:val="19615E52"/>
    <w:rsid w:val="196C3A8D"/>
    <w:rsid w:val="196E0A14"/>
    <w:rsid w:val="197962B5"/>
    <w:rsid w:val="197B6161"/>
    <w:rsid w:val="19984A06"/>
    <w:rsid w:val="19A811FB"/>
    <w:rsid w:val="19AA5337"/>
    <w:rsid w:val="19E85B0A"/>
    <w:rsid w:val="19F15B94"/>
    <w:rsid w:val="19FA7111"/>
    <w:rsid w:val="1A194AC9"/>
    <w:rsid w:val="1A1D69A1"/>
    <w:rsid w:val="1A29230B"/>
    <w:rsid w:val="1A2E719A"/>
    <w:rsid w:val="1A341830"/>
    <w:rsid w:val="1A400C89"/>
    <w:rsid w:val="1A472154"/>
    <w:rsid w:val="1A4922AC"/>
    <w:rsid w:val="1A5504AB"/>
    <w:rsid w:val="1A587688"/>
    <w:rsid w:val="1A5B5542"/>
    <w:rsid w:val="1A65506E"/>
    <w:rsid w:val="1A684EB0"/>
    <w:rsid w:val="1A6D1DE9"/>
    <w:rsid w:val="1A843606"/>
    <w:rsid w:val="1A8706C1"/>
    <w:rsid w:val="1A91309B"/>
    <w:rsid w:val="1A98475D"/>
    <w:rsid w:val="1A9C1405"/>
    <w:rsid w:val="1AB21B0D"/>
    <w:rsid w:val="1AC83294"/>
    <w:rsid w:val="1AD35795"/>
    <w:rsid w:val="1AD623D8"/>
    <w:rsid w:val="1AD96FDC"/>
    <w:rsid w:val="1ADA7CE3"/>
    <w:rsid w:val="1ADC0CAE"/>
    <w:rsid w:val="1ADD5358"/>
    <w:rsid w:val="1AFE78BC"/>
    <w:rsid w:val="1AFF01D9"/>
    <w:rsid w:val="1B060634"/>
    <w:rsid w:val="1B130340"/>
    <w:rsid w:val="1B3D361D"/>
    <w:rsid w:val="1B442196"/>
    <w:rsid w:val="1B4A111D"/>
    <w:rsid w:val="1B521214"/>
    <w:rsid w:val="1B682565"/>
    <w:rsid w:val="1B7C53E4"/>
    <w:rsid w:val="1B7F1172"/>
    <w:rsid w:val="1B83312D"/>
    <w:rsid w:val="1B836EBB"/>
    <w:rsid w:val="1B843AAE"/>
    <w:rsid w:val="1B8F4E9B"/>
    <w:rsid w:val="1B966EEF"/>
    <w:rsid w:val="1B9B1F73"/>
    <w:rsid w:val="1B9D5E5B"/>
    <w:rsid w:val="1BAF6901"/>
    <w:rsid w:val="1BC577D4"/>
    <w:rsid w:val="1BDB6708"/>
    <w:rsid w:val="1BE2205E"/>
    <w:rsid w:val="1BEB0DE5"/>
    <w:rsid w:val="1BEF65FF"/>
    <w:rsid w:val="1BFC5D71"/>
    <w:rsid w:val="1BFF1C05"/>
    <w:rsid w:val="1C12015C"/>
    <w:rsid w:val="1C1D316C"/>
    <w:rsid w:val="1C215A59"/>
    <w:rsid w:val="1C26614A"/>
    <w:rsid w:val="1C31256F"/>
    <w:rsid w:val="1C357AF6"/>
    <w:rsid w:val="1C3861F8"/>
    <w:rsid w:val="1C4145B1"/>
    <w:rsid w:val="1C453B5F"/>
    <w:rsid w:val="1C5A1B20"/>
    <w:rsid w:val="1C653E23"/>
    <w:rsid w:val="1C714CAF"/>
    <w:rsid w:val="1C734A65"/>
    <w:rsid w:val="1C962084"/>
    <w:rsid w:val="1C962565"/>
    <w:rsid w:val="1C9A0C60"/>
    <w:rsid w:val="1C9A7F75"/>
    <w:rsid w:val="1C9B45A9"/>
    <w:rsid w:val="1CAB38E5"/>
    <w:rsid w:val="1CC553E0"/>
    <w:rsid w:val="1CC57E86"/>
    <w:rsid w:val="1CCC2E88"/>
    <w:rsid w:val="1CDF4578"/>
    <w:rsid w:val="1CEC1E3C"/>
    <w:rsid w:val="1D057694"/>
    <w:rsid w:val="1D206866"/>
    <w:rsid w:val="1D214EDE"/>
    <w:rsid w:val="1D244F75"/>
    <w:rsid w:val="1D3942BE"/>
    <w:rsid w:val="1D5B11AD"/>
    <w:rsid w:val="1D657EC1"/>
    <w:rsid w:val="1D6A23BD"/>
    <w:rsid w:val="1D74776F"/>
    <w:rsid w:val="1D772B3C"/>
    <w:rsid w:val="1D930794"/>
    <w:rsid w:val="1DA44565"/>
    <w:rsid w:val="1DAC4291"/>
    <w:rsid w:val="1DB00595"/>
    <w:rsid w:val="1DC463A6"/>
    <w:rsid w:val="1DC71AEB"/>
    <w:rsid w:val="1DCA10D2"/>
    <w:rsid w:val="1DCF493A"/>
    <w:rsid w:val="1DDC0E05"/>
    <w:rsid w:val="1DDC3556"/>
    <w:rsid w:val="1DE923A9"/>
    <w:rsid w:val="1DEF36DC"/>
    <w:rsid w:val="1DFE7403"/>
    <w:rsid w:val="1E183B21"/>
    <w:rsid w:val="1E1F631D"/>
    <w:rsid w:val="1E23439A"/>
    <w:rsid w:val="1E297985"/>
    <w:rsid w:val="1E43364C"/>
    <w:rsid w:val="1E5048E9"/>
    <w:rsid w:val="1E5170FD"/>
    <w:rsid w:val="1E6B618B"/>
    <w:rsid w:val="1E6D20BF"/>
    <w:rsid w:val="1E9722D7"/>
    <w:rsid w:val="1E972969"/>
    <w:rsid w:val="1EC70808"/>
    <w:rsid w:val="1ED80584"/>
    <w:rsid w:val="1ED90602"/>
    <w:rsid w:val="1EDE12AA"/>
    <w:rsid w:val="1EEC4711"/>
    <w:rsid w:val="1EED4F42"/>
    <w:rsid w:val="1EF16284"/>
    <w:rsid w:val="1F093E7B"/>
    <w:rsid w:val="1F0C4E74"/>
    <w:rsid w:val="1F14646A"/>
    <w:rsid w:val="1F17597D"/>
    <w:rsid w:val="1F241A97"/>
    <w:rsid w:val="1F3C3E4D"/>
    <w:rsid w:val="1F525C4A"/>
    <w:rsid w:val="1F5D22FA"/>
    <w:rsid w:val="1F632F68"/>
    <w:rsid w:val="1F666BD8"/>
    <w:rsid w:val="1F6F11CE"/>
    <w:rsid w:val="1F824149"/>
    <w:rsid w:val="1F8E4729"/>
    <w:rsid w:val="1F984A77"/>
    <w:rsid w:val="1FB265FC"/>
    <w:rsid w:val="1FB77D21"/>
    <w:rsid w:val="1FC30444"/>
    <w:rsid w:val="1FC3327D"/>
    <w:rsid w:val="1FC458FA"/>
    <w:rsid w:val="1FC550A9"/>
    <w:rsid w:val="1FC92901"/>
    <w:rsid w:val="1FC944CC"/>
    <w:rsid w:val="1FD7207E"/>
    <w:rsid w:val="20043564"/>
    <w:rsid w:val="200C22AF"/>
    <w:rsid w:val="200F1780"/>
    <w:rsid w:val="201577D1"/>
    <w:rsid w:val="201B7145"/>
    <w:rsid w:val="202811B2"/>
    <w:rsid w:val="20330620"/>
    <w:rsid w:val="20360B89"/>
    <w:rsid w:val="2038554C"/>
    <w:rsid w:val="203F535C"/>
    <w:rsid w:val="204A3287"/>
    <w:rsid w:val="207672EF"/>
    <w:rsid w:val="2089721F"/>
    <w:rsid w:val="20A57BD4"/>
    <w:rsid w:val="20AC0F62"/>
    <w:rsid w:val="20E12B1A"/>
    <w:rsid w:val="20F32B29"/>
    <w:rsid w:val="20F436AF"/>
    <w:rsid w:val="20FE7191"/>
    <w:rsid w:val="210E5167"/>
    <w:rsid w:val="21225FB5"/>
    <w:rsid w:val="2125126B"/>
    <w:rsid w:val="21295FDB"/>
    <w:rsid w:val="21372513"/>
    <w:rsid w:val="21382E39"/>
    <w:rsid w:val="213A34D5"/>
    <w:rsid w:val="214F2194"/>
    <w:rsid w:val="21522E63"/>
    <w:rsid w:val="21542F57"/>
    <w:rsid w:val="21570F0E"/>
    <w:rsid w:val="216C46AC"/>
    <w:rsid w:val="217412F4"/>
    <w:rsid w:val="21755202"/>
    <w:rsid w:val="219D08AB"/>
    <w:rsid w:val="21AF0D0A"/>
    <w:rsid w:val="21B71B49"/>
    <w:rsid w:val="21BC64B6"/>
    <w:rsid w:val="21F36D18"/>
    <w:rsid w:val="21F91F85"/>
    <w:rsid w:val="22010BD2"/>
    <w:rsid w:val="220F4E14"/>
    <w:rsid w:val="22107E09"/>
    <w:rsid w:val="22272600"/>
    <w:rsid w:val="22282B37"/>
    <w:rsid w:val="22512C28"/>
    <w:rsid w:val="22605766"/>
    <w:rsid w:val="226358D7"/>
    <w:rsid w:val="22740F86"/>
    <w:rsid w:val="227C2F3E"/>
    <w:rsid w:val="228D585C"/>
    <w:rsid w:val="228D6E90"/>
    <w:rsid w:val="229B7A9F"/>
    <w:rsid w:val="22A46C93"/>
    <w:rsid w:val="22CB3CC7"/>
    <w:rsid w:val="22CB7965"/>
    <w:rsid w:val="22CD7CDC"/>
    <w:rsid w:val="22DF05B9"/>
    <w:rsid w:val="22F369D5"/>
    <w:rsid w:val="22F938B0"/>
    <w:rsid w:val="231524A1"/>
    <w:rsid w:val="231F4D21"/>
    <w:rsid w:val="232149CB"/>
    <w:rsid w:val="23226BD2"/>
    <w:rsid w:val="233A1437"/>
    <w:rsid w:val="234D6423"/>
    <w:rsid w:val="2352267C"/>
    <w:rsid w:val="2369411C"/>
    <w:rsid w:val="23723FB2"/>
    <w:rsid w:val="237F11E8"/>
    <w:rsid w:val="238B6B2F"/>
    <w:rsid w:val="23A82330"/>
    <w:rsid w:val="23AD746D"/>
    <w:rsid w:val="23B238F3"/>
    <w:rsid w:val="23B26890"/>
    <w:rsid w:val="23B35B8C"/>
    <w:rsid w:val="23BC23F2"/>
    <w:rsid w:val="23BC326A"/>
    <w:rsid w:val="23D621F3"/>
    <w:rsid w:val="23D7572A"/>
    <w:rsid w:val="23F53A64"/>
    <w:rsid w:val="24040D47"/>
    <w:rsid w:val="240C0922"/>
    <w:rsid w:val="242641B0"/>
    <w:rsid w:val="242F6132"/>
    <w:rsid w:val="243F5AD4"/>
    <w:rsid w:val="24547947"/>
    <w:rsid w:val="246E170F"/>
    <w:rsid w:val="248C46DB"/>
    <w:rsid w:val="24A470AB"/>
    <w:rsid w:val="24B53C91"/>
    <w:rsid w:val="24CD63F4"/>
    <w:rsid w:val="24D9338E"/>
    <w:rsid w:val="24D9405A"/>
    <w:rsid w:val="24DA3B70"/>
    <w:rsid w:val="24E94533"/>
    <w:rsid w:val="24EB6AB2"/>
    <w:rsid w:val="251A17BA"/>
    <w:rsid w:val="252E0E86"/>
    <w:rsid w:val="25393012"/>
    <w:rsid w:val="254351B5"/>
    <w:rsid w:val="25441769"/>
    <w:rsid w:val="254827C3"/>
    <w:rsid w:val="255B2BBB"/>
    <w:rsid w:val="25630269"/>
    <w:rsid w:val="25733E15"/>
    <w:rsid w:val="25754019"/>
    <w:rsid w:val="258515B6"/>
    <w:rsid w:val="258673E1"/>
    <w:rsid w:val="259C77F7"/>
    <w:rsid w:val="25A23644"/>
    <w:rsid w:val="25AF47BF"/>
    <w:rsid w:val="25BB10B1"/>
    <w:rsid w:val="25C23946"/>
    <w:rsid w:val="25D5147F"/>
    <w:rsid w:val="25E726BE"/>
    <w:rsid w:val="25E801DA"/>
    <w:rsid w:val="25EC1E16"/>
    <w:rsid w:val="262D044F"/>
    <w:rsid w:val="262E4FBD"/>
    <w:rsid w:val="26340D7F"/>
    <w:rsid w:val="2637510B"/>
    <w:rsid w:val="26413FA5"/>
    <w:rsid w:val="26622488"/>
    <w:rsid w:val="267D54B0"/>
    <w:rsid w:val="268216E7"/>
    <w:rsid w:val="26834AA8"/>
    <w:rsid w:val="26961E54"/>
    <w:rsid w:val="26991546"/>
    <w:rsid w:val="26993574"/>
    <w:rsid w:val="26C568DA"/>
    <w:rsid w:val="26DA61FA"/>
    <w:rsid w:val="26F96584"/>
    <w:rsid w:val="27014D1A"/>
    <w:rsid w:val="27094C2E"/>
    <w:rsid w:val="27103643"/>
    <w:rsid w:val="271A42BC"/>
    <w:rsid w:val="271B474C"/>
    <w:rsid w:val="271C7D5D"/>
    <w:rsid w:val="271E5E10"/>
    <w:rsid w:val="271F618E"/>
    <w:rsid w:val="272710AB"/>
    <w:rsid w:val="2732370B"/>
    <w:rsid w:val="274B6F9C"/>
    <w:rsid w:val="2764572C"/>
    <w:rsid w:val="27647E24"/>
    <w:rsid w:val="276B055C"/>
    <w:rsid w:val="276C172A"/>
    <w:rsid w:val="276E3EB3"/>
    <w:rsid w:val="277D7682"/>
    <w:rsid w:val="278347D0"/>
    <w:rsid w:val="27880201"/>
    <w:rsid w:val="279544FE"/>
    <w:rsid w:val="279B6EE9"/>
    <w:rsid w:val="279F3DD6"/>
    <w:rsid w:val="27A32625"/>
    <w:rsid w:val="27B60512"/>
    <w:rsid w:val="27C9064C"/>
    <w:rsid w:val="27CA411C"/>
    <w:rsid w:val="27CE771E"/>
    <w:rsid w:val="27D95992"/>
    <w:rsid w:val="27DD4159"/>
    <w:rsid w:val="27ED3AF2"/>
    <w:rsid w:val="27FC4585"/>
    <w:rsid w:val="28074B68"/>
    <w:rsid w:val="28101D79"/>
    <w:rsid w:val="281766C5"/>
    <w:rsid w:val="28195993"/>
    <w:rsid w:val="28223330"/>
    <w:rsid w:val="28427C92"/>
    <w:rsid w:val="284A5275"/>
    <w:rsid w:val="285015FC"/>
    <w:rsid w:val="28566561"/>
    <w:rsid w:val="285A13EB"/>
    <w:rsid w:val="28672752"/>
    <w:rsid w:val="2874343B"/>
    <w:rsid w:val="287B4A8B"/>
    <w:rsid w:val="287E61F6"/>
    <w:rsid w:val="288017F6"/>
    <w:rsid w:val="2899001E"/>
    <w:rsid w:val="289C2485"/>
    <w:rsid w:val="28CB21A2"/>
    <w:rsid w:val="29272F79"/>
    <w:rsid w:val="292E122D"/>
    <w:rsid w:val="292F6E03"/>
    <w:rsid w:val="293F0393"/>
    <w:rsid w:val="294D4FA8"/>
    <w:rsid w:val="29621DA3"/>
    <w:rsid w:val="29684A53"/>
    <w:rsid w:val="296D28BB"/>
    <w:rsid w:val="296E6593"/>
    <w:rsid w:val="29752063"/>
    <w:rsid w:val="299346EC"/>
    <w:rsid w:val="29994B8F"/>
    <w:rsid w:val="29A44FEE"/>
    <w:rsid w:val="29A83333"/>
    <w:rsid w:val="29AB6313"/>
    <w:rsid w:val="29B9024C"/>
    <w:rsid w:val="29BD6731"/>
    <w:rsid w:val="29C66436"/>
    <w:rsid w:val="29CE7D64"/>
    <w:rsid w:val="29D13B88"/>
    <w:rsid w:val="29D52F7C"/>
    <w:rsid w:val="29D900E2"/>
    <w:rsid w:val="29F335C6"/>
    <w:rsid w:val="2A047AA7"/>
    <w:rsid w:val="2A1E3A7C"/>
    <w:rsid w:val="2A1F3BD1"/>
    <w:rsid w:val="2A20338A"/>
    <w:rsid w:val="2A2505E2"/>
    <w:rsid w:val="2A257D75"/>
    <w:rsid w:val="2A347150"/>
    <w:rsid w:val="2A526E19"/>
    <w:rsid w:val="2A7666FE"/>
    <w:rsid w:val="2A7968E5"/>
    <w:rsid w:val="2A8329A5"/>
    <w:rsid w:val="2A846041"/>
    <w:rsid w:val="2A9873FC"/>
    <w:rsid w:val="2A9E13F0"/>
    <w:rsid w:val="2AAD0A76"/>
    <w:rsid w:val="2AAD7C11"/>
    <w:rsid w:val="2AB53151"/>
    <w:rsid w:val="2ACF7D27"/>
    <w:rsid w:val="2AE252FD"/>
    <w:rsid w:val="2AF00BD2"/>
    <w:rsid w:val="2AFB7C7E"/>
    <w:rsid w:val="2AFF4C5E"/>
    <w:rsid w:val="2B0674C1"/>
    <w:rsid w:val="2B0973D0"/>
    <w:rsid w:val="2B1D1E4C"/>
    <w:rsid w:val="2B221834"/>
    <w:rsid w:val="2B257406"/>
    <w:rsid w:val="2B2D39A1"/>
    <w:rsid w:val="2B4858A6"/>
    <w:rsid w:val="2B4B02F1"/>
    <w:rsid w:val="2B54022C"/>
    <w:rsid w:val="2B7147AD"/>
    <w:rsid w:val="2B7508B0"/>
    <w:rsid w:val="2B755CCC"/>
    <w:rsid w:val="2B761837"/>
    <w:rsid w:val="2B843475"/>
    <w:rsid w:val="2B8F409E"/>
    <w:rsid w:val="2B932304"/>
    <w:rsid w:val="2B953F70"/>
    <w:rsid w:val="2BA06B20"/>
    <w:rsid w:val="2BA57C94"/>
    <w:rsid w:val="2BA70CA4"/>
    <w:rsid w:val="2BC450E9"/>
    <w:rsid w:val="2BCC1E86"/>
    <w:rsid w:val="2BCF368F"/>
    <w:rsid w:val="2BD61589"/>
    <w:rsid w:val="2BDE5DC4"/>
    <w:rsid w:val="2BE023A2"/>
    <w:rsid w:val="2BE15661"/>
    <w:rsid w:val="2BEA70D8"/>
    <w:rsid w:val="2BEB353F"/>
    <w:rsid w:val="2C002316"/>
    <w:rsid w:val="2C00602B"/>
    <w:rsid w:val="2C0F23A5"/>
    <w:rsid w:val="2C283B94"/>
    <w:rsid w:val="2C2A6BC2"/>
    <w:rsid w:val="2C335A8D"/>
    <w:rsid w:val="2C340776"/>
    <w:rsid w:val="2C4427CB"/>
    <w:rsid w:val="2C4D7328"/>
    <w:rsid w:val="2C692F40"/>
    <w:rsid w:val="2C6E018B"/>
    <w:rsid w:val="2C70607E"/>
    <w:rsid w:val="2C7F5FDB"/>
    <w:rsid w:val="2C834033"/>
    <w:rsid w:val="2C885732"/>
    <w:rsid w:val="2C8C4CAD"/>
    <w:rsid w:val="2C994E82"/>
    <w:rsid w:val="2C9C0043"/>
    <w:rsid w:val="2CA65189"/>
    <w:rsid w:val="2CB768C6"/>
    <w:rsid w:val="2CBA2815"/>
    <w:rsid w:val="2CBC7457"/>
    <w:rsid w:val="2CD37893"/>
    <w:rsid w:val="2CDB47D0"/>
    <w:rsid w:val="2CE711A2"/>
    <w:rsid w:val="2CE90E48"/>
    <w:rsid w:val="2D114186"/>
    <w:rsid w:val="2D121C67"/>
    <w:rsid w:val="2D13004D"/>
    <w:rsid w:val="2D1E07FE"/>
    <w:rsid w:val="2D402075"/>
    <w:rsid w:val="2D533741"/>
    <w:rsid w:val="2D5F476C"/>
    <w:rsid w:val="2D727E36"/>
    <w:rsid w:val="2D830F15"/>
    <w:rsid w:val="2D8545F9"/>
    <w:rsid w:val="2D8626E1"/>
    <w:rsid w:val="2D8673AF"/>
    <w:rsid w:val="2D8E227A"/>
    <w:rsid w:val="2D984736"/>
    <w:rsid w:val="2D9E1C33"/>
    <w:rsid w:val="2DB02333"/>
    <w:rsid w:val="2DB5731E"/>
    <w:rsid w:val="2DC3267A"/>
    <w:rsid w:val="2DCA4EEE"/>
    <w:rsid w:val="2DE96DA8"/>
    <w:rsid w:val="2DEC0BF0"/>
    <w:rsid w:val="2DF0367B"/>
    <w:rsid w:val="2DF24066"/>
    <w:rsid w:val="2DF4205E"/>
    <w:rsid w:val="2DFC5486"/>
    <w:rsid w:val="2DFD6615"/>
    <w:rsid w:val="2E030562"/>
    <w:rsid w:val="2E083F60"/>
    <w:rsid w:val="2E1576C9"/>
    <w:rsid w:val="2E2260E3"/>
    <w:rsid w:val="2E24689C"/>
    <w:rsid w:val="2E252158"/>
    <w:rsid w:val="2E2706C0"/>
    <w:rsid w:val="2E2E6A26"/>
    <w:rsid w:val="2E34546B"/>
    <w:rsid w:val="2E347CC0"/>
    <w:rsid w:val="2E4075FB"/>
    <w:rsid w:val="2E4408AD"/>
    <w:rsid w:val="2E481C0B"/>
    <w:rsid w:val="2E50114A"/>
    <w:rsid w:val="2E505DC8"/>
    <w:rsid w:val="2E5F0501"/>
    <w:rsid w:val="2E77789C"/>
    <w:rsid w:val="2E79730C"/>
    <w:rsid w:val="2E7C1119"/>
    <w:rsid w:val="2E810976"/>
    <w:rsid w:val="2E8625B6"/>
    <w:rsid w:val="2E8F4C67"/>
    <w:rsid w:val="2E985187"/>
    <w:rsid w:val="2EA51A31"/>
    <w:rsid w:val="2EAB7D19"/>
    <w:rsid w:val="2EB143AB"/>
    <w:rsid w:val="2EB25754"/>
    <w:rsid w:val="2EC87E56"/>
    <w:rsid w:val="2EF03468"/>
    <w:rsid w:val="2EF57E16"/>
    <w:rsid w:val="2F05497F"/>
    <w:rsid w:val="2F097580"/>
    <w:rsid w:val="2F0E6995"/>
    <w:rsid w:val="2F0F45BB"/>
    <w:rsid w:val="2F175B43"/>
    <w:rsid w:val="2F190F84"/>
    <w:rsid w:val="2F272971"/>
    <w:rsid w:val="2F370744"/>
    <w:rsid w:val="2F563CEC"/>
    <w:rsid w:val="2F662C24"/>
    <w:rsid w:val="2F6D2C3F"/>
    <w:rsid w:val="2F735A5A"/>
    <w:rsid w:val="2F780A97"/>
    <w:rsid w:val="2FA21303"/>
    <w:rsid w:val="2FAB0996"/>
    <w:rsid w:val="2FB76905"/>
    <w:rsid w:val="2FED7489"/>
    <w:rsid w:val="2FF2441D"/>
    <w:rsid w:val="2FFF6D66"/>
    <w:rsid w:val="30157B7D"/>
    <w:rsid w:val="301D5E40"/>
    <w:rsid w:val="30392B58"/>
    <w:rsid w:val="30444917"/>
    <w:rsid w:val="3065133F"/>
    <w:rsid w:val="3072125E"/>
    <w:rsid w:val="30917F22"/>
    <w:rsid w:val="309612E7"/>
    <w:rsid w:val="30964F18"/>
    <w:rsid w:val="309C38AE"/>
    <w:rsid w:val="309D332F"/>
    <w:rsid w:val="30A27C8C"/>
    <w:rsid w:val="30A92DC8"/>
    <w:rsid w:val="30AB2C6F"/>
    <w:rsid w:val="30B019E4"/>
    <w:rsid w:val="30CF7407"/>
    <w:rsid w:val="30D50F70"/>
    <w:rsid w:val="30F35BEE"/>
    <w:rsid w:val="30FB1A53"/>
    <w:rsid w:val="30FB2202"/>
    <w:rsid w:val="30FD6BB7"/>
    <w:rsid w:val="310A682A"/>
    <w:rsid w:val="31272772"/>
    <w:rsid w:val="313D6A50"/>
    <w:rsid w:val="314017A8"/>
    <w:rsid w:val="31447481"/>
    <w:rsid w:val="315E2C5D"/>
    <w:rsid w:val="317A3AE2"/>
    <w:rsid w:val="31876C4E"/>
    <w:rsid w:val="318B7797"/>
    <w:rsid w:val="3190427C"/>
    <w:rsid w:val="31A0287D"/>
    <w:rsid w:val="31A96A3C"/>
    <w:rsid w:val="31B6327F"/>
    <w:rsid w:val="31B7051F"/>
    <w:rsid w:val="31BA18CF"/>
    <w:rsid w:val="31BD65C0"/>
    <w:rsid w:val="31BF595D"/>
    <w:rsid w:val="31D0697B"/>
    <w:rsid w:val="31D15B5B"/>
    <w:rsid w:val="31D45325"/>
    <w:rsid w:val="31DE1172"/>
    <w:rsid w:val="31EF4324"/>
    <w:rsid w:val="31FE3D1F"/>
    <w:rsid w:val="320203CC"/>
    <w:rsid w:val="320B4AA5"/>
    <w:rsid w:val="320D0906"/>
    <w:rsid w:val="320D795D"/>
    <w:rsid w:val="322425CC"/>
    <w:rsid w:val="322A28E2"/>
    <w:rsid w:val="3248748E"/>
    <w:rsid w:val="32753BA5"/>
    <w:rsid w:val="327A6B54"/>
    <w:rsid w:val="328852EA"/>
    <w:rsid w:val="3290503E"/>
    <w:rsid w:val="3292478F"/>
    <w:rsid w:val="32943604"/>
    <w:rsid w:val="329819A3"/>
    <w:rsid w:val="329D337E"/>
    <w:rsid w:val="32AE5202"/>
    <w:rsid w:val="32B867A5"/>
    <w:rsid w:val="32C45EE3"/>
    <w:rsid w:val="32D83E39"/>
    <w:rsid w:val="32D95D11"/>
    <w:rsid w:val="32DB7292"/>
    <w:rsid w:val="32E63C31"/>
    <w:rsid w:val="32EA1BBB"/>
    <w:rsid w:val="32FC4FC8"/>
    <w:rsid w:val="330C4F8E"/>
    <w:rsid w:val="3310105A"/>
    <w:rsid w:val="332F1CF5"/>
    <w:rsid w:val="334329DA"/>
    <w:rsid w:val="335D280A"/>
    <w:rsid w:val="33606A4D"/>
    <w:rsid w:val="336C03D0"/>
    <w:rsid w:val="336E4830"/>
    <w:rsid w:val="336F654B"/>
    <w:rsid w:val="337B4EF0"/>
    <w:rsid w:val="337C47C4"/>
    <w:rsid w:val="33812B8B"/>
    <w:rsid w:val="33A620AF"/>
    <w:rsid w:val="33AD5E70"/>
    <w:rsid w:val="33B304C8"/>
    <w:rsid w:val="33BF4765"/>
    <w:rsid w:val="33CD7820"/>
    <w:rsid w:val="33D04B10"/>
    <w:rsid w:val="33D53ED4"/>
    <w:rsid w:val="33F36237"/>
    <w:rsid w:val="33F86541"/>
    <w:rsid w:val="341555A9"/>
    <w:rsid w:val="342F7A89"/>
    <w:rsid w:val="343202DF"/>
    <w:rsid w:val="343230D5"/>
    <w:rsid w:val="3434509F"/>
    <w:rsid w:val="34345BEF"/>
    <w:rsid w:val="34367058"/>
    <w:rsid w:val="3446629B"/>
    <w:rsid w:val="344C54C0"/>
    <w:rsid w:val="349F74FE"/>
    <w:rsid w:val="34AE1348"/>
    <w:rsid w:val="34AF040B"/>
    <w:rsid w:val="34C06223"/>
    <w:rsid w:val="34D245A4"/>
    <w:rsid w:val="34DF05C0"/>
    <w:rsid w:val="34E46AC5"/>
    <w:rsid w:val="34E73F8E"/>
    <w:rsid w:val="34F525AD"/>
    <w:rsid w:val="350523C5"/>
    <w:rsid w:val="35122F3E"/>
    <w:rsid w:val="35192974"/>
    <w:rsid w:val="353C2C16"/>
    <w:rsid w:val="355470B4"/>
    <w:rsid w:val="355B28B5"/>
    <w:rsid w:val="355D66E3"/>
    <w:rsid w:val="35660B8F"/>
    <w:rsid w:val="35900889"/>
    <w:rsid w:val="35A80DCB"/>
    <w:rsid w:val="35A868BB"/>
    <w:rsid w:val="35AB7650"/>
    <w:rsid w:val="35B12EE9"/>
    <w:rsid w:val="35BA5768"/>
    <w:rsid w:val="35C14175"/>
    <w:rsid w:val="35CC5176"/>
    <w:rsid w:val="35D57992"/>
    <w:rsid w:val="35D80EA8"/>
    <w:rsid w:val="35DC779C"/>
    <w:rsid w:val="35EA6D74"/>
    <w:rsid w:val="35F72828"/>
    <w:rsid w:val="35FE5515"/>
    <w:rsid w:val="360042C5"/>
    <w:rsid w:val="36116B71"/>
    <w:rsid w:val="361A67A3"/>
    <w:rsid w:val="362523AF"/>
    <w:rsid w:val="362B475A"/>
    <w:rsid w:val="364331CE"/>
    <w:rsid w:val="36486BE0"/>
    <w:rsid w:val="36601433"/>
    <w:rsid w:val="36612E7B"/>
    <w:rsid w:val="368846F8"/>
    <w:rsid w:val="36887968"/>
    <w:rsid w:val="36A22794"/>
    <w:rsid w:val="36AB1D7D"/>
    <w:rsid w:val="36B67FED"/>
    <w:rsid w:val="36BA7A1D"/>
    <w:rsid w:val="36BE74FD"/>
    <w:rsid w:val="36C111F1"/>
    <w:rsid w:val="36CF1F23"/>
    <w:rsid w:val="36D36A81"/>
    <w:rsid w:val="36DE12F2"/>
    <w:rsid w:val="36E506FF"/>
    <w:rsid w:val="36EF46F2"/>
    <w:rsid w:val="370473FC"/>
    <w:rsid w:val="370E1293"/>
    <w:rsid w:val="371F08FF"/>
    <w:rsid w:val="37332445"/>
    <w:rsid w:val="37515193"/>
    <w:rsid w:val="375241BA"/>
    <w:rsid w:val="376F1BC2"/>
    <w:rsid w:val="3775050A"/>
    <w:rsid w:val="37756454"/>
    <w:rsid w:val="378404DC"/>
    <w:rsid w:val="37864D32"/>
    <w:rsid w:val="37891321"/>
    <w:rsid w:val="378929AC"/>
    <w:rsid w:val="37996EBD"/>
    <w:rsid w:val="37A97B52"/>
    <w:rsid w:val="37E16F7E"/>
    <w:rsid w:val="37EC5FD3"/>
    <w:rsid w:val="380E004A"/>
    <w:rsid w:val="381B44C7"/>
    <w:rsid w:val="381C47C8"/>
    <w:rsid w:val="38494421"/>
    <w:rsid w:val="384F24A7"/>
    <w:rsid w:val="38607C49"/>
    <w:rsid w:val="386615A8"/>
    <w:rsid w:val="38677250"/>
    <w:rsid w:val="386921B5"/>
    <w:rsid w:val="387116BB"/>
    <w:rsid w:val="388D3F6B"/>
    <w:rsid w:val="388E5DEA"/>
    <w:rsid w:val="38A071A7"/>
    <w:rsid w:val="38A34600"/>
    <w:rsid w:val="38B25189"/>
    <w:rsid w:val="38BE7DA6"/>
    <w:rsid w:val="38C70599"/>
    <w:rsid w:val="38DE2180"/>
    <w:rsid w:val="38DF0131"/>
    <w:rsid w:val="38F45B4D"/>
    <w:rsid w:val="390B06C2"/>
    <w:rsid w:val="390F1814"/>
    <w:rsid w:val="39195A98"/>
    <w:rsid w:val="39246470"/>
    <w:rsid w:val="392C5FF3"/>
    <w:rsid w:val="39320AFB"/>
    <w:rsid w:val="39425DA6"/>
    <w:rsid w:val="39480DC1"/>
    <w:rsid w:val="394E275F"/>
    <w:rsid w:val="39574D04"/>
    <w:rsid w:val="39574D97"/>
    <w:rsid w:val="3958515F"/>
    <w:rsid w:val="395F0C01"/>
    <w:rsid w:val="396175FA"/>
    <w:rsid w:val="397F47C3"/>
    <w:rsid w:val="39830205"/>
    <w:rsid w:val="39BF668E"/>
    <w:rsid w:val="39C20FFA"/>
    <w:rsid w:val="39DB463C"/>
    <w:rsid w:val="39E8242A"/>
    <w:rsid w:val="3A14191B"/>
    <w:rsid w:val="3A1D1B2B"/>
    <w:rsid w:val="3A200D9A"/>
    <w:rsid w:val="3A327363"/>
    <w:rsid w:val="3A3C2EFF"/>
    <w:rsid w:val="3A3E1461"/>
    <w:rsid w:val="3A3E49A0"/>
    <w:rsid w:val="3A495508"/>
    <w:rsid w:val="3A4B6445"/>
    <w:rsid w:val="3A5F3180"/>
    <w:rsid w:val="3A647D60"/>
    <w:rsid w:val="3A797100"/>
    <w:rsid w:val="3A9852C0"/>
    <w:rsid w:val="3AA3771B"/>
    <w:rsid w:val="3AAA2689"/>
    <w:rsid w:val="3ACD591C"/>
    <w:rsid w:val="3B162593"/>
    <w:rsid w:val="3B34130F"/>
    <w:rsid w:val="3B386533"/>
    <w:rsid w:val="3B3E038D"/>
    <w:rsid w:val="3B4C6B46"/>
    <w:rsid w:val="3B63045E"/>
    <w:rsid w:val="3B6C511E"/>
    <w:rsid w:val="3B6E330E"/>
    <w:rsid w:val="3B935C54"/>
    <w:rsid w:val="3B9C3822"/>
    <w:rsid w:val="3BAA6369"/>
    <w:rsid w:val="3BAB227F"/>
    <w:rsid w:val="3BB242EB"/>
    <w:rsid w:val="3BB75DC8"/>
    <w:rsid w:val="3BB865B6"/>
    <w:rsid w:val="3BBB02B3"/>
    <w:rsid w:val="3BBF066E"/>
    <w:rsid w:val="3BC10677"/>
    <w:rsid w:val="3BCC68AE"/>
    <w:rsid w:val="3BD51A50"/>
    <w:rsid w:val="3BDE0C32"/>
    <w:rsid w:val="3BF2676F"/>
    <w:rsid w:val="3BF547C1"/>
    <w:rsid w:val="3BF60635"/>
    <w:rsid w:val="3BFA097C"/>
    <w:rsid w:val="3C02514D"/>
    <w:rsid w:val="3C0564F6"/>
    <w:rsid w:val="3C0E4970"/>
    <w:rsid w:val="3C1C6337"/>
    <w:rsid w:val="3C2B44AF"/>
    <w:rsid w:val="3C306F2C"/>
    <w:rsid w:val="3C3E4BFC"/>
    <w:rsid w:val="3C481E2A"/>
    <w:rsid w:val="3C62607B"/>
    <w:rsid w:val="3C735862"/>
    <w:rsid w:val="3C7540BA"/>
    <w:rsid w:val="3C987F0B"/>
    <w:rsid w:val="3CB1276B"/>
    <w:rsid w:val="3CC07239"/>
    <w:rsid w:val="3CC34589"/>
    <w:rsid w:val="3CCC4A1F"/>
    <w:rsid w:val="3CCE2775"/>
    <w:rsid w:val="3CD37F28"/>
    <w:rsid w:val="3CD720A5"/>
    <w:rsid w:val="3CE6012C"/>
    <w:rsid w:val="3D026B8D"/>
    <w:rsid w:val="3D057542"/>
    <w:rsid w:val="3D357A80"/>
    <w:rsid w:val="3D4224BC"/>
    <w:rsid w:val="3D4E6F80"/>
    <w:rsid w:val="3D691599"/>
    <w:rsid w:val="3D6B4C5D"/>
    <w:rsid w:val="3D6C54DE"/>
    <w:rsid w:val="3D736C38"/>
    <w:rsid w:val="3D7E002E"/>
    <w:rsid w:val="3D8B4FC2"/>
    <w:rsid w:val="3D9D63DD"/>
    <w:rsid w:val="3DA44D96"/>
    <w:rsid w:val="3DA96AAE"/>
    <w:rsid w:val="3DC17670"/>
    <w:rsid w:val="3DDD3115"/>
    <w:rsid w:val="3DE11BD6"/>
    <w:rsid w:val="3DE560E9"/>
    <w:rsid w:val="3DEF320A"/>
    <w:rsid w:val="3DF9026A"/>
    <w:rsid w:val="3E070FBB"/>
    <w:rsid w:val="3E086132"/>
    <w:rsid w:val="3E0D0100"/>
    <w:rsid w:val="3E201820"/>
    <w:rsid w:val="3E2449C7"/>
    <w:rsid w:val="3E3203CC"/>
    <w:rsid w:val="3E3277F5"/>
    <w:rsid w:val="3E385631"/>
    <w:rsid w:val="3E500C65"/>
    <w:rsid w:val="3E607B3A"/>
    <w:rsid w:val="3E746486"/>
    <w:rsid w:val="3E850BB3"/>
    <w:rsid w:val="3E8E10A0"/>
    <w:rsid w:val="3E9864C3"/>
    <w:rsid w:val="3EA4721C"/>
    <w:rsid w:val="3EAA57A7"/>
    <w:rsid w:val="3EB13E61"/>
    <w:rsid w:val="3EDB24DA"/>
    <w:rsid w:val="3EEE0AA7"/>
    <w:rsid w:val="3EF4646F"/>
    <w:rsid w:val="3EF95A1A"/>
    <w:rsid w:val="3EFC2C5D"/>
    <w:rsid w:val="3EFD3CA0"/>
    <w:rsid w:val="3F017BCB"/>
    <w:rsid w:val="3F0418BC"/>
    <w:rsid w:val="3F1735F3"/>
    <w:rsid w:val="3F1A24E5"/>
    <w:rsid w:val="3F1D24FF"/>
    <w:rsid w:val="3F2244FB"/>
    <w:rsid w:val="3F27089B"/>
    <w:rsid w:val="3F2860D3"/>
    <w:rsid w:val="3F29150D"/>
    <w:rsid w:val="3F666496"/>
    <w:rsid w:val="3F692F72"/>
    <w:rsid w:val="3F6B30DD"/>
    <w:rsid w:val="3F78133F"/>
    <w:rsid w:val="3F7B20AC"/>
    <w:rsid w:val="3F812FCE"/>
    <w:rsid w:val="3F8A0858"/>
    <w:rsid w:val="3F912228"/>
    <w:rsid w:val="3F9D6B49"/>
    <w:rsid w:val="3FB46D58"/>
    <w:rsid w:val="3FBE7F13"/>
    <w:rsid w:val="3FC4692A"/>
    <w:rsid w:val="3FD760E7"/>
    <w:rsid w:val="3FEF3631"/>
    <w:rsid w:val="3FF827FD"/>
    <w:rsid w:val="400625AD"/>
    <w:rsid w:val="402376B3"/>
    <w:rsid w:val="402540BB"/>
    <w:rsid w:val="402864AE"/>
    <w:rsid w:val="402E45BE"/>
    <w:rsid w:val="40326274"/>
    <w:rsid w:val="403F0C3F"/>
    <w:rsid w:val="40527B99"/>
    <w:rsid w:val="405B033F"/>
    <w:rsid w:val="407377F4"/>
    <w:rsid w:val="407C4056"/>
    <w:rsid w:val="407F029E"/>
    <w:rsid w:val="408D23B4"/>
    <w:rsid w:val="409E0076"/>
    <w:rsid w:val="40A435AC"/>
    <w:rsid w:val="40AF2A91"/>
    <w:rsid w:val="40C64EDE"/>
    <w:rsid w:val="40D3796C"/>
    <w:rsid w:val="40D43E92"/>
    <w:rsid w:val="40DC68A2"/>
    <w:rsid w:val="410D7DCF"/>
    <w:rsid w:val="41141310"/>
    <w:rsid w:val="411A28D2"/>
    <w:rsid w:val="412255C4"/>
    <w:rsid w:val="41375707"/>
    <w:rsid w:val="41432DC5"/>
    <w:rsid w:val="414876EC"/>
    <w:rsid w:val="415667E7"/>
    <w:rsid w:val="415D212E"/>
    <w:rsid w:val="416F232A"/>
    <w:rsid w:val="41732F67"/>
    <w:rsid w:val="41766CF7"/>
    <w:rsid w:val="41873F96"/>
    <w:rsid w:val="418807D8"/>
    <w:rsid w:val="418857B2"/>
    <w:rsid w:val="418D584D"/>
    <w:rsid w:val="41943C03"/>
    <w:rsid w:val="419755D7"/>
    <w:rsid w:val="41A03C8B"/>
    <w:rsid w:val="41A206D2"/>
    <w:rsid w:val="41A81E58"/>
    <w:rsid w:val="41B15F81"/>
    <w:rsid w:val="41B50895"/>
    <w:rsid w:val="41C22AF7"/>
    <w:rsid w:val="41D258DD"/>
    <w:rsid w:val="41DC60A2"/>
    <w:rsid w:val="41F15B69"/>
    <w:rsid w:val="41F64DC8"/>
    <w:rsid w:val="41F7515B"/>
    <w:rsid w:val="42123575"/>
    <w:rsid w:val="42220C2D"/>
    <w:rsid w:val="42240501"/>
    <w:rsid w:val="422F494C"/>
    <w:rsid w:val="42321407"/>
    <w:rsid w:val="42506103"/>
    <w:rsid w:val="4258708D"/>
    <w:rsid w:val="4260270F"/>
    <w:rsid w:val="4265250A"/>
    <w:rsid w:val="42683364"/>
    <w:rsid w:val="426D60E3"/>
    <w:rsid w:val="427760CC"/>
    <w:rsid w:val="42865934"/>
    <w:rsid w:val="428B67D2"/>
    <w:rsid w:val="42A1081F"/>
    <w:rsid w:val="42AD499A"/>
    <w:rsid w:val="42D34BCC"/>
    <w:rsid w:val="42F12EE9"/>
    <w:rsid w:val="43100E49"/>
    <w:rsid w:val="43156452"/>
    <w:rsid w:val="43184F42"/>
    <w:rsid w:val="43193DDE"/>
    <w:rsid w:val="43386283"/>
    <w:rsid w:val="434226EA"/>
    <w:rsid w:val="434937E5"/>
    <w:rsid w:val="435754F0"/>
    <w:rsid w:val="43652AAD"/>
    <w:rsid w:val="436B0FA0"/>
    <w:rsid w:val="436B18F6"/>
    <w:rsid w:val="4370315E"/>
    <w:rsid w:val="4374237D"/>
    <w:rsid w:val="43854F42"/>
    <w:rsid w:val="439714AA"/>
    <w:rsid w:val="43A875C4"/>
    <w:rsid w:val="43A96706"/>
    <w:rsid w:val="43AF0FCB"/>
    <w:rsid w:val="43C024AB"/>
    <w:rsid w:val="43D30430"/>
    <w:rsid w:val="43D3281B"/>
    <w:rsid w:val="43D45F57"/>
    <w:rsid w:val="443860B5"/>
    <w:rsid w:val="44396EB8"/>
    <w:rsid w:val="44476729"/>
    <w:rsid w:val="446B516E"/>
    <w:rsid w:val="44875B84"/>
    <w:rsid w:val="44960286"/>
    <w:rsid w:val="449A14D1"/>
    <w:rsid w:val="44A213AD"/>
    <w:rsid w:val="44A47206"/>
    <w:rsid w:val="44B817D3"/>
    <w:rsid w:val="44C71029"/>
    <w:rsid w:val="44DE52DF"/>
    <w:rsid w:val="44E401D2"/>
    <w:rsid w:val="44EA5944"/>
    <w:rsid w:val="4505456D"/>
    <w:rsid w:val="450E694E"/>
    <w:rsid w:val="451108D8"/>
    <w:rsid w:val="4546718B"/>
    <w:rsid w:val="454F4C9B"/>
    <w:rsid w:val="45656D24"/>
    <w:rsid w:val="45663891"/>
    <w:rsid w:val="45763769"/>
    <w:rsid w:val="45B81443"/>
    <w:rsid w:val="45CA13BF"/>
    <w:rsid w:val="45DD1606"/>
    <w:rsid w:val="45EE1C53"/>
    <w:rsid w:val="45F5697A"/>
    <w:rsid w:val="46102182"/>
    <w:rsid w:val="46164DE9"/>
    <w:rsid w:val="461D16F9"/>
    <w:rsid w:val="46256677"/>
    <w:rsid w:val="46271A1D"/>
    <w:rsid w:val="462E7BA0"/>
    <w:rsid w:val="4634552A"/>
    <w:rsid w:val="463D2654"/>
    <w:rsid w:val="46654BE9"/>
    <w:rsid w:val="466C1324"/>
    <w:rsid w:val="466D13E0"/>
    <w:rsid w:val="469D4D57"/>
    <w:rsid w:val="46A508F1"/>
    <w:rsid w:val="46A775AD"/>
    <w:rsid w:val="46B56088"/>
    <w:rsid w:val="46D4173A"/>
    <w:rsid w:val="46EB193A"/>
    <w:rsid w:val="470368A8"/>
    <w:rsid w:val="47060794"/>
    <w:rsid w:val="470C68D3"/>
    <w:rsid w:val="470D6BB6"/>
    <w:rsid w:val="47121CD2"/>
    <w:rsid w:val="47133383"/>
    <w:rsid w:val="47161C46"/>
    <w:rsid w:val="471A1ED2"/>
    <w:rsid w:val="471F46C0"/>
    <w:rsid w:val="47294CC4"/>
    <w:rsid w:val="472E597E"/>
    <w:rsid w:val="4734568A"/>
    <w:rsid w:val="47613538"/>
    <w:rsid w:val="4775065E"/>
    <w:rsid w:val="47940FC7"/>
    <w:rsid w:val="47944892"/>
    <w:rsid w:val="47954A4B"/>
    <w:rsid w:val="479A7A44"/>
    <w:rsid w:val="479F75A6"/>
    <w:rsid w:val="47C40B09"/>
    <w:rsid w:val="47CC1E65"/>
    <w:rsid w:val="47D81F55"/>
    <w:rsid w:val="47E16E0E"/>
    <w:rsid w:val="47F15C20"/>
    <w:rsid w:val="47F60B91"/>
    <w:rsid w:val="47F94B87"/>
    <w:rsid w:val="47FA1798"/>
    <w:rsid w:val="47FE06F0"/>
    <w:rsid w:val="480E546D"/>
    <w:rsid w:val="48132AF1"/>
    <w:rsid w:val="482808BE"/>
    <w:rsid w:val="482B573E"/>
    <w:rsid w:val="48491B92"/>
    <w:rsid w:val="484C60BA"/>
    <w:rsid w:val="485209FA"/>
    <w:rsid w:val="48557F6A"/>
    <w:rsid w:val="485E57A3"/>
    <w:rsid w:val="48873598"/>
    <w:rsid w:val="48920DF2"/>
    <w:rsid w:val="48CB4F04"/>
    <w:rsid w:val="48CE11C6"/>
    <w:rsid w:val="48D04F3E"/>
    <w:rsid w:val="48D76FE1"/>
    <w:rsid w:val="48E6175F"/>
    <w:rsid w:val="48EB3507"/>
    <w:rsid w:val="48FA645F"/>
    <w:rsid w:val="49102316"/>
    <w:rsid w:val="49115557"/>
    <w:rsid w:val="4915290D"/>
    <w:rsid w:val="49155047"/>
    <w:rsid w:val="49214F78"/>
    <w:rsid w:val="492A50AB"/>
    <w:rsid w:val="49560324"/>
    <w:rsid w:val="49590DDC"/>
    <w:rsid w:val="495E3633"/>
    <w:rsid w:val="496164DE"/>
    <w:rsid w:val="49667651"/>
    <w:rsid w:val="499046CE"/>
    <w:rsid w:val="499B3B12"/>
    <w:rsid w:val="499E7D54"/>
    <w:rsid w:val="49A31730"/>
    <w:rsid w:val="49A6312C"/>
    <w:rsid w:val="49AC3A88"/>
    <w:rsid w:val="49B265F0"/>
    <w:rsid w:val="49B74695"/>
    <w:rsid w:val="49C6115A"/>
    <w:rsid w:val="49CD632C"/>
    <w:rsid w:val="49FA561C"/>
    <w:rsid w:val="4A0325C3"/>
    <w:rsid w:val="4A0D28E1"/>
    <w:rsid w:val="4A0F6556"/>
    <w:rsid w:val="4A314680"/>
    <w:rsid w:val="4A317964"/>
    <w:rsid w:val="4A394D65"/>
    <w:rsid w:val="4A437378"/>
    <w:rsid w:val="4A454F3E"/>
    <w:rsid w:val="4A4A2ACF"/>
    <w:rsid w:val="4A4C39FB"/>
    <w:rsid w:val="4A6032C0"/>
    <w:rsid w:val="4A6D584C"/>
    <w:rsid w:val="4AA024E4"/>
    <w:rsid w:val="4AB0749D"/>
    <w:rsid w:val="4ABC5901"/>
    <w:rsid w:val="4ABE59DD"/>
    <w:rsid w:val="4ADA02F6"/>
    <w:rsid w:val="4AE36CC5"/>
    <w:rsid w:val="4AEB58B2"/>
    <w:rsid w:val="4B147F71"/>
    <w:rsid w:val="4B235EFC"/>
    <w:rsid w:val="4B3609CB"/>
    <w:rsid w:val="4B386DCB"/>
    <w:rsid w:val="4B6D2891"/>
    <w:rsid w:val="4B6E2578"/>
    <w:rsid w:val="4B766E0E"/>
    <w:rsid w:val="4B7778F3"/>
    <w:rsid w:val="4B806743"/>
    <w:rsid w:val="4B845751"/>
    <w:rsid w:val="4B945AEE"/>
    <w:rsid w:val="4B953A2E"/>
    <w:rsid w:val="4B964554"/>
    <w:rsid w:val="4B9B7771"/>
    <w:rsid w:val="4BA226D9"/>
    <w:rsid w:val="4BAC1975"/>
    <w:rsid w:val="4BB51673"/>
    <w:rsid w:val="4BD30EB2"/>
    <w:rsid w:val="4BEA1840"/>
    <w:rsid w:val="4BEF37FE"/>
    <w:rsid w:val="4BEF559F"/>
    <w:rsid w:val="4C124497"/>
    <w:rsid w:val="4C2F6420"/>
    <w:rsid w:val="4C4A46C6"/>
    <w:rsid w:val="4C58219F"/>
    <w:rsid w:val="4C5B465A"/>
    <w:rsid w:val="4C5B5467"/>
    <w:rsid w:val="4C6111C2"/>
    <w:rsid w:val="4C82776E"/>
    <w:rsid w:val="4C877C7F"/>
    <w:rsid w:val="4CA80305"/>
    <w:rsid w:val="4CA961D2"/>
    <w:rsid w:val="4CB32907"/>
    <w:rsid w:val="4CB5174D"/>
    <w:rsid w:val="4CB90D68"/>
    <w:rsid w:val="4CBD54F2"/>
    <w:rsid w:val="4CBE6498"/>
    <w:rsid w:val="4CC92B41"/>
    <w:rsid w:val="4CE47266"/>
    <w:rsid w:val="4CF535CE"/>
    <w:rsid w:val="4D0C59CD"/>
    <w:rsid w:val="4D0D08BF"/>
    <w:rsid w:val="4D1D44CA"/>
    <w:rsid w:val="4D2A674B"/>
    <w:rsid w:val="4D322291"/>
    <w:rsid w:val="4D3B5D20"/>
    <w:rsid w:val="4D3D1D07"/>
    <w:rsid w:val="4D42289D"/>
    <w:rsid w:val="4D602609"/>
    <w:rsid w:val="4D693BB4"/>
    <w:rsid w:val="4D703D9E"/>
    <w:rsid w:val="4D7E5A94"/>
    <w:rsid w:val="4D806C57"/>
    <w:rsid w:val="4D886374"/>
    <w:rsid w:val="4DB25B7D"/>
    <w:rsid w:val="4DDD3C5A"/>
    <w:rsid w:val="4DDE0FFE"/>
    <w:rsid w:val="4DF17879"/>
    <w:rsid w:val="4DF736A8"/>
    <w:rsid w:val="4DF853B5"/>
    <w:rsid w:val="4E126BB6"/>
    <w:rsid w:val="4E1F543B"/>
    <w:rsid w:val="4E200716"/>
    <w:rsid w:val="4E232A77"/>
    <w:rsid w:val="4E264477"/>
    <w:rsid w:val="4E2658AF"/>
    <w:rsid w:val="4E2825FE"/>
    <w:rsid w:val="4E2D1E68"/>
    <w:rsid w:val="4E2F2707"/>
    <w:rsid w:val="4E2F30C8"/>
    <w:rsid w:val="4E301DA6"/>
    <w:rsid w:val="4E305547"/>
    <w:rsid w:val="4E3A79F7"/>
    <w:rsid w:val="4E7221EA"/>
    <w:rsid w:val="4E881E17"/>
    <w:rsid w:val="4E935B2B"/>
    <w:rsid w:val="4E9C5DE7"/>
    <w:rsid w:val="4EB01912"/>
    <w:rsid w:val="4EBC6301"/>
    <w:rsid w:val="4EBF41B8"/>
    <w:rsid w:val="4EC8490A"/>
    <w:rsid w:val="4EF474AD"/>
    <w:rsid w:val="4EFE5602"/>
    <w:rsid w:val="4F0175D1"/>
    <w:rsid w:val="4F093437"/>
    <w:rsid w:val="4F0A221C"/>
    <w:rsid w:val="4F232AC9"/>
    <w:rsid w:val="4F2665C9"/>
    <w:rsid w:val="4F2B1E1C"/>
    <w:rsid w:val="4F2F6FEB"/>
    <w:rsid w:val="4F343969"/>
    <w:rsid w:val="4F527CBF"/>
    <w:rsid w:val="4F6665FD"/>
    <w:rsid w:val="4F6B3E9E"/>
    <w:rsid w:val="4F6B59E4"/>
    <w:rsid w:val="4F71729D"/>
    <w:rsid w:val="4F771FA0"/>
    <w:rsid w:val="4F7C6CA1"/>
    <w:rsid w:val="4F823142"/>
    <w:rsid w:val="4F856531"/>
    <w:rsid w:val="4F872C52"/>
    <w:rsid w:val="4F996CEF"/>
    <w:rsid w:val="4FB76F12"/>
    <w:rsid w:val="4FC7696F"/>
    <w:rsid w:val="4FCE67E9"/>
    <w:rsid w:val="4FD122FB"/>
    <w:rsid w:val="4FDC46F6"/>
    <w:rsid w:val="4FDD4138"/>
    <w:rsid w:val="4FE72755"/>
    <w:rsid w:val="4FF82FCD"/>
    <w:rsid w:val="4FFF3E5F"/>
    <w:rsid w:val="50137D30"/>
    <w:rsid w:val="502E7FAD"/>
    <w:rsid w:val="50321617"/>
    <w:rsid w:val="50387EC0"/>
    <w:rsid w:val="50651F09"/>
    <w:rsid w:val="50B56E30"/>
    <w:rsid w:val="50BB6701"/>
    <w:rsid w:val="50BC64AB"/>
    <w:rsid w:val="50C63CD1"/>
    <w:rsid w:val="50CB2FF9"/>
    <w:rsid w:val="50D86D18"/>
    <w:rsid w:val="50DC2637"/>
    <w:rsid w:val="50E826A7"/>
    <w:rsid w:val="50F65ED9"/>
    <w:rsid w:val="51082324"/>
    <w:rsid w:val="510F6E6C"/>
    <w:rsid w:val="511A06D0"/>
    <w:rsid w:val="5125145D"/>
    <w:rsid w:val="512B5BAA"/>
    <w:rsid w:val="512D17F3"/>
    <w:rsid w:val="512E77E9"/>
    <w:rsid w:val="51305930"/>
    <w:rsid w:val="51307C7F"/>
    <w:rsid w:val="513C0C59"/>
    <w:rsid w:val="5140416C"/>
    <w:rsid w:val="51423821"/>
    <w:rsid w:val="515F0576"/>
    <w:rsid w:val="516036DE"/>
    <w:rsid w:val="517D5752"/>
    <w:rsid w:val="51823496"/>
    <w:rsid w:val="51851801"/>
    <w:rsid w:val="51986377"/>
    <w:rsid w:val="51A63CF4"/>
    <w:rsid w:val="51BB0DAD"/>
    <w:rsid w:val="51D11D27"/>
    <w:rsid w:val="51DB55E2"/>
    <w:rsid w:val="51EB2898"/>
    <w:rsid w:val="51FA1592"/>
    <w:rsid w:val="51FE5FB6"/>
    <w:rsid w:val="520C1A09"/>
    <w:rsid w:val="521B41DE"/>
    <w:rsid w:val="522D3402"/>
    <w:rsid w:val="5236610B"/>
    <w:rsid w:val="526E6C98"/>
    <w:rsid w:val="526F2FA7"/>
    <w:rsid w:val="527311B4"/>
    <w:rsid w:val="527C626E"/>
    <w:rsid w:val="527E2A15"/>
    <w:rsid w:val="52823FB2"/>
    <w:rsid w:val="528F31A2"/>
    <w:rsid w:val="52B77E91"/>
    <w:rsid w:val="52B80FEA"/>
    <w:rsid w:val="52C41E6B"/>
    <w:rsid w:val="52C42F3C"/>
    <w:rsid w:val="52CD24C3"/>
    <w:rsid w:val="52D27B05"/>
    <w:rsid w:val="52EA0E6B"/>
    <w:rsid w:val="52FA333D"/>
    <w:rsid w:val="52FD5DCF"/>
    <w:rsid w:val="53042D44"/>
    <w:rsid w:val="530D2A35"/>
    <w:rsid w:val="53134A14"/>
    <w:rsid w:val="532E72FD"/>
    <w:rsid w:val="533A5BFF"/>
    <w:rsid w:val="53414FAA"/>
    <w:rsid w:val="534E5E35"/>
    <w:rsid w:val="535458D6"/>
    <w:rsid w:val="5355378B"/>
    <w:rsid w:val="5372324E"/>
    <w:rsid w:val="538708F0"/>
    <w:rsid w:val="53B15F35"/>
    <w:rsid w:val="53C35FDB"/>
    <w:rsid w:val="53CA7E66"/>
    <w:rsid w:val="53E144A4"/>
    <w:rsid w:val="53F07816"/>
    <w:rsid w:val="53F41FDE"/>
    <w:rsid w:val="54020335"/>
    <w:rsid w:val="540308DE"/>
    <w:rsid w:val="54137B5D"/>
    <w:rsid w:val="54160A40"/>
    <w:rsid w:val="541F37B3"/>
    <w:rsid w:val="54225996"/>
    <w:rsid w:val="54256FF0"/>
    <w:rsid w:val="542C39E7"/>
    <w:rsid w:val="54401D63"/>
    <w:rsid w:val="54482956"/>
    <w:rsid w:val="544C4F0E"/>
    <w:rsid w:val="545A1F4B"/>
    <w:rsid w:val="547E6196"/>
    <w:rsid w:val="5486504B"/>
    <w:rsid w:val="548F04E9"/>
    <w:rsid w:val="54967C34"/>
    <w:rsid w:val="54BE3184"/>
    <w:rsid w:val="54C8673A"/>
    <w:rsid w:val="54D03029"/>
    <w:rsid w:val="54D73AF9"/>
    <w:rsid w:val="54E42798"/>
    <w:rsid w:val="54E441B5"/>
    <w:rsid w:val="54F63B2B"/>
    <w:rsid w:val="55012382"/>
    <w:rsid w:val="551C23ED"/>
    <w:rsid w:val="551E0C10"/>
    <w:rsid w:val="553A1DE6"/>
    <w:rsid w:val="5555676A"/>
    <w:rsid w:val="55566876"/>
    <w:rsid w:val="556F06E6"/>
    <w:rsid w:val="55790C3D"/>
    <w:rsid w:val="557D167A"/>
    <w:rsid w:val="559926A7"/>
    <w:rsid w:val="559A5310"/>
    <w:rsid w:val="55A4432C"/>
    <w:rsid w:val="55AA2FBB"/>
    <w:rsid w:val="55D61B8A"/>
    <w:rsid w:val="55E24503"/>
    <w:rsid w:val="56190B78"/>
    <w:rsid w:val="562F3B7F"/>
    <w:rsid w:val="56303E02"/>
    <w:rsid w:val="5640206A"/>
    <w:rsid w:val="56445537"/>
    <w:rsid w:val="56520551"/>
    <w:rsid w:val="566D31A9"/>
    <w:rsid w:val="567217BC"/>
    <w:rsid w:val="56A22274"/>
    <w:rsid w:val="56AA7E15"/>
    <w:rsid w:val="56F907B0"/>
    <w:rsid w:val="56FA5799"/>
    <w:rsid w:val="57101C20"/>
    <w:rsid w:val="573134CF"/>
    <w:rsid w:val="574B0517"/>
    <w:rsid w:val="575431DF"/>
    <w:rsid w:val="57565351"/>
    <w:rsid w:val="575C15E3"/>
    <w:rsid w:val="57607DD5"/>
    <w:rsid w:val="57670288"/>
    <w:rsid w:val="57700BA3"/>
    <w:rsid w:val="57707DF2"/>
    <w:rsid w:val="579B509F"/>
    <w:rsid w:val="57A14243"/>
    <w:rsid w:val="57D36F56"/>
    <w:rsid w:val="57E91EA4"/>
    <w:rsid w:val="57EB5624"/>
    <w:rsid w:val="57FD6F32"/>
    <w:rsid w:val="58106B27"/>
    <w:rsid w:val="58134577"/>
    <w:rsid w:val="58171ACE"/>
    <w:rsid w:val="582032FD"/>
    <w:rsid w:val="582041B5"/>
    <w:rsid w:val="58251D25"/>
    <w:rsid w:val="583628E4"/>
    <w:rsid w:val="583734B8"/>
    <w:rsid w:val="58501BF8"/>
    <w:rsid w:val="585A35CC"/>
    <w:rsid w:val="586C48AD"/>
    <w:rsid w:val="58700F89"/>
    <w:rsid w:val="587132CF"/>
    <w:rsid w:val="587D20BF"/>
    <w:rsid w:val="58926623"/>
    <w:rsid w:val="58975251"/>
    <w:rsid w:val="58B02697"/>
    <w:rsid w:val="58DC3865"/>
    <w:rsid w:val="58DF2D12"/>
    <w:rsid w:val="58E355E4"/>
    <w:rsid w:val="58F32F20"/>
    <w:rsid w:val="58FD666F"/>
    <w:rsid w:val="590A0C2B"/>
    <w:rsid w:val="592930B1"/>
    <w:rsid w:val="592E3814"/>
    <w:rsid w:val="594D1292"/>
    <w:rsid w:val="595B2C73"/>
    <w:rsid w:val="59676BDA"/>
    <w:rsid w:val="597007EC"/>
    <w:rsid w:val="59706DAD"/>
    <w:rsid w:val="5979799A"/>
    <w:rsid w:val="598A1C1A"/>
    <w:rsid w:val="598B547D"/>
    <w:rsid w:val="599327C1"/>
    <w:rsid w:val="59AC038A"/>
    <w:rsid w:val="59B91A1F"/>
    <w:rsid w:val="59BA0C24"/>
    <w:rsid w:val="59BE5B4D"/>
    <w:rsid w:val="59C925CA"/>
    <w:rsid w:val="59DC3398"/>
    <w:rsid w:val="59EB592E"/>
    <w:rsid w:val="59F0086C"/>
    <w:rsid w:val="59FD2EF6"/>
    <w:rsid w:val="5A06469B"/>
    <w:rsid w:val="5A124AE8"/>
    <w:rsid w:val="5A1365FB"/>
    <w:rsid w:val="5A175DBE"/>
    <w:rsid w:val="5A2B1A45"/>
    <w:rsid w:val="5A2E5F69"/>
    <w:rsid w:val="5A3514C1"/>
    <w:rsid w:val="5A3B68D8"/>
    <w:rsid w:val="5A4F1406"/>
    <w:rsid w:val="5A537C91"/>
    <w:rsid w:val="5A587B93"/>
    <w:rsid w:val="5A673229"/>
    <w:rsid w:val="5A700FB1"/>
    <w:rsid w:val="5A7F0572"/>
    <w:rsid w:val="5A897643"/>
    <w:rsid w:val="5A8C2C8F"/>
    <w:rsid w:val="5A8D46F8"/>
    <w:rsid w:val="5A933C2F"/>
    <w:rsid w:val="5AB03FE1"/>
    <w:rsid w:val="5AE07637"/>
    <w:rsid w:val="5B021E86"/>
    <w:rsid w:val="5B120B59"/>
    <w:rsid w:val="5B1B587E"/>
    <w:rsid w:val="5B266C40"/>
    <w:rsid w:val="5B461155"/>
    <w:rsid w:val="5B5473DC"/>
    <w:rsid w:val="5B8206C4"/>
    <w:rsid w:val="5BA504AD"/>
    <w:rsid w:val="5BA93864"/>
    <w:rsid w:val="5BB810A7"/>
    <w:rsid w:val="5BCC3C8B"/>
    <w:rsid w:val="5BD12E37"/>
    <w:rsid w:val="5BDE23CA"/>
    <w:rsid w:val="5BEA04CE"/>
    <w:rsid w:val="5BF566DA"/>
    <w:rsid w:val="5BFE2871"/>
    <w:rsid w:val="5C161375"/>
    <w:rsid w:val="5C341831"/>
    <w:rsid w:val="5C350FAF"/>
    <w:rsid w:val="5C3B2BBF"/>
    <w:rsid w:val="5C401F83"/>
    <w:rsid w:val="5C460DD2"/>
    <w:rsid w:val="5C4A07DB"/>
    <w:rsid w:val="5C4D23CA"/>
    <w:rsid w:val="5C523E77"/>
    <w:rsid w:val="5C526A52"/>
    <w:rsid w:val="5C576834"/>
    <w:rsid w:val="5C613FC2"/>
    <w:rsid w:val="5C7B48B5"/>
    <w:rsid w:val="5C8005D2"/>
    <w:rsid w:val="5C8B2DBD"/>
    <w:rsid w:val="5C950729"/>
    <w:rsid w:val="5C9D489B"/>
    <w:rsid w:val="5C9E4DDA"/>
    <w:rsid w:val="5C9F2F14"/>
    <w:rsid w:val="5CA4673A"/>
    <w:rsid w:val="5CA70757"/>
    <w:rsid w:val="5CB353CF"/>
    <w:rsid w:val="5CBA7C4F"/>
    <w:rsid w:val="5CC117A8"/>
    <w:rsid w:val="5CD54358"/>
    <w:rsid w:val="5CE01AD8"/>
    <w:rsid w:val="5CEE4265"/>
    <w:rsid w:val="5CEF6499"/>
    <w:rsid w:val="5CF80167"/>
    <w:rsid w:val="5CF95781"/>
    <w:rsid w:val="5D0B35AB"/>
    <w:rsid w:val="5D141BE4"/>
    <w:rsid w:val="5D224097"/>
    <w:rsid w:val="5D265772"/>
    <w:rsid w:val="5D333486"/>
    <w:rsid w:val="5D344DC7"/>
    <w:rsid w:val="5D484F5E"/>
    <w:rsid w:val="5D4C6F5C"/>
    <w:rsid w:val="5D51759E"/>
    <w:rsid w:val="5D540B94"/>
    <w:rsid w:val="5D5721FE"/>
    <w:rsid w:val="5D574CE7"/>
    <w:rsid w:val="5D6139D4"/>
    <w:rsid w:val="5D9462E7"/>
    <w:rsid w:val="5DA215BC"/>
    <w:rsid w:val="5DB05F38"/>
    <w:rsid w:val="5DB42136"/>
    <w:rsid w:val="5DB51C37"/>
    <w:rsid w:val="5DB540DE"/>
    <w:rsid w:val="5DE72F8E"/>
    <w:rsid w:val="5DEC3271"/>
    <w:rsid w:val="5DF069B3"/>
    <w:rsid w:val="5DF373EB"/>
    <w:rsid w:val="5E0C611B"/>
    <w:rsid w:val="5E1374FD"/>
    <w:rsid w:val="5E19494A"/>
    <w:rsid w:val="5E1A44CC"/>
    <w:rsid w:val="5E1B1094"/>
    <w:rsid w:val="5E1D0311"/>
    <w:rsid w:val="5E277329"/>
    <w:rsid w:val="5E296769"/>
    <w:rsid w:val="5E300493"/>
    <w:rsid w:val="5E3C350D"/>
    <w:rsid w:val="5E4A692D"/>
    <w:rsid w:val="5E4F5474"/>
    <w:rsid w:val="5E530FE2"/>
    <w:rsid w:val="5E643F17"/>
    <w:rsid w:val="5E6A1C5A"/>
    <w:rsid w:val="5E7738E7"/>
    <w:rsid w:val="5E7C2E67"/>
    <w:rsid w:val="5E7C6F3F"/>
    <w:rsid w:val="5E894884"/>
    <w:rsid w:val="5E8E2C40"/>
    <w:rsid w:val="5E9A1DB2"/>
    <w:rsid w:val="5EC904C2"/>
    <w:rsid w:val="5ECC506E"/>
    <w:rsid w:val="5ED36ED7"/>
    <w:rsid w:val="5ED902BC"/>
    <w:rsid w:val="5EE07F20"/>
    <w:rsid w:val="5EE778AD"/>
    <w:rsid w:val="5EEF6BF9"/>
    <w:rsid w:val="5EF37781"/>
    <w:rsid w:val="5F042866"/>
    <w:rsid w:val="5F0754DF"/>
    <w:rsid w:val="5F19391E"/>
    <w:rsid w:val="5F20199D"/>
    <w:rsid w:val="5F202824"/>
    <w:rsid w:val="5F2413A5"/>
    <w:rsid w:val="5F26110E"/>
    <w:rsid w:val="5F2B6719"/>
    <w:rsid w:val="5F2F7659"/>
    <w:rsid w:val="5F3B6360"/>
    <w:rsid w:val="5F4D4B8F"/>
    <w:rsid w:val="5F552E16"/>
    <w:rsid w:val="5F635546"/>
    <w:rsid w:val="5F6C63F2"/>
    <w:rsid w:val="5F926633"/>
    <w:rsid w:val="5FA049FE"/>
    <w:rsid w:val="5FB25F74"/>
    <w:rsid w:val="5FC313DF"/>
    <w:rsid w:val="5FF91620"/>
    <w:rsid w:val="5FFD3EC6"/>
    <w:rsid w:val="5FFF39E3"/>
    <w:rsid w:val="60085A40"/>
    <w:rsid w:val="60207E52"/>
    <w:rsid w:val="602A0051"/>
    <w:rsid w:val="604C59AB"/>
    <w:rsid w:val="605966D3"/>
    <w:rsid w:val="60596B48"/>
    <w:rsid w:val="60624BBE"/>
    <w:rsid w:val="606D2183"/>
    <w:rsid w:val="608508AD"/>
    <w:rsid w:val="6094450B"/>
    <w:rsid w:val="60A15310"/>
    <w:rsid w:val="60A83A97"/>
    <w:rsid w:val="60BA5775"/>
    <w:rsid w:val="60C74A21"/>
    <w:rsid w:val="60C93A6F"/>
    <w:rsid w:val="60DE79C2"/>
    <w:rsid w:val="60EA6D59"/>
    <w:rsid w:val="60ED6393"/>
    <w:rsid w:val="60F64A00"/>
    <w:rsid w:val="6101596A"/>
    <w:rsid w:val="61041B48"/>
    <w:rsid w:val="61116549"/>
    <w:rsid w:val="61212826"/>
    <w:rsid w:val="61377D44"/>
    <w:rsid w:val="61384655"/>
    <w:rsid w:val="613B72E2"/>
    <w:rsid w:val="613D757F"/>
    <w:rsid w:val="614473DC"/>
    <w:rsid w:val="61493DE6"/>
    <w:rsid w:val="614A4FD1"/>
    <w:rsid w:val="61564E3C"/>
    <w:rsid w:val="61671D60"/>
    <w:rsid w:val="61740FE4"/>
    <w:rsid w:val="617D5754"/>
    <w:rsid w:val="617F24D2"/>
    <w:rsid w:val="61860AA0"/>
    <w:rsid w:val="619863BE"/>
    <w:rsid w:val="619D5A0F"/>
    <w:rsid w:val="61A23619"/>
    <w:rsid w:val="61A66E6D"/>
    <w:rsid w:val="61AB4979"/>
    <w:rsid w:val="61DF269A"/>
    <w:rsid w:val="61E07656"/>
    <w:rsid w:val="61E23A3A"/>
    <w:rsid w:val="61F65DD1"/>
    <w:rsid w:val="61FC5654"/>
    <w:rsid w:val="620404D8"/>
    <w:rsid w:val="621761B8"/>
    <w:rsid w:val="621C20C8"/>
    <w:rsid w:val="6242651C"/>
    <w:rsid w:val="624656CE"/>
    <w:rsid w:val="62500D12"/>
    <w:rsid w:val="62556FF4"/>
    <w:rsid w:val="62624626"/>
    <w:rsid w:val="62686B28"/>
    <w:rsid w:val="626C0FF2"/>
    <w:rsid w:val="628250A4"/>
    <w:rsid w:val="62831173"/>
    <w:rsid w:val="62A03371"/>
    <w:rsid w:val="62B053AF"/>
    <w:rsid w:val="62BE3751"/>
    <w:rsid w:val="62CA08AC"/>
    <w:rsid w:val="62ED6846"/>
    <w:rsid w:val="62F746FA"/>
    <w:rsid w:val="62FF76AE"/>
    <w:rsid w:val="631B2A82"/>
    <w:rsid w:val="6320634C"/>
    <w:rsid w:val="6327155D"/>
    <w:rsid w:val="632A339C"/>
    <w:rsid w:val="632C6618"/>
    <w:rsid w:val="63303965"/>
    <w:rsid w:val="63323C14"/>
    <w:rsid w:val="633D42F6"/>
    <w:rsid w:val="63495BC1"/>
    <w:rsid w:val="635F7193"/>
    <w:rsid w:val="63607AF0"/>
    <w:rsid w:val="63666838"/>
    <w:rsid w:val="63714D57"/>
    <w:rsid w:val="637745FB"/>
    <w:rsid w:val="637B07C3"/>
    <w:rsid w:val="6394133D"/>
    <w:rsid w:val="63AE2DC4"/>
    <w:rsid w:val="63CB17EB"/>
    <w:rsid w:val="63CE5F20"/>
    <w:rsid w:val="63E72944"/>
    <w:rsid w:val="63E90D54"/>
    <w:rsid w:val="63EE3879"/>
    <w:rsid w:val="64110AB3"/>
    <w:rsid w:val="64161191"/>
    <w:rsid w:val="641F39F8"/>
    <w:rsid w:val="64233201"/>
    <w:rsid w:val="64303B5B"/>
    <w:rsid w:val="64343705"/>
    <w:rsid w:val="64384547"/>
    <w:rsid w:val="643C52F4"/>
    <w:rsid w:val="64535BCB"/>
    <w:rsid w:val="6456730F"/>
    <w:rsid w:val="64585C43"/>
    <w:rsid w:val="645E5C65"/>
    <w:rsid w:val="6478105F"/>
    <w:rsid w:val="64794284"/>
    <w:rsid w:val="647F3F53"/>
    <w:rsid w:val="64967679"/>
    <w:rsid w:val="64C319A4"/>
    <w:rsid w:val="64C40212"/>
    <w:rsid w:val="64CE2822"/>
    <w:rsid w:val="64F05245"/>
    <w:rsid w:val="6507216D"/>
    <w:rsid w:val="651453F7"/>
    <w:rsid w:val="65294325"/>
    <w:rsid w:val="65385CC9"/>
    <w:rsid w:val="65424FBE"/>
    <w:rsid w:val="65446B13"/>
    <w:rsid w:val="655D5D31"/>
    <w:rsid w:val="65646CE3"/>
    <w:rsid w:val="65681E8C"/>
    <w:rsid w:val="65854831"/>
    <w:rsid w:val="6587531A"/>
    <w:rsid w:val="659652CB"/>
    <w:rsid w:val="65990BA5"/>
    <w:rsid w:val="659C46CE"/>
    <w:rsid w:val="65AD68DC"/>
    <w:rsid w:val="65D308EF"/>
    <w:rsid w:val="65D60738"/>
    <w:rsid w:val="65EF6EE9"/>
    <w:rsid w:val="6601730B"/>
    <w:rsid w:val="66020C96"/>
    <w:rsid w:val="6609255E"/>
    <w:rsid w:val="661107B9"/>
    <w:rsid w:val="66237BA1"/>
    <w:rsid w:val="66432226"/>
    <w:rsid w:val="6649620D"/>
    <w:rsid w:val="6657323F"/>
    <w:rsid w:val="66573280"/>
    <w:rsid w:val="66662B20"/>
    <w:rsid w:val="667E4574"/>
    <w:rsid w:val="6692162D"/>
    <w:rsid w:val="66922D52"/>
    <w:rsid w:val="66963501"/>
    <w:rsid w:val="669D1900"/>
    <w:rsid w:val="66A220AA"/>
    <w:rsid w:val="66A25FE6"/>
    <w:rsid w:val="66C669F0"/>
    <w:rsid w:val="66CE67EB"/>
    <w:rsid w:val="66D762DF"/>
    <w:rsid w:val="66E46877"/>
    <w:rsid w:val="66F978FF"/>
    <w:rsid w:val="67053CB2"/>
    <w:rsid w:val="670A00D7"/>
    <w:rsid w:val="670B44A4"/>
    <w:rsid w:val="670E0157"/>
    <w:rsid w:val="671A305A"/>
    <w:rsid w:val="671E1BEF"/>
    <w:rsid w:val="672042BC"/>
    <w:rsid w:val="67377761"/>
    <w:rsid w:val="67480CAF"/>
    <w:rsid w:val="675628DB"/>
    <w:rsid w:val="676A2E2F"/>
    <w:rsid w:val="676E6E80"/>
    <w:rsid w:val="67802D74"/>
    <w:rsid w:val="678218D9"/>
    <w:rsid w:val="678619B7"/>
    <w:rsid w:val="67882D3C"/>
    <w:rsid w:val="678C16B7"/>
    <w:rsid w:val="67A0003A"/>
    <w:rsid w:val="67A21CF7"/>
    <w:rsid w:val="67B1522D"/>
    <w:rsid w:val="67B16763"/>
    <w:rsid w:val="67B400EA"/>
    <w:rsid w:val="67CF5ED2"/>
    <w:rsid w:val="67D40C7C"/>
    <w:rsid w:val="67F65DD9"/>
    <w:rsid w:val="6807702E"/>
    <w:rsid w:val="680D6545"/>
    <w:rsid w:val="681339E2"/>
    <w:rsid w:val="68442DFB"/>
    <w:rsid w:val="68586401"/>
    <w:rsid w:val="686742FC"/>
    <w:rsid w:val="686A71A4"/>
    <w:rsid w:val="687B340C"/>
    <w:rsid w:val="68821A5C"/>
    <w:rsid w:val="688A0697"/>
    <w:rsid w:val="688E06CC"/>
    <w:rsid w:val="68925CBF"/>
    <w:rsid w:val="689946EB"/>
    <w:rsid w:val="689C730A"/>
    <w:rsid w:val="68A3717F"/>
    <w:rsid w:val="68A878AD"/>
    <w:rsid w:val="68A971E8"/>
    <w:rsid w:val="68B95597"/>
    <w:rsid w:val="68C652EE"/>
    <w:rsid w:val="68CA77A4"/>
    <w:rsid w:val="68CE1F6C"/>
    <w:rsid w:val="68D26659"/>
    <w:rsid w:val="68F97CFF"/>
    <w:rsid w:val="68FA0DBA"/>
    <w:rsid w:val="69092105"/>
    <w:rsid w:val="69130841"/>
    <w:rsid w:val="69170F89"/>
    <w:rsid w:val="69601EB7"/>
    <w:rsid w:val="6969462E"/>
    <w:rsid w:val="696B0742"/>
    <w:rsid w:val="69723D75"/>
    <w:rsid w:val="697A5937"/>
    <w:rsid w:val="697D65C5"/>
    <w:rsid w:val="6991297E"/>
    <w:rsid w:val="6992492C"/>
    <w:rsid w:val="69967E6E"/>
    <w:rsid w:val="699A433A"/>
    <w:rsid w:val="69B34D6C"/>
    <w:rsid w:val="69C273AE"/>
    <w:rsid w:val="69CD5DCF"/>
    <w:rsid w:val="69D524AD"/>
    <w:rsid w:val="69DC3CEE"/>
    <w:rsid w:val="69F111D0"/>
    <w:rsid w:val="6A0400D3"/>
    <w:rsid w:val="6A064E42"/>
    <w:rsid w:val="6A0B1B38"/>
    <w:rsid w:val="6A1F142A"/>
    <w:rsid w:val="6A293430"/>
    <w:rsid w:val="6A2E2F3F"/>
    <w:rsid w:val="6A3724D6"/>
    <w:rsid w:val="6A4A5B03"/>
    <w:rsid w:val="6A4B2ADE"/>
    <w:rsid w:val="6A4C3DA3"/>
    <w:rsid w:val="6A527787"/>
    <w:rsid w:val="6A537326"/>
    <w:rsid w:val="6A555A5E"/>
    <w:rsid w:val="6A5C442C"/>
    <w:rsid w:val="6A615DAB"/>
    <w:rsid w:val="6A701347"/>
    <w:rsid w:val="6A7A6FA8"/>
    <w:rsid w:val="6A7C0BC8"/>
    <w:rsid w:val="6A7E6137"/>
    <w:rsid w:val="6A8814FA"/>
    <w:rsid w:val="6A892D47"/>
    <w:rsid w:val="6A937604"/>
    <w:rsid w:val="6A995E17"/>
    <w:rsid w:val="6AA474B3"/>
    <w:rsid w:val="6AAC4019"/>
    <w:rsid w:val="6AB07729"/>
    <w:rsid w:val="6ACA60BF"/>
    <w:rsid w:val="6AD154CD"/>
    <w:rsid w:val="6ADB5B35"/>
    <w:rsid w:val="6ADC446E"/>
    <w:rsid w:val="6ADD7626"/>
    <w:rsid w:val="6ADE5F2B"/>
    <w:rsid w:val="6AE05BC6"/>
    <w:rsid w:val="6AE42662"/>
    <w:rsid w:val="6AEC1C54"/>
    <w:rsid w:val="6AF76646"/>
    <w:rsid w:val="6AF93585"/>
    <w:rsid w:val="6B032AFA"/>
    <w:rsid w:val="6B19231D"/>
    <w:rsid w:val="6B217424"/>
    <w:rsid w:val="6B2B0F80"/>
    <w:rsid w:val="6B2D324E"/>
    <w:rsid w:val="6B304DD9"/>
    <w:rsid w:val="6B363B5A"/>
    <w:rsid w:val="6B3824E0"/>
    <w:rsid w:val="6B39152F"/>
    <w:rsid w:val="6B4C0DDE"/>
    <w:rsid w:val="6B722B75"/>
    <w:rsid w:val="6B8705A2"/>
    <w:rsid w:val="6B912BEE"/>
    <w:rsid w:val="6BA47E91"/>
    <w:rsid w:val="6BB77394"/>
    <w:rsid w:val="6BC82E32"/>
    <w:rsid w:val="6BC8789F"/>
    <w:rsid w:val="6BD576D2"/>
    <w:rsid w:val="6BEC5FE3"/>
    <w:rsid w:val="6BF27EC1"/>
    <w:rsid w:val="6BF66737"/>
    <w:rsid w:val="6BFD313F"/>
    <w:rsid w:val="6C1228A7"/>
    <w:rsid w:val="6C255926"/>
    <w:rsid w:val="6C3059F4"/>
    <w:rsid w:val="6C343B80"/>
    <w:rsid w:val="6C3D0414"/>
    <w:rsid w:val="6C3D2F78"/>
    <w:rsid w:val="6C404590"/>
    <w:rsid w:val="6C42510C"/>
    <w:rsid w:val="6C451EC0"/>
    <w:rsid w:val="6C470A37"/>
    <w:rsid w:val="6C524942"/>
    <w:rsid w:val="6C6578E2"/>
    <w:rsid w:val="6C7353BC"/>
    <w:rsid w:val="6C8D1001"/>
    <w:rsid w:val="6C985AA7"/>
    <w:rsid w:val="6CA11577"/>
    <w:rsid w:val="6CA23BBB"/>
    <w:rsid w:val="6CA84210"/>
    <w:rsid w:val="6CB0179F"/>
    <w:rsid w:val="6CC12D9C"/>
    <w:rsid w:val="6CD00724"/>
    <w:rsid w:val="6CD15FBA"/>
    <w:rsid w:val="6CD42FC6"/>
    <w:rsid w:val="6CD61B68"/>
    <w:rsid w:val="6CD62F24"/>
    <w:rsid w:val="6CF03552"/>
    <w:rsid w:val="6D056034"/>
    <w:rsid w:val="6D0B2AAE"/>
    <w:rsid w:val="6D0C2A35"/>
    <w:rsid w:val="6D150A5C"/>
    <w:rsid w:val="6D1C05ED"/>
    <w:rsid w:val="6D370516"/>
    <w:rsid w:val="6D4A0EB4"/>
    <w:rsid w:val="6D5B4E6F"/>
    <w:rsid w:val="6D601618"/>
    <w:rsid w:val="6D6102B3"/>
    <w:rsid w:val="6D6830E8"/>
    <w:rsid w:val="6D936D70"/>
    <w:rsid w:val="6D9F4053"/>
    <w:rsid w:val="6D9F6FA4"/>
    <w:rsid w:val="6DA43456"/>
    <w:rsid w:val="6DA47FB2"/>
    <w:rsid w:val="6DAE4EDC"/>
    <w:rsid w:val="6DBD1686"/>
    <w:rsid w:val="6DC25C86"/>
    <w:rsid w:val="6DC42A14"/>
    <w:rsid w:val="6DC81334"/>
    <w:rsid w:val="6DD15131"/>
    <w:rsid w:val="6DE26ED2"/>
    <w:rsid w:val="6DE97543"/>
    <w:rsid w:val="6DE97B69"/>
    <w:rsid w:val="6DEC7CA7"/>
    <w:rsid w:val="6DEE033F"/>
    <w:rsid w:val="6DEF2340"/>
    <w:rsid w:val="6E2E60E0"/>
    <w:rsid w:val="6E33572B"/>
    <w:rsid w:val="6E5D6F2D"/>
    <w:rsid w:val="6E5D761F"/>
    <w:rsid w:val="6E676460"/>
    <w:rsid w:val="6E6C6677"/>
    <w:rsid w:val="6E7B755B"/>
    <w:rsid w:val="6E891568"/>
    <w:rsid w:val="6E9558C3"/>
    <w:rsid w:val="6ED21107"/>
    <w:rsid w:val="6ED222E0"/>
    <w:rsid w:val="6EE0677D"/>
    <w:rsid w:val="6EE113A4"/>
    <w:rsid w:val="6EEE05A0"/>
    <w:rsid w:val="6EF657FD"/>
    <w:rsid w:val="6EFE15CA"/>
    <w:rsid w:val="6F0B1327"/>
    <w:rsid w:val="6F133C8D"/>
    <w:rsid w:val="6F183EAB"/>
    <w:rsid w:val="6F227898"/>
    <w:rsid w:val="6F2D2BC5"/>
    <w:rsid w:val="6F3923D8"/>
    <w:rsid w:val="6F3A641A"/>
    <w:rsid w:val="6F4C45FB"/>
    <w:rsid w:val="6F4D2304"/>
    <w:rsid w:val="6F5F1C27"/>
    <w:rsid w:val="6F636351"/>
    <w:rsid w:val="6F6E241B"/>
    <w:rsid w:val="6F725275"/>
    <w:rsid w:val="6F792271"/>
    <w:rsid w:val="6F7924A7"/>
    <w:rsid w:val="6F7E0543"/>
    <w:rsid w:val="6F8C276B"/>
    <w:rsid w:val="6FA02888"/>
    <w:rsid w:val="6FAD572A"/>
    <w:rsid w:val="6FB228F0"/>
    <w:rsid w:val="6FBF663E"/>
    <w:rsid w:val="6FD40F09"/>
    <w:rsid w:val="6FE53C61"/>
    <w:rsid w:val="6FE9766F"/>
    <w:rsid w:val="6FEA24DA"/>
    <w:rsid w:val="6FFC622B"/>
    <w:rsid w:val="70083D69"/>
    <w:rsid w:val="701036D9"/>
    <w:rsid w:val="70183410"/>
    <w:rsid w:val="701C4BFA"/>
    <w:rsid w:val="701E116A"/>
    <w:rsid w:val="70285245"/>
    <w:rsid w:val="702C664F"/>
    <w:rsid w:val="702F7917"/>
    <w:rsid w:val="704C3DB4"/>
    <w:rsid w:val="704E7179"/>
    <w:rsid w:val="7053406C"/>
    <w:rsid w:val="70546E44"/>
    <w:rsid w:val="70656CEF"/>
    <w:rsid w:val="70755549"/>
    <w:rsid w:val="70791B74"/>
    <w:rsid w:val="707948BD"/>
    <w:rsid w:val="70814039"/>
    <w:rsid w:val="709C33D5"/>
    <w:rsid w:val="70BD5570"/>
    <w:rsid w:val="70C44AD9"/>
    <w:rsid w:val="70C935FC"/>
    <w:rsid w:val="70CB6C5A"/>
    <w:rsid w:val="70F14430"/>
    <w:rsid w:val="70F32198"/>
    <w:rsid w:val="70FB0B00"/>
    <w:rsid w:val="70FD53E1"/>
    <w:rsid w:val="71184E25"/>
    <w:rsid w:val="711B20F6"/>
    <w:rsid w:val="712C6F6A"/>
    <w:rsid w:val="712F5076"/>
    <w:rsid w:val="713C2F86"/>
    <w:rsid w:val="713D3141"/>
    <w:rsid w:val="715045BF"/>
    <w:rsid w:val="715C2F64"/>
    <w:rsid w:val="7161503E"/>
    <w:rsid w:val="717D0527"/>
    <w:rsid w:val="718B2A67"/>
    <w:rsid w:val="718E0118"/>
    <w:rsid w:val="7199450B"/>
    <w:rsid w:val="71AC53DF"/>
    <w:rsid w:val="71B1431A"/>
    <w:rsid w:val="71C034F3"/>
    <w:rsid w:val="71C7396F"/>
    <w:rsid w:val="71C823A7"/>
    <w:rsid w:val="71D9456A"/>
    <w:rsid w:val="71DA0294"/>
    <w:rsid w:val="71DD51C5"/>
    <w:rsid w:val="71E2172E"/>
    <w:rsid w:val="71E6023B"/>
    <w:rsid w:val="71F92575"/>
    <w:rsid w:val="71FD3E6C"/>
    <w:rsid w:val="720F6228"/>
    <w:rsid w:val="721B4DA3"/>
    <w:rsid w:val="72201099"/>
    <w:rsid w:val="723143F0"/>
    <w:rsid w:val="723718EE"/>
    <w:rsid w:val="72585404"/>
    <w:rsid w:val="725C7B20"/>
    <w:rsid w:val="7267454A"/>
    <w:rsid w:val="726F0CDC"/>
    <w:rsid w:val="72780855"/>
    <w:rsid w:val="727D08BD"/>
    <w:rsid w:val="727F0DB7"/>
    <w:rsid w:val="72814069"/>
    <w:rsid w:val="728764AC"/>
    <w:rsid w:val="72937BDF"/>
    <w:rsid w:val="729C2B16"/>
    <w:rsid w:val="72A818BB"/>
    <w:rsid w:val="72B31DA6"/>
    <w:rsid w:val="72C9480C"/>
    <w:rsid w:val="72D94271"/>
    <w:rsid w:val="72E04C66"/>
    <w:rsid w:val="72E2469C"/>
    <w:rsid w:val="72F404DE"/>
    <w:rsid w:val="72F7510E"/>
    <w:rsid w:val="72FD3411"/>
    <w:rsid w:val="730B2CAB"/>
    <w:rsid w:val="730E51EA"/>
    <w:rsid w:val="73122265"/>
    <w:rsid w:val="731A048F"/>
    <w:rsid w:val="732D5A67"/>
    <w:rsid w:val="733A0221"/>
    <w:rsid w:val="73466271"/>
    <w:rsid w:val="73486409"/>
    <w:rsid w:val="73583109"/>
    <w:rsid w:val="73683982"/>
    <w:rsid w:val="737B2D1B"/>
    <w:rsid w:val="737C16FF"/>
    <w:rsid w:val="73992227"/>
    <w:rsid w:val="73AE399F"/>
    <w:rsid w:val="73B9444D"/>
    <w:rsid w:val="73BB3EAE"/>
    <w:rsid w:val="73C372CA"/>
    <w:rsid w:val="73C41F64"/>
    <w:rsid w:val="73C53571"/>
    <w:rsid w:val="73CF49E1"/>
    <w:rsid w:val="73D234C8"/>
    <w:rsid w:val="73DA34A0"/>
    <w:rsid w:val="73E927B8"/>
    <w:rsid w:val="740508BA"/>
    <w:rsid w:val="74147B20"/>
    <w:rsid w:val="74272F14"/>
    <w:rsid w:val="74464F36"/>
    <w:rsid w:val="7452225E"/>
    <w:rsid w:val="74577002"/>
    <w:rsid w:val="745B2E78"/>
    <w:rsid w:val="745E562D"/>
    <w:rsid w:val="74607E79"/>
    <w:rsid w:val="746257EB"/>
    <w:rsid w:val="746713EA"/>
    <w:rsid w:val="74692370"/>
    <w:rsid w:val="74991FF1"/>
    <w:rsid w:val="74C2594B"/>
    <w:rsid w:val="74DF51FA"/>
    <w:rsid w:val="74DF76ED"/>
    <w:rsid w:val="74E1500B"/>
    <w:rsid w:val="74EE2A9E"/>
    <w:rsid w:val="74F6136A"/>
    <w:rsid w:val="74FB7972"/>
    <w:rsid w:val="750425E2"/>
    <w:rsid w:val="751816E8"/>
    <w:rsid w:val="75254001"/>
    <w:rsid w:val="75267500"/>
    <w:rsid w:val="752B250B"/>
    <w:rsid w:val="7536065A"/>
    <w:rsid w:val="753C5F49"/>
    <w:rsid w:val="753F10B2"/>
    <w:rsid w:val="754848A5"/>
    <w:rsid w:val="754866B7"/>
    <w:rsid w:val="75494EB2"/>
    <w:rsid w:val="754D5BE4"/>
    <w:rsid w:val="75596C15"/>
    <w:rsid w:val="756074E1"/>
    <w:rsid w:val="7572521C"/>
    <w:rsid w:val="75731889"/>
    <w:rsid w:val="75743210"/>
    <w:rsid w:val="757A4300"/>
    <w:rsid w:val="757C1E26"/>
    <w:rsid w:val="75875C1F"/>
    <w:rsid w:val="7589009F"/>
    <w:rsid w:val="75905A00"/>
    <w:rsid w:val="759F2EDB"/>
    <w:rsid w:val="75A26A07"/>
    <w:rsid w:val="75A343EA"/>
    <w:rsid w:val="75BE5F9B"/>
    <w:rsid w:val="75C80BC8"/>
    <w:rsid w:val="75CC7A8A"/>
    <w:rsid w:val="75E023B5"/>
    <w:rsid w:val="75E07270"/>
    <w:rsid w:val="75E32968"/>
    <w:rsid w:val="75E649B2"/>
    <w:rsid w:val="75F428E4"/>
    <w:rsid w:val="7605265A"/>
    <w:rsid w:val="760755CB"/>
    <w:rsid w:val="7622040F"/>
    <w:rsid w:val="76236DC5"/>
    <w:rsid w:val="76435394"/>
    <w:rsid w:val="764F2F74"/>
    <w:rsid w:val="76561F60"/>
    <w:rsid w:val="765D44E7"/>
    <w:rsid w:val="76616400"/>
    <w:rsid w:val="766620E8"/>
    <w:rsid w:val="766B27BF"/>
    <w:rsid w:val="76794315"/>
    <w:rsid w:val="76832D41"/>
    <w:rsid w:val="76842B0A"/>
    <w:rsid w:val="76877AE1"/>
    <w:rsid w:val="7688664F"/>
    <w:rsid w:val="76982C90"/>
    <w:rsid w:val="76A711A9"/>
    <w:rsid w:val="76A82D70"/>
    <w:rsid w:val="76AA5F06"/>
    <w:rsid w:val="76B03922"/>
    <w:rsid w:val="76BB4EC3"/>
    <w:rsid w:val="76C65D5C"/>
    <w:rsid w:val="76C85D93"/>
    <w:rsid w:val="76CF1A94"/>
    <w:rsid w:val="76EB7E51"/>
    <w:rsid w:val="76FF69C3"/>
    <w:rsid w:val="771D7CAE"/>
    <w:rsid w:val="773B6F10"/>
    <w:rsid w:val="77424253"/>
    <w:rsid w:val="77485503"/>
    <w:rsid w:val="77523B02"/>
    <w:rsid w:val="77541DD9"/>
    <w:rsid w:val="775C216C"/>
    <w:rsid w:val="7792001A"/>
    <w:rsid w:val="77B24DF6"/>
    <w:rsid w:val="77BE3684"/>
    <w:rsid w:val="77C14888"/>
    <w:rsid w:val="77CE6AC6"/>
    <w:rsid w:val="77DE7717"/>
    <w:rsid w:val="77E85CD0"/>
    <w:rsid w:val="77EA4AC7"/>
    <w:rsid w:val="77EF67C3"/>
    <w:rsid w:val="77F167F8"/>
    <w:rsid w:val="77FC72FD"/>
    <w:rsid w:val="782F7DE4"/>
    <w:rsid w:val="78372035"/>
    <w:rsid w:val="783E2536"/>
    <w:rsid w:val="78496FD5"/>
    <w:rsid w:val="785A2B20"/>
    <w:rsid w:val="787E4C8B"/>
    <w:rsid w:val="78873337"/>
    <w:rsid w:val="788F1D94"/>
    <w:rsid w:val="789D5D22"/>
    <w:rsid w:val="78A74563"/>
    <w:rsid w:val="78B06FE8"/>
    <w:rsid w:val="78B57A0C"/>
    <w:rsid w:val="78B757EE"/>
    <w:rsid w:val="78BB602C"/>
    <w:rsid w:val="78DA319E"/>
    <w:rsid w:val="78DB1809"/>
    <w:rsid w:val="78DC52FA"/>
    <w:rsid w:val="78E421BD"/>
    <w:rsid w:val="78E602C0"/>
    <w:rsid w:val="78F82189"/>
    <w:rsid w:val="78FE4234"/>
    <w:rsid w:val="79011284"/>
    <w:rsid w:val="790B7A03"/>
    <w:rsid w:val="790C695C"/>
    <w:rsid w:val="790D5AF8"/>
    <w:rsid w:val="790F29E0"/>
    <w:rsid w:val="796F5903"/>
    <w:rsid w:val="79725F32"/>
    <w:rsid w:val="79863891"/>
    <w:rsid w:val="79882412"/>
    <w:rsid w:val="79944AE0"/>
    <w:rsid w:val="79945E43"/>
    <w:rsid w:val="799B2793"/>
    <w:rsid w:val="79B14AF7"/>
    <w:rsid w:val="79BF6D0C"/>
    <w:rsid w:val="79DF41B5"/>
    <w:rsid w:val="79E61DA8"/>
    <w:rsid w:val="79F71A7C"/>
    <w:rsid w:val="7A0014A0"/>
    <w:rsid w:val="7A08012D"/>
    <w:rsid w:val="7A3E58FC"/>
    <w:rsid w:val="7A442D9C"/>
    <w:rsid w:val="7A49039A"/>
    <w:rsid w:val="7A532CB6"/>
    <w:rsid w:val="7A592736"/>
    <w:rsid w:val="7A5C71A9"/>
    <w:rsid w:val="7A71388B"/>
    <w:rsid w:val="7A754FF1"/>
    <w:rsid w:val="7A765FF7"/>
    <w:rsid w:val="7A9923CE"/>
    <w:rsid w:val="7AB4787F"/>
    <w:rsid w:val="7ABD66F8"/>
    <w:rsid w:val="7ACF62B1"/>
    <w:rsid w:val="7AE07B2F"/>
    <w:rsid w:val="7AE45CEE"/>
    <w:rsid w:val="7AF2255A"/>
    <w:rsid w:val="7AF75B4B"/>
    <w:rsid w:val="7B050387"/>
    <w:rsid w:val="7B281FE6"/>
    <w:rsid w:val="7B2F3497"/>
    <w:rsid w:val="7B4748DE"/>
    <w:rsid w:val="7B4E49E1"/>
    <w:rsid w:val="7B6D5648"/>
    <w:rsid w:val="7B6F2C7C"/>
    <w:rsid w:val="7B737828"/>
    <w:rsid w:val="7B7E576A"/>
    <w:rsid w:val="7B8B25EE"/>
    <w:rsid w:val="7B8E643A"/>
    <w:rsid w:val="7B9038D6"/>
    <w:rsid w:val="7B9E14BE"/>
    <w:rsid w:val="7BAA6A9F"/>
    <w:rsid w:val="7BB8348D"/>
    <w:rsid w:val="7BCA6693"/>
    <w:rsid w:val="7BCC40DA"/>
    <w:rsid w:val="7BCD6327"/>
    <w:rsid w:val="7BD76009"/>
    <w:rsid w:val="7BD80CFF"/>
    <w:rsid w:val="7BF44E77"/>
    <w:rsid w:val="7BF56305"/>
    <w:rsid w:val="7BFF1C26"/>
    <w:rsid w:val="7C1033EC"/>
    <w:rsid w:val="7C140522"/>
    <w:rsid w:val="7C140577"/>
    <w:rsid w:val="7C167C43"/>
    <w:rsid w:val="7C1C5C7D"/>
    <w:rsid w:val="7C2A112F"/>
    <w:rsid w:val="7C3439FB"/>
    <w:rsid w:val="7C3554EF"/>
    <w:rsid w:val="7C377CFC"/>
    <w:rsid w:val="7C416CBC"/>
    <w:rsid w:val="7C695698"/>
    <w:rsid w:val="7C773C0C"/>
    <w:rsid w:val="7C7A14E5"/>
    <w:rsid w:val="7C870FA0"/>
    <w:rsid w:val="7C8D771E"/>
    <w:rsid w:val="7C943EFA"/>
    <w:rsid w:val="7CA51E02"/>
    <w:rsid w:val="7CA577DB"/>
    <w:rsid w:val="7CAA0344"/>
    <w:rsid w:val="7CAF4932"/>
    <w:rsid w:val="7CB7261F"/>
    <w:rsid w:val="7CBB7255"/>
    <w:rsid w:val="7CBC664D"/>
    <w:rsid w:val="7CD2099F"/>
    <w:rsid w:val="7CDA664A"/>
    <w:rsid w:val="7CEA1D6C"/>
    <w:rsid w:val="7CEE3197"/>
    <w:rsid w:val="7CF35B45"/>
    <w:rsid w:val="7D0971B9"/>
    <w:rsid w:val="7D0C10ED"/>
    <w:rsid w:val="7D0C5A4B"/>
    <w:rsid w:val="7D165662"/>
    <w:rsid w:val="7D1F01B3"/>
    <w:rsid w:val="7D240DFD"/>
    <w:rsid w:val="7D383596"/>
    <w:rsid w:val="7D3D3EF3"/>
    <w:rsid w:val="7D420743"/>
    <w:rsid w:val="7D43322A"/>
    <w:rsid w:val="7D472D1A"/>
    <w:rsid w:val="7D7004C3"/>
    <w:rsid w:val="7D743B20"/>
    <w:rsid w:val="7D796A66"/>
    <w:rsid w:val="7D851A7D"/>
    <w:rsid w:val="7D8721B4"/>
    <w:rsid w:val="7D882F97"/>
    <w:rsid w:val="7D937D0D"/>
    <w:rsid w:val="7DA21751"/>
    <w:rsid w:val="7DBD6A61"/>
    <w:rsid w:val="7DCD6060"/>
    <w:rsid w:val="7DE23B38"/>
    <w:rsid w:val="7DE51A81"/>
    <w:rsid w:val="7E183C3C"/>
    <w:rsid w:val="7E1C461D"/>
    <w:rsid w:val="7E254172"/>
    <w:rsid w:val="7E352C5E"/>
    <w:rsid w:val="7E485BBB"/>
    <w:rsid w:val="7E545969"/>
    <w:rsid w:val="7E615E1A"/>
    <w:rsid w:val="7E6645E3"/>
    <w:rsid w:val="7E6F077A"/>
    <w:rsid w:val="7E760AD4"/>
    <w:rsid w:val="7E777018"/>
    <w:rsid w:val="7E8273B2"/>
    <w:rsid w:val="7E8A3C61"/>
    <w:rsid w:val="7E982939"/>
    <w:rsid w:val="7E9B6864"/>
    <w:rsid w:val="7EB37A2E"/>
    <w:rsid w:val="7EBA35F0"/>
    <w:rsid w:val="7ECB1EA2"/>
    <w:rsid w:val="7ECE4B07"/>
    <w:rsid w:val="7EE53038"/>
    <w:rsid w:val="7EE860B0"/>
    <w:rsid w:val="7F06446C"/>
    <w:rsid w:val="7F0D3BE6"/>
    <w:rsid w:val="7F111831"/>
    <w:rsid w:val="7F140B59"/>
    <w:rsid w:val="7F175975"/>
    <w:rsid w:val="7F19401C"/>
    <w:rsid w:val="7F1A4EF3"/>
    <w:rsid w:val="7F1B715B"/>
    <w:rsid w:val="7F414406"/>
    <w:rsid w:val="7F4D0390"/>
    <w:rsid w:val="7F5E3123"/>
    <w:rsid w:val="7F6D3FFA"/>
    <w:rsid w:val="7F797FA8"/>
    <w:rsid w:val="7F836729"/>
    <w:rsid w:val="7F953011"/>
    <w:rsid w:val="7FB03369"/>
    <w:rsid w:val="7FB64187"/>
    <w:rsid w:val="7FC361D4"/>
    <w:rsid w:val="7FC736F3"/>
    <w:rsid w:val="7FCE6521"/>
    <w:rsid w:val="7FD27ED2"/>
    <w:rsid w:val="7FDF1FC4"/>
    <w:rsid w:val="7FF16A27"/>
    <w:rsid w:val="7FF63D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qFormat="1" w:uiPriority="99" w:semiHidden="0"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qFormat="1" w:uiPriority="99" w:semiHidden="0" w:name="footnote reference"/>
    <w:lsdException w:qFormat="1" w:unhideWhenUsed="0" w:uiPriority="0" w:semiHidden="0"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qFormat="1" w:unhideWhenUsed="0"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cs="Arial" w:eastAsiaTheme="minorEastAsia"/>
      <w:snapToGrid w:val="0"/>
      <w:color w:val="000000"/>
      <w:sz w:val="21"/>
      <w:szCs w:val="21"/>
      <w:lang w:val="en-US" w:eastAsia="zh-CN" w:bidi="ar-SA"/>
    </w:rPr>
  </w:style>
  <w:style w:type="paragraph" w:styleId="5">
    <w:name w:val="heading 1"/>
    <w:basedOn w:val="1"/>
    <w:next w:val="1"/>
    <w:link w:val="48"/>
    <w:qFormat/>
    <w:uiPriority w:val="9"/>
    <w:pPr>
      <w:widowControl w:val="0"/>
      <w:overflowPunct w:val="0"/>
      <w:spacing w:before="300" w:after="300" w:line="580" w:lineRule="exact"/>
      <w:ind w:firstLine="200" w:firstLineChars="200"/>
      <w:outlineLvl w:val="0"/>
    </w:pPr>
    <w:rPr>
      <w:rFonts w:eastAsia="黑体"/>
      <w:b/>
      <w:bCs/>
      <w:kern w:val="44"/>
      <w:sz w:val="32"/>
      <w:szCs w:val="44"/>
    </w:rPr>
  </w:style>
  <w:style w:type="paragraph" w:styleId="6">
    <w:name w:val="heading 2"/>
    <w:basedOn w:val="1"/>
    <w:next w:val="1"/>
    <w:link w:val="40"/>
    <w:unhideWhenUsed/>
    <w:qFormat/>
    <w:uiPriority w:val="9"/>
    <w:pPr>
      <w:widowControl w:val="0"/>
      <w:overflowPunct w:val="0"/>
      <w:spacing w:before="300" w:after="300" w:line="580" w:lineRule="exact"/>
      <w:ind w:firstLine="200" w:firstLineChars="200"/>
      <w:outlineLvl w:val="1"/>
    </w:pPr>
    <w:rPr>
      <w:rFonts w:eastAsia="楷体" w:asciiTheme="majorHAnsi" w:hAnsiTheme="majorHAnsi" w:cstheme="majorBidi"/>
      <w:b/>
      <w:bCs/>
      <w:sz w:val="32"/>
      <w:szCs w:val="32"/>
    </w:rPr>
  </w:style>
  <w:style w:type="paragraph" w:styleId="7">
    <w:name w:val="heading 3"/>
    <w:basedOn w:val="1"/>
    <w:next w:val="1"/>
    <w:link w:val="41"/>
    <w:unhideWhenUsed/>
    <w:qFormat/>
    <w:uiPriority w:val="9"/>
    <w:pPr>
      <w:widowControl w:val="0"/>
      <w:overflowPunct w:val="0"/>
      <w:spacing w:before="300" w:after="300" w:line="580" w:lineRule="exact"/>
      <w:ind w:firstLine="200" w:firstLineChars="200"/>
      <w:jc w:val="both"/>
      <w:outlineLvl w:val="2"/>
    </w:pPr>
    <w:rPr>
      <w:rFonts w:eastAsia="仿宋"/>
      <w:b/>
      <w:bCs/>
      <w:sz w:val="32"/>
      <w:szCs w:val="32"/>
    </w:rPr>
  </w:style>
  <w:style w:type="paragraph" w:styleId="8">
    <w:name w:val="heading 4"/>
    <w:basedOn w:val="1"/>
    <w:next w:val="1"/>
    <w:link w:val="60"/>
    <w:unhideWhenUsed/>
    <w:qFormat/>
    <w:uiPriority w:val="9"/>
    <w:pPr>
      <w:keepNext/>
      <w:keepLines/>
      <w:kinsoku/>
      <w:overflowPunct w:val="0"/>
      <w:snapToGrid/>
      <w:spacing w:before="280" w:after="290" w:line="376" w:lineRule="auto"/>
      <w:jc w:val="both"/>
      <w:outlineLvl w:val="3"/>
    </w:pPr>
    <w:rPr>
      <w:rFonts w:ascii="等线 Light" w:hAnsi="等线 Light" w:eastAsia="等线 Light" w:cs="Times New Roman"/>
      <w:b/>
      <w:bCs/>
      <w:snapToGrid/>
      <w:color w:val="auto"/>
      <w:sz w:val="28"/>
      <w:szCs w:val="28"/>
      <w:lang w:val="zh-CN"/>
    </w:rPr>
  </w:style>
  <w:style w:type="character" w:default="1" w:styleId="33">
    <w:name w:val="Default Paragraph Font"/>
    <w:semiHidden/>
    <w:unhideWhenUsed/>
    <w:qFormat/>
    <w:uiPriority w:val="1"/>
  </w:style>
  <w:style w:type="table" w:default="1" w:styleId="31">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qFormat/>
    <w:uiPriority w:val="99"/>
    <w:pPr>
      <w:ind w:left="0" w:firstLine="40"/>
    </w:pPr>
    <w:rPr>
      <w:rFonts w:ascii="仿宋_GB2312" w:hAnsi="仿宋_GB2312" w:eastAsia="仿宋" w:cs="仿宋_GB2312"/>
      <w:sz w:val="32"/>
      <w:szCs w:val="32"/>
    </w:rPr>
  </w:style>
  <w:style w:type="paragraph" w:styleId="3">
    <w:name w:val="Body Text Indent"/>
    <w:basedOn w:val="1"/>
    <w:next w:val="4"/>
    <w:qFormat/>
    <w:uiPriority w:val="99"/>
    <w:pPr>
      <w:spacing w:after="120"/>
      <w:ind w:left="420"/>
    </w:pPr>
  </w:style>
  <w:style w:type="paragraph" w:customStyle="1" w:styleId="4">
    <w:name w:val="toc 61"/>
    <w:next w:val="1"/>
    <w:qFormat/>
    <w:uiPriority w:val="0"/>
    <w:pPr>
      <w:wordWrap w:val="0"/>
      <w:ind w:left="2125"/>
      <w:jc w:val="both"/>
    </w:pPr>
    <w:rPr>
      <w:rFonts w:ascii="Calibri" w:hAnsi="Calibri" w:eastAsia="宋体" w:cs="Times New Roman"/>
      <w:sz w:val="21"/>
      <w:lang w:val="en-US" w:eastAsia="zh-CN" w:bidi="ar-SA"/>
    </w:rPr>
  </w:style>
  <w:style w:type="paragraph" w:styleId="9">
    <w:name w:val="toc 7"/>
    <w:basedOn w:val="1"/>
    <w:next w:val="1"/>
    <w:unhideWhenUsed/>
    <w:qFormat/>
    <w:uiPriority w:val="39"/>
    <w:pPr>
      <w:kinsoku/>
      <w:overflowPunct w:val="0"/>
      <w:snapToGrid/>
      <w:ind w:left="1260"/>
    </w:pPr>
    <w:rPr>
      <w:rFonts w:ascii="等线" w:hAnsi="Times New Roman" w:eastAsia="等线" w:cs="Times New Roman"/>
      <w:snapToGrid/>
      <w:color w:val="auto"/>
      <w:sz w:val="18"/>
      <w:szCs w:val="18"/>
    </w:rPr>
  </w:style>
  <w:style w:type="paragraph" w:styleId="10">
    <w:name w:val="Normal Indent"/>
    <w:qFormat/>
    <w:uiPriority w:val="0"/>
    <w:pPr>
      <w:widowControl w:val="0"/>
      <w:spacing w:line="360" w:lineRule="auto"/>
      <w:ind w:firstLine="200" w:firstLineChars="200"/>
      <w:jc w:val="both"/>
    </w:pPr>
    <w:rPr>
      <w:rFonts w:ascii="Calibri" w:hAnsi="Calibri" w:eastAsia="宋体" w:cs="Times New Roman"/>
      <w:kern w:val="2"/>
      <w:sz w:val="24"/>
      <w:szCs w:val="24"/>
      <w:lang w:val="en-US" w:eastAsia="zh-CN" w:bidi="ar-SA"/>
    </w:rPr>
  </w:style>
  <w:style w:type="paragraph" w:styleId="11">
    <w:name w:val="caption"/>
    <w:basedOn w:val="1"/>
    <w:next w:val="1"/>
    <w:unhideWhenUsed/>
    <w:qFormat/>
    <w:uiPriority w:val="0"/>
    <w:rPr>
      <w:rFonts w:eastAsia="黑体"/>
      <w:sz w:val="20"/>
    </w:rPr>
  </w:style>
  <w:style w:type="paragraph" w:styleId="12">
    <w:name w:val="Document Map"/>
    <w:basedOn w:val="1"/>
    <w:link w:val="91"/>
    <w:qFormat/>
    <w:uiPriority w:val="0"/>
    <w:pPr>
      <w:kinsoku/>
      <w:overflowPunct w:val="0"/>
      <w:snapToGrid/>
      <w:jc w:val="both"/>
    </w:pPr>
    <w:rPr>
      <w:rFonts w:ascii="宋体" w:hAnsi="Times New Roman" w:eastAsia="宋体" w:cs="Times New Roman"/>
      <w:snapToGrid/>
      <w:color w:val="auto"/>
      <w:sz w:val="18"/>
      <w:szCs w:val="18"/>
      <w:lang w:val="zh-CN"/>
    </w:rPr>
  </w:style>
  <w:style w:type="paragraph" w:styleId="13">
    <w:name w:val="annotation text"/>
    <w:basedOn w:val="1"/>
    <w:link w:val="88"/>
    <w:qFormat/>
    <w:uiPriority w:val="0"/>
    <w:pPr>
      <w:kinsoku/>
      <w:overflowPunct w:val="0"/>
      <w:snapToGrid/>
    </w:pPr>
    <w:rPr>
      <w:rFonts w:ascii="Times New Roman" w:hAnsi="Times New Roman" w:eastAsia="宋体" w:cs="Times New Roman"/>
      <w:snapToGrid/>
      <w:color w:val="auto"/>
      <w:lang w:val="zh-CN"/>
    </w:rPr>
  </w:style>
  <w:style w:type="paragraph" w:styleId="14">
    <w:name w:val="Body Text"/>
    <w:basedOn w:val="1"/>
    <w:next w:val="1"/>
    <w:link w:val="49"/>
    <w:qFormat/>
    <w:uiPriority w:val="0"/>
    <w:pPr>
      <w:widowControl w:val="0"/>
      <w:overflowPunct w:val="0"/>
      <w:spacing w:line="580" w:lineRule="exact"/>
      <w:ind w:firstLine="200" w:firstLineChars="200"/>
      <w:jc w:val="both"/>
      <w:textAlignment w:val="auto"/>
    </w:pPr>
    <w:rPr>
      <w:rFonts w:ascii="仿宋_GB2312" w:hAnsi="仿宋_GB2312" w:eastAsia="仿宋_GB2312" w:cs="仿宋_GB2312"/>
      <w:kern w:val="2"/>
      <w:sz w:val="30"/>
      <w:szCs w:val="32"/>
      <w:lang w:val="zh-CN" w:bidi="zh-CN"/>
    </w:rPr>
  </w:style>
  <w:style w:type="paragraph" w:styleId="15">
    <w:name w:val="toc 5"/>
    <w:basedOn w:val="1"/>
    <w:next w:val="1"/>
    <w:unhideWhenUsed/>
    <w:qFormat/>
    <w:uiPriority w:val="39"/>
    <w:pPr>
      <w:kinsoku/>
      <w:overflowPunct w:val="0"/>
      <w:snapToGrid/>
      <w:ind w:left="840"/>
    </w:pPr>
    <w:rPr>
      <w:rFonts w:ascii="等线" w:hAnsi="Times New Roman" w:eastAsia="等线" w:cs="Times New Roman"/>
      <w:snapToGrid/>
      <w:color w:val="auto"/>
      <w:sz w:val="18"/>
      <w:szCs w:val="18"/>
    </w:rPr>
  </w:style>
  <w:style w:type="paragraph" w:styleId="16">
    <w:name w:val="toc 3"/>
    <w:basedOn w:val="1"/>
    <w:next w:val="1"/>
    <w:unhideWhenUsed/>
    <w:qFormat/>
    <w:uiPriority w:val="39"/>
    <w:pPr>
      <w:kinsoku/>
      <w:overflowPunct w:val="0"/>
      <w:snapToGrid/>
      <w:ind w:left="420"/>
    </w:pPr>
    <w:rPr>
      <w:rFonts w:ascii="等线" w:hAnsi="Times New Roman" w:eastAsia="等线" w:cs="Times New Roman"/>
      <w:i/>
      <w:iCs/>
      <w:snapToGrid/>
      <w:color w:val="auto"/>
      <w:sz w:val="20"/>
      <w:szCs w:val="20"/>
    </w:rPr>
  </w:style>
  <w:style w:type="paragraph" w:styleId="17">
    <w:name w:val="Plain Text"/>
    <w:basedOn w:val="1"/>
    <w:qFormat/>
    <w:uiPriority w:val="0"/>
  </w:style>
  <w:style w:type="paragraph" w:styleId="18">
    <w:name w:val="toc 8"/>
    <w:basedOn w:val="1"/>
    <w:next w:val="1"/>
    <w:unhideWhenUsed/>
    <w:qFormat/>
    <w:uiPriority w:val="39"/>
    <w:pPr>
      <w:kinsoku/>
      <w:overflowPunct w:val="0"/>
      <w:snapToGrid/>
      <w:ind w:left="1470"/>
    </w:pPr>
    <w:rPr>
      <w:rFonts w:ascii="等线" w:hAnsi="Times New Roman" w:eastAsia="等线" w:cs="Times New Roman"/>
      <w:snapToGrid/>
      <w:color w:val="auto"/>
      <w:sz w:val="18"/>
      <w:szCs w:val="18"/>
    </w:rPr>
  </w:style>
  <w:style w:type="paragraph" w:styleId="19">
    <w:name w:val="Balloon Text"/>
    <w:basedOn w:val="1"/>
    <w:link w:val="45"/>
    <w:unhideWhenUsed/>
    <w:qFormat/>
    <w:uiPriority w:val="99"/>
    <w:rPr>
      <w:sz w:val="18"/>
      <w:szCs w:val="18"/>
    </w:rPr>
  </w:style>
  <w:style w:type="paragraph" w:styleId="20">
    <w:name w:val="footer"/>
    <w:basedOn w:val="1"/>
    <w:link w:val="44"/>
    <w:unhideWhenUsed/>
    <w:qFormat/>
    <w:uiPriority w:val="99"/>
    <w:pPr>
      <w:tabs>
        <w:tab w:val="center" w:pos="4153"/>
        <w:tab w:val="right" w:pos="8306"/>
      </w:tabs>
    </w:pPr>
    <w:rPr>
      <w:sz w:val="18"/>
      <w:szCs w:val="18"/>
    </w:rPr>
  </w:style>
  <w:style w:type="paragraph" w:styleId="21">
    <w:name w:val="header"/>
    <w:basedOn w:val="1"/>
    <w:link w:val="43"/>
    <w:unhideWhenUsed/>
    <w:qFormat/>
    <w:uiPriority w:val="99"/>
    <w:pPr>
      <w:pBdr>
        <w:bottom w:val="single" w:color="auto" w:sz="6" w:space="1"/>
      </w:pBdr>
      <w:tabs>
        <w:tab w:val="center" w:pos="4153"/>
        <w:tab w:val="right" w:pos="8306"/>
      </w:tabs>
      <w:jc w:val="center"/>
    </w:pPr>
    <w:rPr>
      <w:sz w:val="18"/>
      <w:szCs w:val="18"/>
    </w:rPr>
  </w:style>
  <w:style w:type="paragraph" w:styleId="22">
    <w:name w:val="toc 1"/>
    <w:basedOn w:val="1"/>
    <w:next w:val="1"/>
    <w:unhideWhenUsed/>
    <w:qFormat/>
    <w:uiPriority w:val="39"/>
    <w:pPr>
      <w:kinsoku/>
      <w:overflowPunct w:val="0"/>
      <w:snapToGrid/>
      <w:spacing w:before="120" w:after="120"/>
    </w:pPr>
    <w:rPr>
      <w:rFonts w:ascii="等线" w:hAnsi="Times New Roman" w:eastAsia="等线" w:cs="Times New Roman"/>
      <w:b/>
      <w:bCs/>
      <w:caps/>
      <w:snapToGrid/>
      <w:color w:val="auto"/>
      <w:sz w:val="20"/>
      <w:szCs w:val="20"/>
    </w:rPr>
  </w:style>
  <w:style w:type="paragraph" w:styleId="23">
    <w:name w:val="toc 4"/>
    <w:basedOn w:val="1"/>
    <w:next w:val="1"/>
    <w:unhideWhenUsed/>
    <w:qFormat/>
    <w:uiPriority w:val="39"/>
    <w:pPr>
      <w:kinsoku/>
      <w:overflowPunct w:val="0"/>
      <w:snapToGrid/>
      <w:ind w:left="630"/>
    </w:pPr>
    <w:rPr>
      <w:rFonts w:ascii="等线" w:hAnsi="Times New Roman" w:eastAsia="等线" w:cs="Times New Roman"/>
      <w:snapToGrid/>
      <w:color w:val="auto"/>
      <w:sz w:val="18"/>
      <w:szCs w:val="18"/>
    </w:rPr>
  </w:style>
  <w:style w:type="paragraph" w:styleId="24">
    <w:name w:val="Subtitle"/>
    <w:basedOn w:val="1"/>
    <w:next w:val="1"/>
    <w:link w:val="46"/>
    <w:qFormat/>
    <w:uiPriority w:val="0"/>
    <w:pPr>
      <w:widowControl w:val="0"/>
      <w:overflowPunct w:val="0"/>
      <w:spacing w:line="580" w:lineRule="exact"/>
      <w:ind w:firstLine="643" w:firstLineChars="200"/>
      <w:jc w:val="both"/>
      <w:textAlignment w:val="auto"/>
      <w:outlineLvl w:val="2"/>
    </w:pPr>
    <w:rPr>
      <w:rFonts w:ascii="仿宋_GB2312" w:hAnsi="等线 Light" w:eastAsia="仿宋_GB2312"/>
      <w:b/>
      <w:bCs/>
      <w:kern w:val="28"/>
      <w:sz w:val="32"/>
      <w:szCs w:val="32"/>
    </w:rPr>
  </w:style>
  <w:style w:type="paragraph" w:styleId="25">
    <w:name w:val="footnote text"/>
    <w:basedOn w:val="1"/>
    <w:unhideWhenUsed/>
    <w:qFormat/>
    <w:uiPriority w:val="99"/>
    <w:rPr>
      <w:sz w:val="18"/>
    </w:rPr>
  </w:style>
  <w:style w:type="paragraph" w:styleId="26">
    <w:name w:val="toc 2"/>
    <w:basedOn w:val="1"/>
    <w:next w:val="1"/>
    <w:unhideWhenUsed/>
    <w:qFormat/>
    <w:uiPriority w:val="39"/>
    <w:pPr>
      <w:kinsoku/>
      <w:overflowPunct w:val="0"/>
      <w:snapToGrid/>
      <w:ind w:left="210"/>
    </w:pPr>
    <w:rPr>
      <w:rFonts w:ascii="等线" w:hAnsi="Times New Roman" w:eastAsia="等线" w:cs="Times New Roman"/>
      <w:smallCaps/>
      <w:snapToGrid/>
      <w:color w:val="auto"/>
      <w:sz w:val="20"/>
      <w:szCs w:val="20"/>
    </w:rPr>
  </w:style>
  <w:style w:type="paragraph" w:styleId="27">
    <w:name w:val="toc 9"/>
    <w:basedOn w:val="1"/>
    <w:next w:val="1"/>
    <w:unhideWhenUsed/>
    <w:qFormat/>
    <w:uiPriority w:val="39"/>
    <w:pPr>
      <w:kinsoku/>
      <w:overflowPunct w:val="0"/>
      <w:snapToGrid/>
      <w:ind w:left="1680"/>
    </w:pPr>
    <w:rPr>
      <w:rFonts w:ascii="等线" w:hAnsi="Times New Roman" w:eastAsia="等线" w:cs="Times New Roman"/>
      <w:snapToGrid/>
      <w:color w:val="auto"/>
      <w:sz w:val="18"/>
      <w:szCs w:val="18"/>
    </w:rPr>
  </w:style>
  <w:style w:type="paragraph" w:styleId="28">
    <w:name w:val="Normal (Web)"/>
    <w:basedOn w:val="1"/>
    <w:next w:val="1"/>
    <w:unhideWhenUsed/>
    <w:qFormat/>
    <w:uiPriority w:val="99"/>
    <w:pPr>
      <w:kinsoku/>
      <w:autoSpaceDE/>
      <w:autoSpaceDN/>
      <w:adjustRightInd/>
      <w:snapToGrid/>
      <w:spacing w:before="100" w:beforeAutospacing="1" w:after="100" w:afterAutospacing="1"/>
      <w:textAlignment w:val="auto"/>
    </w:pPr>
    <w:rPr>
      <w:rFonts w:ascii="宋体" w:hAnsi="宋体" w:eastAsia="宋体" w:cs="宋体"/>
      <w:snapToGrid/>
      <w:color w:val="auto"/>
      <w:sz w:val="24"/>
      <w:szCs w:val="24"/>
    </w:rPr>
  </w:style>
  <w:style w:type="paragraph" w:styleId="29">
    <w:name w:val="Title"/>
    <w:basedOn w:val="1"/>
    <w:next w:val="1"/>
    <w:qFormat/>
    <w:uiPriority w:val="0"/>
    <w:pPr>
      <w:kinsoku w:val="0"/>
      <w:overflowPunct w:val="0"/>
      <w:autoSpaceDE w:val="0"/>
      <w:autoSpaceDN w:val="0"/>
      <w:adjustRightInd w:val="0"/>
      <w:snapToGrid w:val="0"/>
      <w:spacing w:line="580" w:lineRule="exact"/>
      <w:ind w:firstLine="200" w:firstLineChars="200"/>
      <w:outlineLvl w:val="1"/>
    </w:pPr>
    <w:rPr>
      <w:rFonts w:ascii="等线 Light" w:hAnsi="等线 Light" w:eastAsia="楷体_GB2312" w:cs="Times New Roman"/>
      <w:b/>
      <w:bCs/>
      <w:sz w:val="32"/>
      <w:szCs w:val="32"/>
    </w:rPr>
  </w:style>
  <w:style w:type="paragraph" w:styleId="30">
    <w:name w:val="annotation subject"/>
    <w:basedOn w:val="13"/>
    <w:next w:val="13"/>
    <w:link w:val="89"/>
    <w:qFormat/>
    <w:uiPriority w:val="0"/>
    <w:rPr>
      <w:b/>
      <w:bCs/>
    </w:rPr>
  </w:style>
  <w:style w:type="table" w:styleId="32">
    <w:name w:val="Table Grid"/>
    <w:basedOn w:val="31"/>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4">
    <w:name w:val="page number"/>
    <w:basedOn w:val="33"/>
    <w:qFormat/>
    <w:uiPriority w:val="99"/>
  </w:style>
  <w:style w:type="character" w:styleId="35">
    <w:name w:val="FollowedHyperlink"/>
    <w:unhideWhenUsed/>
    <w:qFormat/>
    <w:uiPriority w:val="99"/>
    <w:rPr>
      <w:color w:val="954F72"/>
      <w:u w:val="single"/>
    </w:rPr>
  </w:style>
  <w:style w:type="character" w:styleId="36">
    <w:name w:val="Hyperlink"/>
    <w:unhideWhenUsed/>
    <w:qFormat/>
    <w:uiPriority w:val="99"/>
    <w:rPr>
      <w:color w:val="0563C1"/>
      <w:u w:val="single"/>
    </w:rPr>
  </w:style>
  <w:style w:type="character" w:styleId="37">
    <w:name w:val="annotation reference"/>
    <w:qFormat/>
    <w:uiPriority w:val="0"/>
    <w:rPr>
      <w:sz w:val="21"/>
      <w:szCs w:val="21"/>
    </w:rPr>
  </w:style>
  <w:style w:type="character" w:styleId="38">
    <w:name w:val="footnote reference"/>
    <w:basedOn w:val="33"/>
    <w:unhideWhenUsed/>
    <w:qFormat/>
    <w:uiPriority w:val="99"/>
    <w:rPr>
      <w:vertAlign w:val="superscript"/>
    </w:rPr>
  </w:style>
  <w:style w:type="paragraph" w:customStyle="1" w:styleId="39">
    <w:name w:val="列出段落1"/>
    <w:basedOn w:val="1"/>
    <w:qFormat/>
    <w:uiPriority w:val="34"/>
    <w:pPr>
      <w:widowControl w:val="0"/>
      <w:overflowPunct w:val="0"/>
      <w:spacing w:line="580" w:lineRule="exact"/>
      <w:ind w:firstLine="420" w:firstLineChars="200"/>
      <w:jc w:val="both"/>
      <w:textAlignment w:val="auto"/>
    </w:pPr>
    <w:rPr>
      <w:rFonts w:ascii="Calibri" w:hAnsi="Calibri" w:eastAsia="仿宋_GB2312" w:cs="Times New Roman"/>
      <w:snapToGrid/>
      <w:color w:val="auto"/>
      <w:kern w:val="2"/>
      <w:sz w:val="30"/>
      <w:szCs w:val="24"/>
    </w:rPr>
  </w:style>
  <w:style w:type="character" w:customStyle="1" w:styleId="40">
    <w:name w:val="标题 2 Char"/>
    <w:basedOn w:val="33"/>
    <w:link w:val="6"/>
    <w:qFormat/>
    <w:uiPriority w:val="9"/>
    <w:rPr>
      <w:rFonts w:eastAsia="楷体" w:asciiTheme="majorHAnsi" w:hAnsiTheme="majorHAnsi" w:cstheme="majorBidi"/>
      <w:b/>
      <w:bCs/>
      <w:sz w:val="32"/>
      <w:szCs w:val="32"/>
    </w:rPr>
  </w:style>
  <w:style w:type="character" w:customStyle="1" w:styleId="41">
    <w:name w:val="标题 3 Char"/>
    <w:basedOn w:val="33"/>
    <w:link w:val="7"/>
    <w:qFormat/>
    <w:uiPriority w:val="9"/>
    <w:rPr>
      <w:rFonts w:eastAsia="仿宋"/>
      <w:b/>
      <w:bCs/>
      <w:sz w:val="32"/>
      <w:szCs w:val="32"/>
    </w:rPr>
  </w:style>
  <w:style w:type="table" w:customStyle="1" w:styleId="42">
    <w:name w:val="Table Normal"/>
    <w:unhideWhenUsed/>
    <w:qFormat/>
    <w:uiPriority w:val="0"/>
    <w:tblPr>
      <w:tblCellMar>
        <w:top w:w="0" w:type="dxa"/>
        <w:left w:w="0" w:type="dxa"/>
        <w:bottom w:w="0" w:type="dxa"/>
        <w:right w:w="0" w:type="dxa"/>
      </w:tblCellMar>
    </w:tblPr>
  </w:style>
  <w:style w:type="character" w:customStyle="1" w:styleId="43">
    <w:name w:val="页眉 Char"/>
    <w:basedOn w:val="33"/>
    <w:link w:val="21"/>
    <w:qFormat/>
    <w:uiPriority w:val="99"/>
    <w:rPr>
      <w:sz w:val="18"/>
      <w:szCs w:val="18"/>
    </w:rPr>
  </w:style>
  <w:style w:type="character" w:customStyle="1" w:styleId="44">
    <w:name w:val="页脚 Char"/>
    <w:basedOn w:val="33"/>
    <w:link w:val="20"/>
    <w:qFormat/>
    <w:uiPriority w:val="99"/>
    <w:rPr>
      <w:sz w:val="18"/>
      <w:szCs w:val="18"/>
    </w:rPr>
  </w:style>
  <w:style w:type="character" w:customStyle="1" w:styleId="45">
    <w:name w:val="批注框文本 Char"/>
    <w:basedOn w:val="33"/>
    <w:link w:val="19"/>
    <w:semiHidden/>
    <w:qFormat/>
    <w:uiPriority w:val="99"/>
    <w:rPr>
      <w:sz w:val="18"/>
      <w:szCs w:val="18"/>
    </w:rPr>
  </w:style>
  <w:style w:type="character" w:customStyle="1" w:styleId="46">
    <w:name w:val="副标题 Char"/>
    <w:link w:val="24"/>
    <w:qFormat/>
    <w:uiPriority w:val="0"/>
    <w:rPr>
      <w:rFonts w:ascii="仿宋_GB2312" w:hAnsi="等线 Light" w:eastAsia="仿宋_GB2312"/>
      <w:b/>
      <w:bCs/>
      <w:kern w:val="28"/>
      <w:sz w:val="32"/>
      <w:szCs w:val="32"/>
    </w:rPr>
  </w:style>
  <w:style w:type="character" w:customStyle="1" w:styleId="47">
    <w:name w:val="副标题 字符1"/>
    <w:basedOn w:val="33"/>
    <w:qFormat/>
    <w:uiPriority w:val="11"/>
    <w:rPr>
      <w:rFonts w:asciiTheme="minorHAnsi" w:hAnsiTheme="minorHAnsi" w:cstheme="minorBidi"/>
      <w:b/>
      <w:bCs/>
      <w:kern w:val="28"/>
      <w:sz w:val="32"/>
      <w:szCs w:val="32"/>
    </w:rPr>
  </w:style>
  <w:style w:type="character" w:customStyle="1" w:styleId="48">
    <w:name w:val="标题 1 Char"/>
    <w:basedOn w:val="33"/>
    <w:link w:val="5"/>
    <w:qFormat/>
    <w:uiPriority w:val="9"/>
    <w:rPr>
      <w:rFonts w:eastAsia="黑体"/>
      <w:b/>
      <w:bCs/>
      <w:kern w:val="44"/>
      <w:sz w:val="32"/>
      <w:szCs w:val="44"/>
    </w:rPr>
  </w:style>
  <w:style w:type="character" w:customStyle="1" w:styleId="49">
    <w:name w:val="正文文本 Char"/>
    <w:link w:val="14"/>
    <w:qFormat/>
    <w:uiPriority w:val="0"/>
    <w:rPr>
      <w:rFonts w:ascii="仿宋_GB2312" w:hAnsi="仿宋_GB2312" w:eastAsia="仿宋_GB2312" w:cs="仿宋_GB2312"/>
      <w:kern w:val="2"/>
      <w:sz w:val="30"/>
      <w:szCs w:val="32"/>
      <w:lang w:val="zh-CN" w:bidi="zh-CN"/>
    </w:rPr>
  </w:style>
  <w:style w:type="character" w:customStyle="1" w:styleId="50">
    <w:name w:val="正文文本 字符1"/>
    <w:basedOn w:val="33"/>
    <w:semiHidden/>
    <w:qFormat/>
    <w:uiPriority w:val="99"/>
  </w:style>
  <w:style w:type="character" w:customStyle="1" w:styleId="51">
    <w:name w:val="font21"/>
    <w:qFormat/>
    <w:uiPriority w:val="0"/>
    <w:rPr>
      <w:rFonts w:hint="eastAsia" w:ascii="宋体" w:hAnsi="宋体" w:eastAsia="宋体" w:cs="宋体"/>
      <w:color w:val="000000"/>
      <w:sz w:val="22"/>
      <w:szCs w:val="22"/>
      <w:u w:val="none"/>
    </w:rPr>
  </w:style>
  <w:style w:type="character" w:customStyle="1" w:styleId="52">
    <w:name w:val="font01"/>
    <w:qFormat/>
    <w:uiPriority w:val="0"/>
    <w:rPr>
      <w:rFonts w:ascii="仿宋_GB2312" w:eastAsia="仿宋_GB2312" w:cs="仿宋_GB2312"/>
      <w:color w:val="000000"/>
      <w:sz w:val="22"/>
      <w:szCs w:val="22"/>
      <w:u w:val="none"/>
    </w:rPr>
  </w:style>
  <w:style w:type="character" w:customStyle="1" w:styleId="53">
    <w:name w:val="Other|1_"/>
    <w:link w:val="54"/>
    <w:qFormat/>
    <w:uiPriority w:val="0"/>
    <w:rPr>
      <w:sz w:val="22"/>
      <w:szCs w:val="22"/>
      <w:lang w:val="zh-TW" w:eastAsia="zh-TW" w:bidi="zh-TW"/>
    </w:rPr>
  </w:style>
  <w:style w:type="paragraph" w:customStyle="1" w:styleId="54">
    <w:name w:val="Other|1"/>
    <w:basedOn w:val="1"/>
    <w:link w:val="53"/>
    <w:qFormat/>
    <w:uiPriority w:val="0"/>
    <w:pPr>
      <w:widowControl w:val="0"/>
      <w:overflowPunct w:val="0"/>
      <w:spacing w:line="580" w:lineRule="exact"/>
      <w:ind w:firstLine="340" w:firstLineChars="200"/>
      <w:textAlignment w:val="auto"/>
    </w:pPr>
    <w:rPr>
      <w:sz w:val="22"/>
      <w:szCs w:val="22"/>
      <w:lang w:val="zh-TW" w:eastAsia="zh-TW" w:bidi="zh-TW"/>
    </w:rPr>
  </w:style>
  <w:style w:type="character" w:customStyle="1" w:styleId="55">
    <w:name w:val="p0 字符"/>
    <w:link w:val="56"/>
    <w:qFormat/>
    <w:uiPriority w:val="0"/>
    <w:rPr>
      <w:rFonts w:eastAsia="仿宋_GB2312"/>
      <w:sz w:val="30"/>
    </w:rPr>
  </w:style>
  <w:style w:type="paragraph" w:customStyle="1" w:styleId="56">
    <w:name w:val="p0"/>
    <w:basedOn w:val="1"/>
    <w:link w:val="55"/>
    <w:qFormat/>
    <w:uiPriority w:val="0"/>
    <w:pPr>
      <w:overflowPunct w:val="0"/>
      <w:spacing w:line="580" w:lineRule="exact"/>
      <w:ind w:firstLine="200" w:firstLineChars="200"/>
      <w:jc w:val="both"/>
      <w:textAlignment w:val="auto"/>
    </w:pPr>
    <w:rPr>
      <w:rFonts w:eastAsia="仿宋_GB2312"/>
      <w:sz w:val="30"/>
    </w:rPr>
  </w:style>
  <w:style w:type="character" w:customStyle="1" w:styleId="57">
    <w:name w:val="正文1 字符"/>
    <w:link w:val="58"/>
    <w:qFormat/>
    <w:uiPriority w:val="0"/>
    <w:rPr>
      <w:rFonts w:ascii="仿宋_GB2312" w:eastAsia="仿宋_GB2312"/>
      <w:sz w:val="30"/>
      <w:szCs w:val="32"/>
    </w:rPr>
  </w:style>
  <w:style w:type="paragraph" w:customStyle="1" w:styleId="58">
    <w:name w:val="正文1"/>
    <w:basedOn w:val="1"/>
    <w:link w:val="57"/>
    <w:qFormat/>
    <w:uiPriority w:val="0"/>
    <w:pPr>
      <w:widowControl w:val="0"/>
      <w:overflowPunct w:val="0"/>
      <w:adjustRightInd/>
      <w:snapToGrid/>
      <w:spacing w:line="600" w:lineRule="exact"/>
      <w:ind w:firstLine="200" w:firstLineChars="200"/>
      <w:jc w:val="both"/>
      <w:textAlignment w:val="auto"/>
    </w:pPr>
    <w:rPr>
      <w:rFonts w:ascii="仿宋_GB2312" w:eastAsia="仿宋_GB2312"/>
      <w:sz w:val="30"/>
      <w:szCs w:val="32"/>
    </w:rPr>
  </w:style>
  <w:style w:type="character" w:customStyle="1" w:styleId="59">
    <w:name w:val="书籍标题1"/>
    <w:qFormat/>
    <w:uiPriority w:val="33"/>
    <w:rPr>
      <w:rFonts w:ascii="宋体" w:hAnsi="宋体"/>
      <w:bCs/>
      <w:iCs/>
      <w:spacing w:val="5"/>
      <w:sz w:val="28"/>
    </w:rPr>
  </w:style>
  <w:style w:type="character" w:customStyle="1" w:styleId="60">
    <w:name w:val="标题 4 Char"/>
    <w:basedOn w:val="33"/>
    <w:link w:val="8"/>
    <w:semiHidden/>
    <w:qFormat/>
    <w:uiPriority w:val="9"/>
    <w:rPr>
      <w:rFonts w:ascii="等线 Light" w:hAnsi="等线 Light" w:eastAsia="等线 Light" w:cs="Times New Roman"/>
      <w:b/>
      <w:bCs/>
      <w:snapToGrid/>
      <w:color w:val="auto"/>
      <w:sz w:val="28"/>
      <w:szCs w:val="28"/>
      <w:lang w:val="zh-CN" w:eastAsia="zh-CN"/>
    </w:rPr>
  </w:style>
  <w:style w:type="paragraph" w:customStyle="1" w:styleId="61">
    <w:name w:val="msonormal"/>
    <w:basedOn w:val="1"/>
    <w:qFormat/>
    <w:uiPriority w:val="0"/>
    <w:pPr>
      <w:kinsoku/>
      <w:autoSpaceDE/>
      <w:autoSpaceDN/>
      <w:adjustRightInd/>
      <w:snapToGrid/>
      <w:spacing w:before="100" w:beforeAutospacing="1" w:after="100" w:afterAutospacing="1"/>
      <w:textAlignment w:val="auto"/>
    </w:pPr>
    <w:rPr>
      <w:rFonts w:ascii="宋体" w:hAnsi="宋体" w:eastAsia="宋体" w:cs="宋体"/>
      <w:snapToGrid/>
      <w:color w:val="auto"/>
      <w:sz w:val="24"/>
      <w:szCs w:val="24"/>
    </w:rPr>
  </w:style>
  <w:style w:type="paragraph" w:customStyle="1" w:styleId="62">
    <w:name w:val="font5"/>
    <w:basedOn w:val="1"/>
    <w:qFormat/>
    <w:uiPriority w:val="0"/>
    <w:pPr>
      <w:kinsoku/>
      <w:autoSpaceDE/>
      <w:autoSpaceDN/>
      <w:adjustRightInd/>
      <w:snapToGrid/>
      <w:spacing w:before="100" w:beforeAutospacing="1" w:after="100" w:afterAutospacing="1"/>
      <w:textAlignment w:val="auto"/>
    </w:pPr>
    <w:rPr>
      <w:rFonts w:ascii="等线" w:hAnsi="等线" w:eastAsia="等线" w:cs="宋体"/>
      <w:snapToGrid/>
      <w:color w:val="auto"/>
      <w:sz w:val="18"/>
      <w:szCs w:val="18"/>
    </w:rPr>
  </w:style>
  <w:style w:type="paragraph" w:customStyle="1" w:styleId="63">
    <w:name w:val="font6"/>
    <w:basedOn w:val="1"/>
    <w:qFormat/>
    <w:uiPriority w:val="0"/>
    <w:pPr>
      <w:kinsoku/>
      <w:autoSpaceDE/>
      <w:autoSpaceDN/>
      <w:adjustRightInd/>
      <w:snapToGrid/>
      <w:spacing w:before="100" w:beforeAutospacing="1" w:after="100" w:afterAutospacing="1"/>
      <w:textAlignment w:val="auto"/>
    </w:pPr>
    <w:rPr>
      <w:rFonts w:ascii="宋体" w:hAnsi="宋体" w:eastAsia="宋体" w:cs="宋体"/>
      <w:b/>
      <w:bCs/>
      <w:snapToGrid/>
      <w:sz w:val="18"/>
      <w:szCs w:val="18"/>
    </w:rPr>
  </w:style>
  <w:style w:type="paragraph" w:customStyle="1" w:styleId="64">
    <w:name w:val="font7"/>
    <w:basedOn w:val="1"/>
    <w:qFormat/>
    <w:uiPriority w:val="0"/>
    <w:pPr>
      <w:kinsoku/>
      <w:autoSpaceDE/>
      <w:autoSpaceDN/>
      <w:adjustRightInd/>
      <w:snapToGrid/>
      <w:spacing w:before="100" w:beforeAutospacing="1" w:after="100" w:afterAutospacing="1"/>
      <w:textAlignment w:val="auto"/>
    </w:pPr>
    <w:rPr>
      <w:rFonts w:ascii="宋体" w:hAnsi="宋体" w:eastAsia="宋体" w:cs="宋体"/>
      <w:snapToGrid/>
      <w:sz w:val="18"/>
      <w:szCs w:val="18"/>
    </w:rPr>
  </w:style>
  <w:style w:type="paragraph" w:customStyle="1" w:styleId="65">
    <w:name w:val="xl63"/>
    <w:basedOn w:val="1"/>
    <w:qFormat/>
    <w:uiPriority w:val="0"/>
    <w:pPr>
      <w:kinsoku/>
      <w:autoSpaceDE/>
      <w:autoSpaceDN/>
      <w:adjustRightInd/>
      <w:snapToGrid/>
      <w:spacing w:before="100" w:beforeAutospacing="1" w:after="100" w:afterAutospacing="1"/>
      <w:jc w:val="center"/>
      <w:textAlignment w:val="auto"/>
    </w:pPr>
    <w:rPr>
      <w:rFonts w:ascii="宋体" w:hAnsi="宋体" w:eastAsia="宋体" w:cs="宋体"/>
      <w:snapToGrid/>
      <w:color w:val="auto"/>
      <w:sz w:val="24"/>
      <w:szCs w:val="24"/>
    </w:rPr>
  </w:style>
  <w:style w:type="paragraph" w:customStyle="1" w:styleId="66">
    <w:name w:val="xl64"/>
    <w:basedOn w:val="1"/>
    <w:qFormat/>
    <w:uiPriority w:val="0"/>
    <w:pPr>
      <w:kinsoku/>
      <w:autoSpaceDE/>
      <w:autoSpaceDN/>
      <w:adjustRightInd/>
      <w:snapToGrid/>
      <w:spacing w:before="100" w:beforeAutospacing="1" w:after="100" w:afterAutospacing="1"/>
      <w:jc w:val="center"/>
      <w:textAlignment w:val="auto"/>
    </w:pPr>
    <w:rPr>
      <w:rFonts w:ascii="宋体" w:hAnsi="宋体" w:eastAsia="宋体" w:cs="宋体"/>
      <w:snapToGrid/>
      <w:color w:val="auto"/>
      <w:sz w:val="24"/>
      <w:szCs w:val="24"/>
    </w:rPr>
  </w:style>
  <w:style w:type="paragraph" w:customStyle="1" w:styleId="67">
    <w:name w:val="xl65"/>
    <w:basedOn w:val="1"/>
    <w:qFormat/>
    <w:uiPriority w:val="0"/>
    <w:pPr>
      <w:pBdr>
        <w:top w:val="single" w:color="auto" w:sz="4" w:space="0"/>
        <w:left w:val="single" w:color="auto" w:sz="4" w:space="0"/>
        <w:bottom w:val="single" w:color="auto" w:sz="4" w:space="0"/>
        <w:right w:val="single" w:color="auto" w:sz="4" w:space="0"/>
      </w:pBdr>
      <w:kinsoku/>
      <w:autoSpaceDE/>
      <w:autoSpaceDN/>
      <w:adjustRightInd/>
      <w:snapToGrid/>
      <w:spacing w:before="100" w:beforeAutospacing="1" w:after="100" w:afterAutospacing="1"/>
      <w:jc w:val="center"/>
      <w:textAlignment w:val="auto"/>
    </w:pPr>
    <w:rPr>
      <w:rFonts w:ascii="宋体" w:hAnsi="宋体" w:eastAsia="宋体" w:cs="宋体"/>
      <w:snapToGrid/>
      <w:color w:val="auto"/>
      <w:sz w:val="24"/>
      <w:szCs w:val="24"/>
    </w:rPr>
  </w:style>
  <w:style w:type="paragraph" w:customStyle="1" w:styleId="68">
    <w:name w:val="xl66"/>
    <w:basedOn w:val="1"/>
    <w:qFormat/>
    <w:uiPriority w:val="0"/>
    <w:pPr>
      <w:pBdr>
        <w:top w:val="single" w:color="auto" w:sz="4" w:space="0"/>
        <w:left w:val="single" w:color="auto" w:sz="4" w:space="0"/>
        <w:bottom w:val="single" w:color="auto" w:sz="4" w:space="0"/>
        <w:right w:val="single" w:color="auto" w:sz="4" w:space="0"/>
      </w:pBdr>
      <w:kinsoku/>
      <w:autoSpaceDE/>
      <w:autoSpaceDN/>
      <w:adjustRightInd/>
      <w:snapToGrid/>
      <w:spacing w:before="100" w:beforeAutospacing="1" w:after="100" w:afterAutospacing="1"/>
      <w:jc w:val="center"/>
      <w:textAlignment w:val="auto"/>
    </w:pPr>
    <w:rPr>
      <w:rFonts w:ascii="宋体" w:hAnsi="宋体" w:eastAsia="宋体" w:cs="宋体"/>
      <w:snapToGrid/>
      <w:color w:val="auto"/>
      <w:sz w:val="24"/>
      <w:szCs w:val="24"/>
    </w:rPr>
  </w:style>
  <w:style w:type="paragraph" w:customStyle="1" w:styleId="69">
    <w:name w:val="xl67"/>
    <w:basedOn w:val="1"/>
    <w:qFormat/>
    <w:uiPriority w:val="0"/>
    <w:pPr>
      <w:pBdr>
        <w:top w:val="single" w:color="auto" w:sz="4" w:space="0"/>
        <w:left w:val="single" w:color="auto" w:sz="4" w:space="0"/>
        <w:bottom w:val="single" w:color="auto" w:sz="4" w:space="0"/>
        <w:right w:val="single" w:color="auto" w:sz="4" w:space="0"/>
      </w:pBdr>
      <w:kinsoku/>
      <w:autoSpaceDE/>
      <w:autoSpaceDN/>
      <w:adjustRightInd/>
      <w:snapToGrid/>
      <w:spacing w:before="100" w:beforeAutospacing="1" w:after="100" w:afterAutospacing="1"/>
      <w:jc w:val="center"/>
      <w:textAlignment w:val="auto"/>
    </w:pPr>
    <w:rPr>
      <w:rFonts w:ascii="宋体" w:hAnsi="宋体" w:eastAsia="宋体" w:cs="宋体"/>
      <w:snapToGrid/>
      <w:color w:val="auto"/>
      <w:sz w:val="24"/>
      <w:szCs w:val="24"/>
    </w:rPr>
  </w:style>
  <w:style w:type="paragraph" w:customStyle="1" w:styleId="70">
    <w:name w:val="xl68"/>
    <w:basedOn w:val="1"/>
    <w:qFormat/>
    <w:uiPriority w:val="0"/>
    <w:pPr>
      <w:pBdr>
        <w:top w:val="single" w:color="auto" w:sz="4" w:space="0"/>
        <w:left w:val="single" w:color="auto" w:sz="4" w:space="0"/>
        <w:bottom w:val="single" w:color="auto" w:sz="4" w:space="0"/>
        <w:right w:val="single" w:color="auto" w:sz="4" w:space="0"/>
      </w:pBdr>
      <w:shd w:val="clear" w:color="000000" w:fill="D0CECE"/>
      <w:kinsoku/>
      <w:autoSpaceDE/>
      <w:autoSpaceDN/>
      <w:adjustRightInd/>
      <w:snapToGrid/>
      <w:spacing w:before="100" w:beforeAutospacing="1" w:after="100" w:afterAutospacing="1"/>
      <w:jc w:val="center"/>
      <w:textAlignment w:val="auto"/>
    </w:pPr>
    <w:rPr>
      <w:rFonts w:ascii="宋体" w:hAnsi="宋体" w:eastAsia="宋体" w:cs="宋体"/>
      <w:b/>
      <w:bCs/>
      <w:snapToGrid/>
      <w:color w:val="auto"/>
      <w:sz w:val="24"/>
      <w:szCs w:val="24"/>
    </w:rPr>
  </w:style>
  <w:style w:type="paragraph" w:customStyle="1" w:styleId="71">
    <w:name w:val="xl69"/>
    <w:basedOn w:val="1"/>
    <w:qFormat/>
    <w:uiPriority w:val="0"/>
    <w:pPr>
      <w:pBdr>
        <w:top w:val="single" w:color="auto" w:sz="4" w:space="0"/>
        <w:left w:val="single" w:color="auto" w:sz="4" w:space="0"/>
        <w:bottom w:val="single" w:color="auto" w:sz="4" w:space="0"/>
        <w:right w:val="single" w:color="auto" w:sz="4" w:space="0"/>
      </w:pBdr>
      <w:kinsoku/>
      <w:autoSpaceDE/>
      <w:autoSpaceDN/>
      <w:adjustRightInd/>
      <w:snapToGrid/>
      <w:spacing w:before="100" w:beforeAutospacing="1" w:after="100" w:afterAutospacing="1"/>
      <w:jc w:val="center"/>
      <w:textAlignment w:val="auto"/>
    </w:pPr>
    <w:rPr>
      <w:rFonts w:ascii="宋体" w:hAnsi="宋体" w:eastAsia="宋体" w:cs="宋体"/>
      <w:snapToGrid/>
      <w:color w:val="auto"/>
      <w:sz w:val="20"/>
      <w:szCs w:val="20"/>
    </w:rPr>
  </w:style>
  <w:style w:type="paragraph" w:customStyle="1" w:styleId="72">
    <w:name w:val="xl70"/>
    <w:basedOn w:val="1"/>
    <w:qFormat/>
    <w:uiPriority w:val="0"/>
    <w:pPr>
      <w:pBdr>
        <w:top w:val="single" w:color="auto" w:sz="4" w:space="0"/>
        <w:left w:val="single" w:color="auto" w:sz="4" w:space="0"/>
        <w:bottom w:val="single" w:color="auto" w:sz="4" w:space="0"/>
        <w:right w:val="single" w:color="auto" w:sz="4" w:space="0"/>
      </w:pBdr>
      <w:kinsoku/>
      <w:autoSpaceDE/>
      <w:autoSpaceDN/>
      <w:adjustRightInd/>
      <w:snapToGrid/>
      <w:spacing w:before="100" w:beforeAutospacing="1" w:after="100" w:afterAutospacing="1"/>
      <w:jc w:val="center"/>
      <w:textAlignment w:val="auto"/>
    </w:pPr>
    <w:rPr>
      <w:rFonts w:ascii="宋体" w:hAnsi="宋体" w:eastAsia="宋体" w:cs="宋体"/>
      <w:snapToGrid/>
      <w:color w:val="FF0000"/>
      <w:sz w:val="20"/>
      <w:szCs w:val="20"/>
    </w:rPr>
  </w:style>
  <w:style w:type="paragraph" w:customStyle="1" w:styleId="73">
    <w:name w:val="xl71"/>
    <w:basedOn w:val="1"/>
    <w:qFormat/>
    <w:uiPriority w:val="0"/>
    <w:pPr>
      <w:pBdr>
        <w:top w:val="single" w:color="auto" w:sz="4" w:space="0"/>
        <w:left w:val="single" w:color="auto" w:sz="4" w:space="0"/>
        <w:bottom w:val="single" w:color="auto" w:sz="4" w:space="0"/>
        <w:right w:val="single" w:color="auto" w:sz="4" w:space="0"/>
      </w:pBdr>
      <w:shd w:val="clear" w:color="000000" w:fill="D0CECE"/>
      <w:kinsoku/>
      <w:autoSpaceDE/>
      <w:autoSpaceDN/>
      <w:adjustRightInd/>
      <w:snapToGrid/>
      <w:spacing w:before="100" w:beforeAutospacing="1" w:after="100" w:afterAutospacing="1"/>
      <w:jc w:val="center"/>
      <w:textAlignment w:val="auto"/>
    </w:pPr>
    <w:rPr>
      <w:rFonts w:ascii="宋体" w:hAnsi="宋体" w:eastAsia="宋体" w:cs="宋体"/>
      <w:b/>
      <w:bCs/>
      <w:snapToGrid/>
      <w:color w:val="FF0000"/>
      <w:sz w:val="24"/>
      <w:szCs w:val="24"/>
    </w:rPr>
  </w:style>
  <w:style w:type="paragraph" w:customStyle="1" w:styleId="74">
    <w:name w:val="xl72"/>
    <w:basedOn w:val="1"/>
    <w:qFormat/>
    <w:uiPriority w:val="0"/>
    <w:pPr>
      <w:pBdr>
        <w:top w:val="single" w:color="auto" w:sz="4" w:space="0"/>
        <w:left w:val="single" w:color="auto" w:sz="4" w:space="0"/>
        <w:bottom w:val="single" w:color="auto" w:sz="4" w:space="0"/>
        <w:right w:val="single" w:color="auto" w:sz="4" w:space="0"/>
      </w:pBdr>
      <w:kinsoku/>
      <w:autoSpaceDE/>
      <w:autoSpaceDN/>
      <w:adjustRightInd/>
      <w:snapToGrid/>
      <w:spacing w:before="100" w:beforeAutospacing="1" w:after="100" w:afterAutospacing="1"/>
      <w:jc w:val="center"/>
      <w:textAlignment w:val="auto"/>
    </w:pPr>
    <w:rPr>
      <w:rFonts w:ascii="宋体" w:hAnsi="宋体" w:eastAsia="宋体" w:cs="宋体"/>
      <w:snapToGrid/>
      <w:color w:val="auto"/>
      <w:sz w:val="24"/>
      <w:szCs w:val="24"/>
    </w:rPr>
  </w:style>
  <w:style w:type="paragraph" w:customStyle="1" w:styleId="75">
    <w:name w:val="xl73"/>
    <w:basedOn w:val="1"/>
    <w:qFormat/>
    <w:uiPriority w:val="0"/>
    <w:pPr>
      <w:pBdr>
        <w:top w:val="single" w:color="auto" w:sz="4" w:space="0"/>
        <w:left w:val="single" w:color="auto" w:sz="4" w:space="0"/>
        <w:bottom w:val="single" w:color="auto" w:sz="4" w:space="0"/>
        <w:right w:val="single" w:color="auto" w:sz="4" w:space="0"/>
      </w:pBdr>
      <w:kinsoku/>
      <w:autoSpaceDE/>
      <w:autoSpaceDN/>
      <w:adjustRightInd/>
      <w:snapToGrid/>
      <w:spacing w:before="100" w:beforeAutospacing="1" w:after="100" w:afterAutospacing="1"/>
      <w:jc w:val="center"/>
      <w:textAlignment w:val="auto"/>
    </w:pPr>
    <w:rPr>
      <w:rFonts w:ascii="宋体" w:hAnsi="宋体" w:eastAsia="宋体" w:cs="宋体"/>
      <w:snapToGrid/>
      <w:color w:val="FF0000"/>
      <w:sz w:val="24"/>
      <w:szCs w:val="24"/>
    </w:rPr>
  </w:style>
  <w:style w:type="paragraph" w:customStyle="1" w:styleId="76">
    <w:name w:val="xl74"/>
    <w:basedOn w:val="1"/>
    <w:qFormat/>
    <w:uiPriority w:val="0"/>
    <w:pPr>
      <w:pBdr>
        <w:top w:val="single" w:color="auto" w:sz="4" w:space="0"/>
        <w:left w:val="single" w:color="auto" w:sz="4" w:space="0"/>
        <w:bottom w:val="single" w:color="auto" w:sz="4" w:space="0"/>
        <w:right w:val="single" w:color="auto" w:sz="4" w:space="0"/>
      </w:pBdr>
      <w:kinsoku/>
      <w:autoSpaceDE/>
      <w:autoSpaceDN/>
      <w:adjustRightInd/>
      <w:snapToGrid/>
      <w:spacing w:before="100" w:beforeAutospacing="1" w:after="100" w:afterAutospacing="1"/>
      <w:jc w:val="center"/>
      <w:textAlignment w:val="auto"/>
    </w:pPr>
    <w:rPr>
      <w:rFonts w:ascii="宋体" w:hAnsi="宋体" w:eastAsia="宋体" w:cs="宋体"/>
      <w:b/>
      <w:bCs/>
      <w:snapToGrid/>
      <w:color w:val="auto"/>
      <w:sz w:val="24"/>
      <w:szCs w:val="24"/>
    </w:rPr>
  </w:style>
  <w:style w:type="paragraph" w:customStyle="1" w:styleId="77">
    <w:name w:val="xl75"/>
    <w:basedOn w:val="1"/>
    <w:qFormat/>
    <w:uiPriority w:val="0"/>
    <w:pPr>
      <w:pBdr>
        <w:top w:val="single" w:color="auto" w:sz="4" w:space="0"/>
        <w:left w:val="single" w:color="auto" w:sz="4" w:space="0"/>
        <w:bottom w:val="single" w:color="auto" w:sz="4" w:space="0"/>
        <w:right w:val="single" w:color="auto" w:sz="4" w:space="0"/>
      </w:pBdr>
      <w:kinsoku/>
      <w:autoSpaceDE/>
      <w:autoSpaceDN/>
      <w:adjustRightInd/>
      <w:snapToGrid/>
      <w:spacing w:before="100" w:beforeAutospacing="1" w:after="100" w:afterAutospacing="1"/>
      <w:jc w:val="center"/>
      <w:textAlignment w:val="auto"/>
    </w:pPr>
    <w:rPr>
      <w:rFonts w:ascii="宋体" w:hAnsi="宋体" w:eastAsia="宋体" w:cs="宋体"/>
      <w:b/>
      <w:bCs/>
      <w:snapToGrid/>
      <w:color w:val="FF0000"/>
      <w:sz w:val="24"/>
      <w:szCs w:val="24"/>
    </w:rPr>
  </w:style>
  <w:style w:type="paragraph" w:customStyle="1" w:styleId="78">
    <w:name w:val="xl76"/>
    <w:basedOn w:val="1"/>
    <w:qFormat/>
    <w:uiPriority w:val="0"/>
    <w:pPr>
      <w:pBdr>
        <w:top w:val="single" w:color="auto" w:sz="4" w:space="0"/>
        <w:left w:val="single" w:color="auto" w:sz="4" w:space="0"/>
        <w:bottom w:val="single" w:color="auto" w:sz="4" w:space="0"/>
        <w:right w:val="single" w:color="auto" w:sz="4" w:space="0"/>
      </w:pBdr>
      <w:kinsoku/>
      <w:autoSpaceDE/>
      <w:autoSpaceDN/>
      <w:adjustRightInd/>
      <w:snapToGrid/>
      <w:spacing w:before="100" w:beforeAutospacing="1" w:after="100" w:afterAutospacing="1"/>
      <w:jc w:val="center"/>
      <w:textAlignment w:val="auto"/>
    </w:pPr>
    <w:rPr>
      <w:rFonts w:ascii="宋体" w:hAnsi="宋体" w:eastAsia="宋体" w:cs="宋体"/>
      <w:snapToGrid/>
      <w:color w:val="auto"/>
      <w:sz w:val="24"/>
      <w:szCs w:val="24"/>
    </w:rPr>
  </w:style>
  <w:style w:type="paragraph" w:customStyle="1" w:styleId="79">
    <w:name w:val="xl77"/>
    <w:basedOn w:val="1"/>
    <w:qFormat/>
    <w:uiPriority w:val="0"/>
    <w:pPr>
      <w:kinsoku/>
      <w:autoSpaceDE/>
      <w:autoSpaceDN/>
      <w:adjustRightInd/>
      <w:snapToGrid/>
      <w:spacing w:before="100" w:beforeAutospacing="1" w:after="100" w:afterAutospacing="1"/>
      <w:textAlignment w:val="auto"/>
    </w:pPr>
    <w:rPr>
      <w:rFonts w:ascii="宋体" w:hAnsi="宋体" w:eastAsia="宋体" w:cs="宋体"/>
      <w:b/>
      <w:bCs/>
      <w:snapToGrid/>
      <w:color w:val="auto"/>
      <w:sz w:val="24"/>
      <w:szCs w:val="24"/>
    </w:rPr>
  </w:style>
  <w:style w:type="paragraph" w:customStyle="1" w:styleId="80">
    <w:name w:val="xl78"/>
    <w:basedOn w:val="1"/>
    <w:qFormat/>
    <w:uiPriority w:val="0"/>
    <w:pPr>
      <w:kinsoku/>
      <w:autoSpaceDE/>
      <w:autoSpaceDN/>
      <w:adjustRightInd/>
      <w:snapToGrid/>
      <w:spacing w:before="100" w:beforeAutospacing="1" w:after="100" w:afterAutospacing="1"/>
      <w:jc w:val="right"/>
      <w:textAlignment w:val="auto"/>
    </w:pPr>
    <w:rPr>
      <w:rFonts w:ascii="宋体" w:hAnsi="宋体" w:eastAsia="宋体" w:cs="宋体"/>
      <w:snapToGrid/>
      <w:color w:val="auto"/>
      <w:sz w:val="24"/>
      <w:szCs w:val="24"/>
    </w:rPr>
  </w:style>
  <w:style w:type="paragraph" w:customStyle="1" w:styleId="81">
    <w:name w:val="xl79"/>
    <w:basedOn w:val="1"/>
    <w:qFormat/>
    <w:uiPriority w:val="0"/>
    <w:pPr>
      <w:pBdr>
        <w:top w:val="single" w:color="auto" w:sz="4" w:space="0"/>
        <w:left w:val="single" w:color="auto" w:sz="4" w:space="0"/>
        <w:bottom w:val="single" w:color="auto" w:sz="4" w:space="0"/>
        <w:right w:val="single" w:color="auto" w:sz="4" w:space="0"/>
      </w:pBdr>
      <w:shd w:val="clear" w:color="000000" w:fill="FFFF00"/>
      <w:kinsoku/>
      <w:autoSpaceDE/>
      <w:autoSpaceDN/>
      <w:adjustRightInd/>
      <w:snapToGrid/>
      <w:spacing w:before="100" w:beforeAutospacing="1" w:after="100" w:afterAutospacing="1"/>
      <w:jc w:val="center"/>
      <w:textAlignment w:val="auto"/>
    </w:pPr>
    <w:rPr>
      <w:rFonts w:ascii="宋体" w:hAnsi="宋体" w:eastAsia="宋体" w:cs="宋体"/>
      <w:snapToGrid/>
      <w:color w:val="auto"/>
      <w:sz w:val="24"/>
      <w:szCs w:val="24"/>
    </w:rPr>
  </w:style>
  <w:style w:type="paragraph" w:customStyle="1" w:styleId="82">
    <w:name w:val="xl80"/>
    <w:basedOn w:val="1"/>
    <w:qFormat/>
    <w:uiPriority w:val="0"/>
    <w:pPr>
      <w:kinsoku/>
      <w:autoSpaceDE/>
      <w:autoSpaceDN/>
      <w:adjustRightInd/>
      <w:snapToGrid/>
      <w:spacing w:before="100" w:beforeAutospacing="1" w:after="100" w:afterAutospacing="1"/>
      <w:jc w:val="center"/>
      <w:textAlignment w:val="auto"/>
    </w:pPr>
    <w:rPr>
      <w:rFonts w:ascii="宋体" w:hAnsi="宋体" w:eastAsia="宋体" w:cs="宋体"/>
      <w:b/>
      <w:bCs/>
      <w:snapToGrid/>
      <w:color w:val="auto"/>
      <w:sz w:val="36"/>
      <w:szCs w:val="36"/>
    </w:rPr>
  </w:style>
  <w:style w:type="paragraph" w:customStyle="1" w:styleId="83">
    <w:name w:val="jx一级标题"/>
    <w:basedOn w:val="1"/>
    <w:next w:val="1"/>
    <w:link w:val="84"/>
    <w:qFormat/>
    <w:uiPriority w:val="0"/>
    <w:pPr>
      <w:numPr>
        <w:ilvl w:val="0"/>
        <w:numId w:val="1"/>
      </w:numPr>
      <w:kinsoku/>
      <w:overflowPunct w:val="0"/>
      <w:snapToGrid/>
      <w:spacing w:line="600" w:lineRule="exact"/>
    </w:pPr>
    <w:rPr>
      <w:rFonts w:ascii="黑体" w:hAnsi="黑体" w:eastAsia="黑体" w:cs="Times New Roman"/>
      <w:snapToGrid/>
      <w:color w:val="auto"/>
      <w:sz w:val="32"/>
      <w:szCs w:val="32"/>
      <w:lang w:val="zh-CN"/>
    </w:rPr>
  </w:style>
  <w:style w:type="character" w:customStyle="1" w:styleId="84">
    <w:name w:val="jx一级标题 字符"/>
    <w:link w:val="83"/>
    <w:qFormat/>
    <w:uiPriority w:val="0"/>
    <w:rPr>
      <w:rFonts w:ascii="黑体" w:hAnsi="黑体" w:eastAsia="黑体" w:cs="Times New Roman"/>
      <w:snapToGrid/>
      <w:color w:val="auto"/>
      <w:sz w:val="32"/>
      <w:szCs w:val="32"/>
      <w:lang w:val="zh-CN" w:eastAsia="zh-CN"/>
    </w:rPr>
  </w:style>
  <w:style w:type="paragraph" w:customStyle="1" w:styleId="85">
    <w:name w:val="TOC 标题1"/>
    <w:basedOn w:val="5"/>
    <w:next w:val="1"/>
    <w:unhideWhenUsed/>
    <w:qFormat/>
    <w:uiPriority w:val="39"/>
    <w:pPr>
      <w:keepNext/>
      <w:keepLines/>
      <w:widowControl/>
      <w:kinsoku/>
      <w:overflowPunct/>
      <w:autoSpaceDE/>
      <w:autoSpaceDN/>
      <w:adjustRightInd/>
      <w:snapToGrid/>
      <w:spacing w:before="240" w:after="0" w:line="259" w:lineRule="auto"/>
      <w:ind w:firstLine="0" w:firstLineChars="0"/>
      <w:textAlignment w:val="auto"/>
      <w:outlineLvl w:val="9"/>
    </w:pPr>
    <w:rPr>
      <w:rFonts w:ascii="等线 Light" w:hAnsi="等线 Light" w:eastAsia="等线 Light" w:cs="Times New Roman"/>
      <w:b w:val="0"/>
      <w:bCs w:val="0"/>
      <w:snapToGrid/>
      <w:color w:val="2F5496"/>
      <w:kern w:val="0"/>
      <w:szCs w:val="32"/>
      <w:lang w:val="zh-CN"/>
    </w:rPr>
  </w:style>
  <w:style w:type="paragraph" w:customStyle="1" w:styleId="86">
    <w:name w:val="正文字体"/>
    <w:basedOn w:val="1"/>
    <w:qFormat/>
    <w:uiPriority w:val="0"/>
    <w:pPr>
      <w:widowControl w:val="0"/>
      <w:kinsoku/>
      <w:autoSpaceDE/>
      <w:autoSpaceDN/>
      <w:adjustRightInd/>
      <w:snapToGrid/>
      <w:spacing w:line="580" w:lineRule="exact"/>
      <w:ind w:firstLine="200" w:firstLineChars="200"/>
      <w:textAlignment w:val="auto"/>
    </w:pPr>
    <w:rPr>
      <w:rFonts w:ascii="仿宋" w:hAnsi="仿宋" w:eastAsia="仿宋_GB2312" w:cs="Times New Roman"/>
      <w:snapToGrid/>
      <w:color w:val="auto"/>
      <w:kern w:val="2"/>
      <w:sz w:val="32"/>
      <w:szCs w:val="24"/>
    </w:rPr>
  </w:style>
  <w:style w:type="paragraph" w:customStyle="1" w:styleId="87">
    <w:name w:val="列出段落2"/>
    <w:basedOn w:val="1"/>
    <w:qFormat/>
    <w:uiPriority w:val="34"/>
    <w:pPr>
      <w:kinsoku/>
      <w:autoSpaceDE/>
      <w:autoSpaceDN/>
      <w:adjustRightInd/>
      <w:snapToGrid/>
      <w:spacing w:line="360" w:lineRule="auto"/>
      <w:ind w:firstLine="420" w:firstLineChars="200"/>
      <w:jc w:val="both"/>
      <w:textAlignment w:val="auto"/>
    </w:pPr>
    <w:rPr>
      <w:rFonts w:ascii="Arial Narrow" w:hAnsi="Arial Narrow" w:eastAsia="仿宋_GB2312" w:cs="Times New Roman"/>
      <w:snapToGrid/>
      <w:color w:val="auto"/>
      <w:kern w:val="2"/>
      <w:sz w:val="28"/>
      <w:szCs w:val="22"/>
    </w:rPr>
  </w:style>
  <w:style w:type="character" w:customStyle="1" w:styleId="88">
    <w:name w:val="批注文字 Char"/>
    <w:basedOn w:val="33"/>
    <w:link w:val="13"/>
    <w:qFormat/>
    <w:uiPriority w:val="0"/>
    <w:rPr>
      <w:rFonts w:ascii="Times New Roman" w:hAnsi="Times New Roman" w:eastAsia="宋体" w:cs="Times New Roman"/>
      <w:snapToGrid/>
      <w:color w:val="auto"/>
      <w:lang w:val="zh-CN" w:eastAsia="zh-CN"/>
    </w:rPr>
  </w:style>
  <w:style w:type="character" w:customStyle="1" w:styleId="89">
    <w:name w:val="批注主题 Char"/>
    <w:basedOn w:val="88"/>
    <w:link w:val="30"/>
    <w:qFormat/>
    <w:uiPriority w:val="0"/>
    <w:rPr>
      <w:rFonts w:ascii="Times New Roman" w:hAnsi="Times New Roman" w:eastAsia="宋体" w:cs="Times New Roman"/>
      <w:b/>
      <w:bCs/>
      <w:snapToGrid/>
      <w:color w:val="auto"/>
      <w:lang w:val="zh-CN" w:eastAsia="zh-CN"/>
    </w:rPr>
  </w:style>
  <w:style w:type="character" w:customStyle="1" w:styleId="90">
    <w:name w:val="文档结构图 字符"/>
    <w:basedOn w:val="33"/>
    <w:semiHidden/>
    <w:qFormat/>
    <w:uiPriority w:val="99"/>
    <w:rPr>
      <w:rFonts w:ascii="Microsoft YaHei UI" w:eastAsia="Microsoft YaHei UI"/>
      <w:sz w:val="18"/>
      <w:szCs w:val="18"/>
    </w:rPr>
  </w:style>
  <w:style w:type="character" w:customStyle="1" w:styleId="91">
    <w:name w:val="文档结构图 Char"/>
    <w:link w:val="12"/>
    <w:qFormat/>
    <w:uiPriority w:val="0"/>
    <w:rPr>
      <w:rFonts w:ascii="宋体" w:hAnsi="Times New Roman" w:eastAsia="宋体" w:cs="Times New Roman"/>
      <w:snapToGrid/>
      <w:color w:val="auto"/>
      <w:sz w:val="18"/>
      <w:szCs w:val="18"/>
      <w:lang w:val="zh-CN" w:eastAsia="zh-CN"/>
    </w:rPr>
  </w:style>
  <w:style w:type="character" w:customStyle="1" w:styleId="92">
    <w:name w:val="Body text|1_"/>
    <w:basedOn w:val="33"/>
    <w:link w:val="93"/>
    <w:qFormat/>
    <w:locked/>
    <w:uiPriority w:val="0"/>
    <w:rPr>
      <w:rFonts w:ascii="宋体" w:hAnsi="宋体" w:eastAsia="宋体" w:cs="宋体"/>
      <w:sz w:val="19"/>
      <w:szCs w:val="19"/>
      <w:lang w:val="zh-TW" w:eastAsia="zh-TW" w:bidi="zh-TW"/>
    </w:rPr>
  </w:style>
  <w:style w:type="paragraph" w:customStyle="1" w:styleId="93">
    <w:name w:val="Body text|1"/>
    <w:basedOn w:val="1"/>
    <w:link w:val="92"/>
    <w:qFormat/>
    <w:uiPriority w:val="0"/>
    <w:pPr>
      <w:widowControl w:val="0"/>
      <w:kinsoku/>
      <w:autoSpaceDE/>
      <w:autoSpaceDN/>
      <w:adjustRightInd/>
      <w:snapToGrid/>
      <w:spacing w:line="429" w:lineRule="auto"/>
      <w:ind w:firstLine="400"/>
      <w:textAlignment w:val="auto"/>
    </w:pPr>
    <w:rPr>
      <w:rFonts w:ascii="宋体" w:hAnsi="宋体" w:eastAsia="宋体" w:cs="宋体"/>
      <w:sz w:val="19"/>
      <w:szCs w:val="19"/>
      <w:lang w:val="zh-TW" w:eastAsia="zh-TW" w:bidi="zh-TW"/>
    </w:rPr>
  </w:style>
  <w:style w:type="character" w:customStyle="1" w:styleId="94">
    <w:name w:val="Body text|2_"/>
    <w:basedOn w:val="33"/>
    <w:link w:val="95"/>
    <w:qFormat/>
    <w:uiPriority w:val="0"/>
    <w:rPr>
      <w:rFonts w:ascii="宋体" w:hAnsi="宋体" w:eastAsia="宋体" w:cs="宋体"/>
      <w:sz w:val="17"/>
      <w:szCs w:val="17"/>
      <w:lang w:val="zh-TW" w:eastAsia="zh-TW" w:bidi="zh-TW"/>
    </w:rPr>
  </w:style>
  <w:style w:type="paragraph" w:customStyle="1" w:styleId="95">
    <w:name w:val="Body text|2"/>
    <w:basedOn w:val="1"/>
    <w:link w:val="94"/>
    <w:qFormat/>
    <w:uiPriority w:val="0"/>
    <w:pPr>
      <w:widowControl w:val="0"/>
      <w:kinsoku/>
      <w:autoSpaceDE/>
      <w:autoSpaceDN/>
      <w:adjustRightInd/>
      <w:snapToGrid/>
      <w:textAlignment w:val="auto"/>
    </w:pPr>
    <w:rPr>
      <w:rFonts w:ascii="宋体" w:hAnsi="宋体" w:eastAsia="宋体" w:cs="宋体"/>
      <w:sz w:val="17"/>
      <w:szCs w:val="17"/>
      <w:lang w:val="zh-TW" w:eastAsia="zh-TW" w:bidi="zh-TW"/>
    </w:rPr>
  </w:style>
  <w:style w:type="character" w:customStyle="1" w:styleId="96">
    <w:name w:val="Table caption|1_"/>
    <w:basedOn w:val="33"/>
    <w:link w:val="97"/>
    <w:qFormat/>
    <w:uiPriority w:val="0"/>
    <w:rPr>
      <w:rFonts w:ascii="宋体" w:hAnsi="宋体" w:eastAsia="宋体" w:cs="宋体"/>
      <w:sz w:val="14"/>
      <w:szCs w:val="14"/>
      <w:lang w:val="zh-TW" w:eastAsia="zh-TW" w:bidi="zh-TW"/>
    </w:rPr>
  </w:style>
  <w:style w:type="paragraph" w:customStyle="1" w:styleId="97">
    <w:name w:val="Table caption|1"/>
    <w:basedOn w:val="1"/>
    <w:link w:val="96"/>
    <w:qFormat/>
    <w:uiPriority w:val="0"/>
    <w:pPr>
      <w:widowControl w:val="0"/>
      <w:kinsoku/>
      <w:autoSpaceDE/>
      <w:autoSpaceDN/>
      <w:adjustRightInd/>
      <w:snapToGrid/>
      <w:textAlignment w:val="auto"/>
    </w:pPr>
    <w:rPr>
      <w:rFonts w:ascii="宋体" w:hAnsi="宋体" w:eastAsia="宋体" w:cs="宋体"/>
      <w:sz w:val="14"/>
      <w:szCs w:val="14"/>
      <w:lang w:val="zh-TW" w:eastAsia="zh-TW" w:bidi="zh-TW"/>
    </w:rPr>
  </w:style>
  <w:style w:type="paragraph" w:customStyle="1" w:styleId="98">
    <w:name w:val="修订1"/>
    <w:hidden/>
    <w:semiHidden/>
    <w:qFormat/>
    <w:uiPriority w:val="99"/>
    <w:rPr>
      <w:rFonts w:ascii="Arial" w:hAnsi="Arial" w:cs="Arial" w:eastAsiaTheme="minorEastAsia"/>
      <w:snapToGrid w:val="0"/>
      <w:color w:val="000000"/>
      <w:sz w:val="21"/>
      <w:szCs w:val="21"/>
      <w:lang w:val="en-US" w:eastAsia="zh-CN" w:bidi="ar-SA"/>
    </w:rPr>
  </w:style>
  <w:style w:type="paragraph" w:customStyle="1" w:styleId="99">
    <w:name w:val="闻政正文"/>
    <w:basedOn w:val="1"/>
    <w:qFormat/>
    <w:uiPriority w:val="3"/>
    <w:pPr>
      <w:spacing w:line="500" w:lineRule="exact"/>
    </w:pPr>
    <w:rPr>
      <w:rFonts w:ascii="Times New Roman" w:hAnsi="Times New Roman"/>
      <w:sz w:val="28"/>
      <w:szCs w:val="28"/>
      <w:lang w:val="zh-CN"/>
    </w:rPr>
  </w:style>
  <w:style w:type="character" w:customStyle="1" w:styleId="100">
    <w:name w:val="font11"/>
    <w:qFormat/>
    <w:uiPriority w:val="0"/>
    <w:rPr>
      <w:rFonts w:hint="eastAsia" w:ascii="宋体" w:hAnsi="宋体" w:eastAsia="宋体" w:cs="宋体"/>
      <w:color w:val="000000"/>
      <w:sz w:val="20"/>
      <w:szCs w:val="20"/>
      <w:u w:val="none"/>
    </w:rPr>
  </w:style>
  <w:style w:type="character" w:customStyle="1" w:styleId="101">
    <w:name w:val="font41"/>
    <w:basedOn w:val="33"/>
    <w:qFormat/>
    <w:uiPriority w:val="0"/>
    <w:rPr>
      <w:rFonts w:hint="eastAsia" w:ascii="宋体" w:hAnsi="宋体" w:eastAsia="宋体" w:cs="宋体"/>
      <w:color w:val="000000"/>
      <w:sz w:val="20"/>
      <w:szCs w:val="20"/>
      <w:u w:val="none"/>
    </w:rPr>
  </w:style>
  <w:style w:type="character" w:customStyle="1" w:styleId="102">
    <w:name w:val="font31"/>
    <w:basedOn w:val="33"/>
    <w:qFormat/>
    <w:uiPriority w:val="0"/>
    <w:rPr>
      <w:rFonts w:hint="eastAsia" w:ascii="宋体" w:hAnsi="宋体" w:eastAsia="宋体" w:cs="宋体"/>
      <w:b/>
      <w:bCs/>
      <w:color w:val="000000"/>
      <w:sz w:val="20"/>
      <w:szCs w:val="20"/>
      <w:u w:val="none"/>
    </w:rPr>
  </w:style>
  <w:style w:type="character" w:customStyle="1" w:styleId="103">
    <w:name w:val="font71"/>
    <w:qFormat/>
    <w:uiPriority w:val="0"/>
    <w:rPr>
      <w:rFonts w:hint="eastAsia" w:ascii="宋体" w:hAnsi="宋体" w:eastAsia="宋体" w:cs="宋体"/>
      <w:color w:val="000000"/>
      <w:sz w:val="20"/>
      <w:szCs w:val="20"/>
      <w:u w:val="none"/>
    </w:rPr>
  </w:style>
  <w:style w:type="paragraph" w:customStyle="1" w:styleId="104">
    <w:name w:val="Default"/>
    <w:qFormat/>
    <w:uiPriority w:val="0"/>
    <w:pPr>
      <w:widowControl w:val="0"/>
      <w:autoSpaceDE w:val="0"/>
      <w:autoSpaceDN w:val="0"/>
      <w:adjustRightInd w:val="0"/>
    </w:pPr>
    <w:rPr>
      <w:rFonts w:ascii="方正小标宋简体" w:hAnsi="Times New Roman" w:eastAsia="方正小标宋简体" w:cs="方正小标宋简体"/>
      <w:color w:val="000000"/>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34</Pages>
  <Words>16313</Words>
  <Characters>17259</Characters>
  <Lines>242</Lines>
  <Paragraphs>68</Paragraphs>
  <TotalTime>14</TotalTime>
  <ScaleCrop>false</ScaleCrop>
  <LinksUpToDate>false</LinksUpToDate>
  <CharactersWithSpaces>17674</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2020-12-14T14:34:00Z</dcterms:created>
  <dc:creator>Administrator</dc:creator>
  <cp:lastModifiedBy>北山北</cp:lastModifiedBy>
  <cp:lastPrinted>2021-04-07T18:44:00Z</cp:lastPrinted>
  <dcterms:modified xsi:type="dcterms:W3CDTF">2022-12-14T01:07:09Z</dcterms:modified>
  <dc:title>&lt;4D6963726F736F667420576F7264202D20BCC3B2C6BCA8A1B232303230A1B332BAC5A3A8332E36B4F2D3A1B6A8B8E5A3A92E646F63&gt;</dc:title>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898AE73022AA4614BF0DB282D17A0992</vt:lpwstr>
  </property>
</Properties>
</file>