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jc w:val="both"/>
        <w:rPr>
          <w:rFonts w:eastAsia="宋体"/>
          <w:color w:val="auto"/>
        </w:rPr>
      </w:pPr>
    </w:p>
    <w:p>
      <w:pPr>
        <w:pStyle w:val="44"/>
        <w:jc w:val="both"/>
        <w:rPr>
          <w:rFonts w:eastAsia="宋体"/>
          <w:color w:val="auto"/>
        </w:rPr>
      </w:pPr>
    </w:p>
    <w:p>
      <w:pPr>
        <w:spacing w:line="700" w:lineRule="exact"/>
        <w:jc w:val="center"/>
        <w:rPr>
          <w:rFonts w:hint="eastAsia" w:ascii="微软雅黑" w:hAnsi="微软雅黑" w:eastAsia="微软雅黑" w:cs="微软雅黑"/>
          <w:sz w:val="48"/>
          <w:szCs w:val="48"/>
        </w:rPr>
      </w:pPr>
    </w:p>
    <w:p>
      <w:pPr>
        <w:spacing w:line="700" w:lineRule="exact"/>
        <w:jc w:val="center"/>
        <w:rPr>
          <w:rFonts w:hint="eastAsia" w:ascii="微软雅黑" w:hAnsi="微软雅黑" w:eastAsia="微软雅黑" w:cs="微软雅黑"/>
          <w:sz w:val="48"/>
          <w:szCs w:val="48"/>
        </w:rPr>
      </w:pPr>
    </w:p>
    <w:p>
      <w:pPr>
        <w:spacing w:line="700" w:lineRule="exact"/>
        <w:jc w:val="center"/>
        <w:rPr>
          <w:rFonts w:hint="eastAsia" w:ascii="微软雅黑" w:hAnsi="微软雅黑" w:eastAsia="微软雅黑" w:cs="微软雅黑"/>
          <w:sz w:val="48"/>
          <w:szCs w:val="48"/>
        </w:rPr>
      </w:pPr>
      <w:r>
        <w:rPr>
          <w:rFonts w:hint="eastAsia" w:ascii="微软雅黑" w:hAnsi="微软雅黑" w:eastAsia="微软雅黑" w:cs="微软雅黑"/>
          <w:sz w:val="48"/>
          <w:szCs w:val="48"/>
        </w:rPr>
        <w:t>菏泽市2021年度城乡居民最低生活保障及农村特困人员救助供养</w:t>
      </w:r>
    </w:p>
    <w:p>
      <w:pPr>
        <w:spacing w:line="700" w:lineRule="exact"/>
        <w:jc w:val="center"/>
        <w:rPr>
          <w:rFonts w:ascii="Times New Roman" w:hAnsi="Times New Roman" w:eastAsia="微软雅黑" w:cs="Times New Roman"/>
          <w:color w:val="auto"/>
          <w:sz w:val="48"/>
          <w:szCs w:val="48"/>
        </w:rPr>
      </w:pPr>
      <w:r>
        <w:rPr>
          <w:rFonts w:hint="eastAsia" w:ascii="微软雅黑" w:hAnsi="微软雅黑" w:eastAsia="微软雅黑" w:cs="微软雅黑"/>
          <w:sz w:val="48"/>
          <w:szCs w:val="48"/>
        </w:rPr>
        <w:t>支出政策</w:t>
      </w:r>
      <w:r>
        <w:rPr>
          <w:rFonts w:ascii="Times New Roman" w:hAnsi="Times New Roman" w:eastAsia="微软雅黑" w:cs="Times New Roman"/>
          <w:color w:val="auto"/>
          <w:sz w:val="48"/>
          <w:szCs w:val="48"/>
        </w:rPr>
        <w:t>绩效评价报告</w:t>
      </w:r>
    </w:p>
    <w:p>
      <w:pPr>
        <w:pStyle w:val="44"/>
        <w:keepNext w:val="0"/>
        <w:keepLines w:val="0"/>
        <w:pageBreakBefore w:val="0"/>
        <w:kinsoku/>
        <w:wordWrap/>
        <w:overflowPunct/>
        <w:topLinePunct w:val="0"/>
        <w:autoSpaceDE/>
        <w:autoSpaceDN/>
        <w:bidi w:val="0"/>
        <w:adjustRightInd/>
        <w:snapToGrid/>
        <w:spacing w:line="240" w:lineRule="auto"/>
        <w:textAlignment w:val="auto"/>
        <w:rPr>
          <w:rFonts w:eastAsia="宋体"/>
          <w:color w:val="auto"/>
        </w:rPr>
      </w:pPr>
    </w:p>
    <w:p>
      <w:pPr>
        <w:pStyle w:val="44"/>
        <w:keepNext w:val="0"/>
        <w:keepLines w:val="0"/>
        <w:pageBreakBefore w:val="0"/>
        <w:kinsoku/>
        <w:wordWrap/>
        <w:overflowPunct/>
        <w:topLinePunct w:val="0"/>
        <w:autoSpaceDE/>
        <w:autoSpaceDN/>
        <w:bidi w:val="0"/>
        <w:adjustRightInd/>
        <w:snapToGrid/>
        <w:spacing w:line="240" w:lineRule="auto"/>
        <w:jc w:val="both"/>
        <w:textAlignment w:val="auto"/>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jc w:val="both"/>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4"/>
        <w:rPr>
          <w:rFonts w:eastAsia="宋体"/>
          <w:color w:val="auto"/>
        </w:rPr>
      </w:pPr>
    </w:p>
    <w:p>
      <w:pPr>
        <w:pStyle w:val="42"/>
        <w:ind w:left="2877" w:leftChars="608" w:hanging="1600" w:hangingChars="500"/>
        <w:rPr>
          <w:rFonts w:hint="eastAsia" w:ascii="微软雅黑" w:hAnsi="微软雅黑" w:eastAsia="微软雅黑" w:cs="微软雅黑"/>
          <w:b w:val="0"/>
          <w:bCs w:val="0"/>
          <w:color w:val="auto"/>
          <w:sz w:val="32"/>
          <w:szCs w:val="32"/>
          <w:lang w:eastAsia="zh-CN"/>
        </w:rPr>
      </w:pPr>
    </w:p>
    <w:p>
      <w:pPr>
        <w:pStyle w:val="44"/>
        <w:jc w:val="both"/>
        <w:rPr>
          <w:rFonts w:hint="eastAsia" w:ascii="微软雅黑" w:hAnsi="微软雅黑" w:eastAsia="微软雅黑" w:cs="微软雅黑"/>
          <w:b w:val="0"/>
          <w:bCs w:val="0"/>
          <w:color w:val="auto"/>
          <w:sz w:val="32"/>
          <w:szCs w:val="32"/>
        </w:rPr>
      </w:pPr>
    </w:p>
    <w:p>
      <w:pPr>
        <w:pStyle w:val="43"/>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2022</w:t>
      </w:r>
      <w:r>
        <w:rPr>
          <w:rFonts w:hint="eastAsia" w:ascii="黑体" w:hAnsi="黑体" w:eastAsia="黑体" w:cs="黑体"/>
          <w:b w:val="0"/>
          <w:bCs w:val="0"/>
          <w:color w:val="auto"/>
          <w:sz w:val="32"/>
          <w:szCs w:val="32"/>
        </w:rPr>
        <w:t>年</w:t>
      </w:r>
      <w:r>
        <w:rPr>
          <w:rFonts w:hint="eastAsia" w:ascii="黑体" w:hAnsi="黑体" w:eastAsia="黑体" w:cs="黑体"/>
          <w:b w:val="0"/>
          <w:bCs w:val="0"/>
          <w:color w:val="auto"/>
          <w:sz w:val="32"/>
          <w:szCs w:val="32"/>
          <w:lang w:val="en-US" w:eastAsia="zh-CN"/>
        </w:rPr>
        <w:t>0</w:t>
      </w:r>
      <w:r>
        <w:rPr>
          <w:rFonts w:hint="eastAsia" w:ascii="黑体" w:hAnsi="黑体" w:cs="黑体"/>
          <w:b w:val="0"/>
          <w:bCs w:val="0"/>
          <w:color w:val="auto"/>
          <w:sz w:val="32"/>
          <w:szCs w:val="32"/>
          <w:lang w:val="en-US" w:eastAsia="zh-CN"/>
        </w:rPr>
        <w:t>8</w:t>
      </w:r>
      <w:r>
        <w:rPr>
          <w:rFonts w:hint="eastAsia" w:ascii="黑体" w:hAnsi="黑体" w:eastAsia="黑体" w:cs="黑体"/>
          <w:b w:val="0"/>
          <w:bCs w:val="0"/>
          <w:color w:val="auto"/>
          <w:sz w:val="32"/>
          <w:szCs w:val="32"/>
        </w:rPr>
        <w:t>月</w:t>
      </w:r>
    </w:p>
    <w:p>
      <w:pPr>
        <w:pStyle w:val="43"/>
        <w:jc w:val="center"/>
        <w:rPr>
          <w:rFonts w:hint="eastAsia" w:ascii="微软雅黑" w:hAnsi="微软雅黑" w:eastAsia="微软雅黑" w:cs="微软雅黑"/>
          <w:b w:val="0"/>
          <w:bCs w:val="0"/>
          <w:color w:val="auto"/>
          <w:sz w:val="44"/>
          <w:szCs w:val="44"/>
          <w:lang w:eastAsia="zh-CN"/>
        </w:rPr>
      </w:pPr>
    </w:p>
    <w:p>
      <w:pPr>
        <w:spacing w:line="600" w:lineRule="exact"/>
        <w:jc w:val="both"/>
        <w:rPr>
          <w:rFonts w:ascii="Times New Roman" w:hAnsi="Times New Roman" w:eastAsia="微软雅黑" w:cs="Times New Roman"/>
          <w:color w:val="auto"/>
          <w:sz w:val="36"/>
          <w:szCs w:val="36"/>
        </w:rPr>
      </w:pPr>
    </w:p>
    <w:p>
      <w:pPr>
        <w:spacing w:line="600" w:lineRule="exact"/>
        <w:jc w:val="center"/>
        <w:rPr>
          <w:rFonts w:ascii="Times New Roman" w:hAnsi="Times New Roman" w:eastAsia="微软雅黑" w:cs="Times New Roman"/>
          <w:color w:val="auto"/>
          <w:sz w:val="36"/>
          <w:szCs w:val="36"/>
        </w:rPr>
      </w:pPr>
    </w:p>
    <w:p>
      <w:pPr>
        <w:bidi w:val="0"/>
      </w:pPr>
    </w:p>
    <w:p>
      <w:pPr>
        <w:spacing w:line="600" w:lineRule="exact"/>
        <w:jc w:val="both"/>
        <w:rPr>
          <w:rFonts w:ascii="Times New Roman" w:hAnsi="Times New Roman" w:eastAsia="微软雅黑" w:cs="Times New Roman"/>
          <w:color w:val="auto"/>
          <w:sz w:val="36"/>
          <w:szCs w:val="36"/>
        </w:rPr>
        <w:sectPr>
          <w:pgSz w:w="11906" w:h="16838"/>
          <w:pgMar w:top="1440" w:right="1800" w:bottom="1440" w:left="1800" w:header="851" w:footer="992" w:gutter="0"/>
          <w:pgNumType w:fmt="numberInDash"/>
          <w:cols w:space="425" w:num="1"/>
          <w:docGrid w:type="lines" w:linePitch="312" w:charSpace="0"/>
        </w:sectPr>
      </w:pPr>
    </w:p>
    <w:p>
      <w:pPr>
        <w:spacing w:line="600" w:lineRule="exact"/>
        <w:jc w:val="center"/>
      </w:pPr>
      <w:r>
        <w:rPr>
          <w:rFonts w:ascii="Times New Roman" w:hAnsi="Times New Roman" w:eastAsia="微软雅黑" w:cs="Times New Roman"/>
          <w:b w:val="0"/>
          <w:bCs w:val="0"/>
          <w:color w:val="auto"/>
          <w:sz w:val="44"/>
          <w:szCs w:val="44"/>
        </w:rPr>
        <w:t>目 录</w:t>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pPr>
      <w:r>
        <w:rPr>
          <w:color w:val="auto"/>
        </w:rPr>
        <w:fldChar w:fldCharType="begin"/>
      </w:r>
      <w:r>
        <w:rPr>
          <w:color w:val="auto"/>
        </w:rPr>
        <w:instrText xml:space="preserve"> TOC \o "1-2" \h \z \u </w:instrText>
      </w:r>
      <w:r>
        <w:rPr>
          <w:color w:val="auto"/>
        </w:rPr>
        <w:fldChar w:fldCharType="separate"/>
      </w:r>
      <w:r>
        <w:rPr>
          <w:rFonts w:hint="eastAsia" w:ascii="黑体" w:hAnsi="黑体" w:eastAsia="黑体" w:cs="黑体"/>
          <w:b w:val="0"/>
          <w:bCs/>
          <w:color w:val="auto"/>
          <w:sz w:val="32"/>
          <w:szCs w:val="32"/>
        </w:rPr>
        <w:fldChar w:fldCharType="begin"/>
      </w:r>
      <w:r>
        <w:rPr>
          <w:rFonts w:hint="eastAsia" w:ascii="黑体" w:hAnsi="黑体" w:eastAsia="黑体" w:cs="黑体"/>
          <w:b w:val="0"/>
          <w:bCs/>
          <w:sz w:val="32"/>
          <w:szCs w:val="32"/>
        </w:rPr>
        <w:instrText xml:space="preserve"> HYPERLINK \l _Toc12611 </w:instrText>
      </w:r>
      <w:r>
        <w:rPr>
          <w:rFonts w:hint="eastAsia" w:ascii="黑体" w:hAnsi="黑体" w:eastAsia="黑体" w:cs="黑体"/>
          <w:b w:val="0"/>
          <w:bCs/>
          <w:sz w:val="32"/>
          <w:szCs w:val="32"/>
        </w:rPr>
        <w:fldChar w:fldCharType="separate"/>
      </w:r>
      <w:r>
        <w:rPr>
          <w:rFonts w:hint="eastAsia" w:ascii="黑体" w:hAnsi="黑体" w:eastAsia="黑体" w:cs="黑体"/>
          <w:b w:val="0"/>
          <w:bCs/>
          <w:sz w:val="32"/>
          <w:szCs w:val="32"/>
          <w:lang w:eastAsia="zh-CN"/>
        </w:rPr>
        <w:t>一、项目</w:t>
      </w:r>
      <w:r>
        <w:rPr>
          <w:rFonts w:hint="eastAsia" w:ascii="黑体" w:hAnsi="黑体" w:eastAsia="黑体" w:cs="黑体"/>
          <w:b w:val="0"/>
          <w:bCs/>
          <w:sz w:val="32"/>
          <w:szCs w:val="32"/>
        </w:rPr>
        <w:t>基本情况</w:t>
      </w:r>
      <w:r>
        <w:rPr>
          <w:rFonts w:hint="eastAsia" w:ascii="黑体" w:hAnsi="黑体" w:eastAsia="黑体" w:cs="黑体"/>
          <w:b w:val="0"/>
          <w:bCs/>
          <w:sz w:val="32"/>
          <w:szCs w:val="32"/>
        </w:rPr>
        <w:tab/>
      </w:r>
      <w:r>
        <w:rPr>
          <w:rFonts w:hint="eastAsia" w:ascii="黑体" w:hAnsi="黑体" w:eastAsia="黑体" w:cs="黑体"/>
          <w:b w:val="0"/>
          <w:bCs/>
          <w:sz w:val="32"/>
          <w:szCs w:val="32"/>
        </w:rPr>
        <w:fldChar w:fldCharType="begin"/>
      </w:r>
      <w:r>
        <w:rPr>
          <w:rFonts w:hint="eastAsia" w:ascii="黑体" w:hAnsi="黑体" w:eastAsia="黑体" w:cs="黑体"/>
          <w:b w:val="0"/>
          <w:bCs/>
          <w:sz w:val="32"/>
          <w:szCs w:val="32"/>
        </w:rPr>
        <w:instrText xml:space="preserve"> PAGEREF _Toc12611 \h </w:instrText>
      </w:r>
      <w:r>
        <w:rPr>
          <w:rFonts w:hint="eastAsia" w:ascii="黑体" w:hAnsi="黑体" w:eastAsia="黑体" w:cs="黑体"/>
          <w:b w:val="0"/>
          <w:bCs/>
          <w:sz w:val="32"/>
          <w:szCs w:val="32"/>
        </w:rPr>
        <w:fldChar w:fldCharType="separate"/>
      </w:r>
      <w:r>
        <w:rPr>
          <w:rFonts w:hint="eastAsia" w:ascii="黑体" w:hAnsi="黑体" w:eastAsia="黑体" w:cs="黑体"/>
          <w:b w:val="0"/>
          <w:bCs/>
          <w:sz w:val="32"/>
          <w:szCs w:val="32"/>
        </w:rPr>
        <w:t>- 1 -</w:t>
      </w:r>
      <w:r>
        <w:rPr>
          <w:rFonts w:hint="eastAsia" w:ascii="黑体" w:hAnsi="黑体" w:eastAsia="黑体" w:cs="黑体"/>
          <w:b w:val="0"/>
          <w:bCs/>
          <w:sz w:val="32"/>
          <w:szCs w:val="32"/>
        </w:rPr>
        <w:fldChar w:fldCharType="end"/>
      </w:r>
      <w:r>
        <w:rPr>
          <w:rFonts w:hint="eastAsia" w:ascii="黑体" w:hAnsi="黑体" w:eastAsia="黑体" w:cs="黑体"/>
          <w:b w:val="0"/>
          <w:bCs/>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_Toc9063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（一）</w:t>
      </w:r>
      <w:r>
        <w:rPr>
          <w:rFonts w:hint="eastAsia" w:ascii="楷体_GB2312" w:hAnsi="楷体_GB2312" w:eastAsia="楷体_GB2312" w:cs="楷体_GB2312"/>
          <w:color w:val="auto"/>
          <w:sz w:val="32"/>
          <w:szCs w:val="32"/>
        </w:rPr>
        <w:t>项目</w:t>
      </w:r>
      <w:r>
        <w:rPr>
          <w:rFonts w:hint="eastAsia" w:ascii="楷体_GB2312" w:hAnsi="楷体_GB2312" w:eastAsia="楷体_GB2312" w:cs="楷体_GB2312"/>
          <w:color w:val="auto"/>
          <w:sz w:val="32"/>
          <w:szCs w:val="32"/>
          <w:lang w:eastAsia="zh-CN"/>
        </w:rPr>
        <w:t>立项</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_Toc9063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- 1 -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_Toc22893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（二）项目预算</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_Toc22893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- 1 -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_Toc3258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（三）项目计划实施内容</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_Toc3258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- 2 -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_Toc2905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（四）项目组织管理</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_Toc2905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- 2 -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_Toc1776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二、项目绩效目标</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_Toc1776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- 2 -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_Toc5073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三、</w:t>
      </w:r>
      <w:r>
        <w:rPr>
          <w:rFonts w:hint="eastAsia" w:ascii="黑体" w:hAnsi="黑体" w:eastAsia="黑体" w:cs="黑体"/>
          <w:b w:val="0"/>
          <w:bCs/>
          <w:color w:val="auto"/>
          <w:sz w:val="32"/>
          <w:szCs w:val="32"/>
        </w:rPr>
        <w:t>评价基本情况</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_Toc5073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- 2 -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_Toc1583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（一）评价目的</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_Toc1583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- 3 -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_Toc23620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（二）评价对象与范围</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_Toc23620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- 3 -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_Toc10727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（三）评价依据</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_Toc10727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- 3 -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_Toc2823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（四）评价原则、评价方法</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_Toc2823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- 3 -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_Toc7294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（五）绩效评价指标体系</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_Toc7294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- 4 -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_Toc20673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（六）评价人员组成</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_Toc20673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- 4 -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_Toc9329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（七）绩效评价工作过程</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_Toc9329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- 4 -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_Toc6313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评价结论及分析</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_Toc6313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- 5 -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_Toc27675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eastAsia="zh-CN"/>
        </w:rPr>
        <w:t>（一）评价结论</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_Toc27675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- 5 -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_Toc10148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val="en-US" w:eastAsia="zh-CN"/>
        </w:rPr>
        <w:t>（二）非现场绩效评价情况分析</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_Toc10148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- 5 -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_Toc10148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val="en-US" w:eastAsia="zh-CN"/>
        </w:rPr>
        <w:t>（三）现场绩效评价情况分析</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_Toc10148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- 5 -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_Toc16611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五、</w:t>
      </w:r>
      <w:r>
        <w:rPr>
          <w:rFonts w:hint="eastAsia" w:ascii="黑体" w:hAnsi="黑体" w:eastAsia="黑体" w:cs="黑体"/>
          <w:b w:val="0"/>
          <w:bCs/>
          <w:color w:val="auto"/>
          <w:sz w:val="32"/>
          <w:szCs w:val="32"/>
        </w:rPr>
        <w:t>绩效评价指标分析</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_Toc16611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- 5 -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_Toc2375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val="en-US" w:eastAsia="zh-CN"/>
        </w:rPr>
        <w:t>（一）政策制定情况</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_Toc2375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- 6 -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_Toc19623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val="en-US" w:eastAsia="zh-CN"/>
        </w:rPr>
        <w:t>（二）政策执行情况</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_Toc19623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- 6 -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_Toc25107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val="en-US" w:eastAsia="zh-CN"/>
        </w:rPr>
        <w:t>（三）政策产出情况</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_Toc25107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- 6 -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2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pP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HYPERLINK \l _Toc9111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lang w:val="en-US" w:eastAsia="zh-CN"/>
        </w:rPr>
        <w:t>（四）政策效益情况</w:t>
      </w:r>
      <w:r>
        <w:rPr>
          <w:rFonts w:hint="eastAsia" w:ascii="楷体_GB2312" w:hAnsi="楷体_GB2312" w:eastAsia="楷体_GB2312" w:cs="楷体_GB2312"/>
          <w:color w:val="auto"/>
          <w:sz w:val="32"/>
          <w:szCs w:val="32"/>
        </w:rPr>
        <w:tab/>
      </w:r>
      <w:r>
        <w:rPr>
          <w:rFonts w:hint="eastAsia" w:ascii="楷体_GB2312" w:hAnsi="楷体_GB2312" w:eastAsia="楷体_GB2312" w:cs="楷体_GB2312"/>
          <w:color w:val="auto"/>
          <w:sz w:val="32"/>
          <w:szCs w:val="32"/>
        </w:rPr>
        <w:fldChar w:fldCharType="begin"/>
      </w:r>
      <w:r>
        <w:rPr>
          <w:rFonts w:hint="eastAsia" w:ascii="楷体_GB2312" w:hAnsi="楷体_GB2312" w:eastAsia="楷体_GB2312" w:cs="楷体_GB2312"/>
          <w:color w:val="auto"/>
          <w:sz w:val="32"/>
          <w:szCs w:val="32"/>
        </w:rPr>
        <w:instrText xml:space="preserve"> PAGEREF _Toc9111 \h </w:instrText>
      </w:r>
      <w:r>
        <w:rPr>
          <w:rFonts w:hint="eastAsia" w:ascii="楷体_GB2312" w:hAnsi="楷体_GB2312" w:eastAsia="楷体_GB2312" w:cs="楷体_GB2312"/>
          <w:color w:val="auto"/>
          <w:sz w:val="32"/>
          <w:szCs w:val="32"/>
        </w:rPr>
        <w:fldChar w:fldCharType="separate"/>
      </w:r>
      <w:r>
        <w:rPr>
          <w:rFonts w:hint="eastAsia" w:ascii="楷体_GB2312" w:hAnsi="楷体_GB2312" w:eastAsia="楷体_GB2312" w:cs="楷体_GB2312"/>
          <w:color w:val="auto"/>
          <w:sz w:val="32"/>
          <w:szCs w:val="32"/>
        </w:rPr>
        <w:t>- 7 -</w:t>
      </w:r>
      <w:r>
        <w:rPr>
          <w:rFonts w:hint="eastAsia" w:ascii="楷体_GB2312" w:hAnsi="楷体_GB2312" w:eastAsia="楷体_GB2312" w:cs="楷体_GB2312"/>
          <w:color w:val="auto"/>
          <w:sz w:val="32"/>
          <w:szCs w:val="32"/>
        </w:rPr>
        <w:fldChar w:fldCharType="end"/>
      </w:r>
      <w:r>
        <w:rPr>
          <w:rFonts w:hint="eastAsia" w:ascii="楷体_GB2312" w:hAnsi="楷体_GB2312" w:eastAsia="楷体_GB2312" w:cs="楷体_GB2312"/>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_Toc14436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六、成效和</w:t>
      </w:r>
      <w:r>
        <w:rPr>
          <w:rFonts w:hint="eastAsia" w:ascii="黑体" w:hAnsi="黑体" w:eastAsia="黑体" w:cs="黑体"/>
          <w:b w:val="0"/>
          <w:bCs/>
          <w:color w:val="auto"/>
          <w:sz w:val="32"/>
          <w:szCs w:val="32"/>
        </w:rPr>
        <w:t>主要经验做法</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_Toc14436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- 7 -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_Toc4579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七、</w:t>
      </w:r>
      <w:r>
        <w:rPr>
          <w:rFonts w:hint="eastAsia" w:ascii="黑体" w:hAnsi="黑体" w:eastAsia="黑体" w:cs="黑体"/>
          <w:b w:val="0"/>
          <w:bCs/>
          <w:color w:val="auto"/>
          <w:sz w:val="32"/>
          <w:szCs w:val="32"/>
        </w:rPr>
        <w:t>存在的问题及原因分析</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_Toc4579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- 8 -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19"/>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600" w:lineRule="exact"/>
        <w:textAlignment w:val="auto"/>
      </w:pP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HYPERLINK \l _Toc4576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lang w:eastAsia="zh-CN"/>
        </w:rPr>
        <w:t>七、</w:t>
      </w:r>
      <w:r>
        <w:rPr>
          <w:rFonts w:hint="eastAsia" w:ascii="黑体" w:hAnsi="黑体" w:eastAsia="黑体" w:cs="黑体"/>
          <w:b w:val="0"/>
          <w:bCs/>
          <w:color w:val="auto"/>
          <w:sz w:val="32"/>
          <w:szCs w:val="32"/>
        </w:rPr>
        <w:t>意见建议</w:t>
      </w:r>
      <w:r>
        <w:rPr>
          <w:rFonts w:hint="eastAsia" w:ascii="黑体" w:hAnsi="黑体" w:eastAsia="黑体" w:cs="黑体"/>
          <w:b w:val="0"/>
          <w:bCs/>
          <w:color w:val="auto"/>
          <w:sz w:val="32"/>
          <w:szCs w:val="32"/>
        </w:rPr>
        <w:tab/>
      </w:r>
      <w:r>
        <w:rPr>
          <w:rFonts w:hint="eastAsia" w:ascii="黑体" w:hAnsi="黑体" w:eastAsia="黑体" w:cs="黑体"/>
          <w:b w:val="0"/>
          <w:bCs/>
          <w:color w:val="auto"/>
          <w:sz w:val="32"/>
          <w:szCs w:val="32"/>
        </w:rPr>
        <w:fldChar w:fldCharType="begin"/>
      </w:r>
      <w:r>
        <w:rPr>
          <w:rFonts w:hint="eastAsia" w:ascii="黑体" w:hAnsi="黑体" w:eastAsia="黑体" w:cs="黑体"/>
          <w:b w:val="0"/>
          <w:bCs/>
          <w:color w:val="auto"/>
          <w:sz w:val="32"/>
          <w:szCs w:val="32"/>
        </w:rPr>
        <w:instrText xml:space="preserve"> PAGEREF _Toc4576 \h </w:instrText>
      </w:r>
      <w:r>
        <w:rPr>
          <w:rFonts w:hint="eastAsia" w:ascii="黑体" w:hAnsi="黑体" w:eastAsia="黑体" w:cs="黑体"/>
          <w:b w:val="0"/>
          <w:bCs/>
          <w:color w:val="auto"/>
          <w:sz w:val="32"/>
          <w:szCs w:val="32"/>
        </w:rPr>
        <w:fldChar w:fldCharType="separate"/>
      </w:r>
      <w:r>
        <w:rPr>
          <w:rFonts w:hint="eastAsia" w:ascii="黑体" w:hAnsi="黑体" w:eastAsia="黑体" w:cs="黑体"/>
          <w:b w:val="0"/>
          <w:bCs/>
          <w:color w:val="auto"/>
          <w:sz w:val="32"/>
          <w:szCs w:val="32"/>
        </w:rPr>
        <w:t>- 10 -</w:t>
      </w:r>
      <w:r>
        <w:rPr>
          <w:rFonts w:hint="eastAsia" w:ascii="黑体" w:hAnsi="黑体" w:eastAsia="黑体" w:cs="黑体"/>
          <w:b w:val="0"/>
          <w:bCs/>
          <w:color w:val="auto"/>
          <w:sz w:val="32"/>
          <w:szCs w:val="32"/>
        </w:rPr>
        <w:fldChar w:fldCharType="end"/>
      </w:r>
      <w:r>
        <w:rPr>
          <w:rFonts w:hint="eastAsia" w:ascii="黑体" w:hAnsi="黑体" w:eastAsia="黑体" w:cs="黑体"/>
          <w:b w:val="0"/>
          <w:bCs/>
          <w:color w:val="auto"/>
          <w:sz w:val="32"/>
          <w:szCs w:val="32"/>
        </w:rPr>
        <w:fldChar w:fldCharType="end"/>
      </w:r>
    </w:p>
    <w:p>
      <w:pPr>
        <w:pStyle w:val="7"/>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Times New Roman" w:hAnsi="Times New Roman" w:eastAsia="微软雅黑" w:cs="Times New Roman"/>
          <w:color w:val="auto"/>
          <w:sz w:val="44"/>
          <w:szCs w:val="44"/>
        </w:rPr>
        <w:sectPr>
          <w:footerReference r:id="rId3" w:type="default"/>
          <w:pgSz w:w="11906" w:h="16838"/>
          <w:pgMar w:top="1440" w:right="1800" w:bottom="1440" w:left="1800" w:header="851" w:footer="992" w:gutter="0"/>
          <w:pgNumType w:fmt="numberInDash" w:start="1"/>
          <w:cols w:space="425" w:num="1"/>
          <w:docGrid w:type="lines" w:linePitch="312" w:charSpace="0"/>
        </w:sectPr>
      </w:pPr>
      <w:r>
        <w:rPr>
          <w:color w:val="auto"/>
        </w:rPr>
        <w:fldChar w:fldCharType="end"/>
      </w:r>
      <w:bookmarkStart w:id="0" w:name="_Toc413586939"/>
    </w:p>
    <w:bookmarkEnd w:id="0"/>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eastAsia="微软雅黑"/>
          <w:lang w:eastAsia="zh-CN"/>
        </w:rPr>
      </w:pPr>
      <w:r>
        <w:rPr>
          <w:rFonts w:ascii="Times New Roman" w:hAnsi="Times New Roman" w:eastAsia="微软雅黑" w:cs="Times New Roman"/>
          <w:color w:val="auto"/>
          <w:sz w:val="44"/>
          <w:szCs w:val="44"/>
        </w:rPr>
        <w:t>正文</w:t>
      </w:r>
      <w:r>
        <w:rPr>
          <w:rFonts w:hint="eastAsia" w:ascii="Times New Roman" w:hAnsi="Times New Roman" w:eastAsia="微软雅黑" w:cs="Times New Roman"/>
          <w:color w:val="auto"/>
          <w:sz w:val="44"/>
          <w:szCs w:val="44"/>
          <w:lang w:eastAsia="zh-CN"/>
        </w:rPr>
        <w:t>部分</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630" w:leftChars="0"/>
        <w:textAlignment w:val="auto"/>
        <w:rPr>
          <w:rStyle w:val="34"/>
          <w:bCs/>
          <w:color w:val="auto"/>
        </w:rPr>
      </w:pPr>
      <w:bookmarkStart w:id="1" w:name="_Toc12611"/>
      <w:r>
        <w:rPr>
          <w:rFonts w:hint="eastAsia"/>
          <w:color w:val="auto"/>
          <w:lang w:eastAsia="zh-CN"/>
        </w:rPr>
        <w:t>一、项目</w:t>
      </w:r>
      <w:r>
        <w:rPr>
          <w:color w:val="auto"/>
        </w:rPr>
        <w:t>基本情况</w:t>
      </w:r>
      <w:bookmarkEnd w:id="1"/>
    </w:p>
    <w:p>
      <w:pPr>
        <w:pStyle w:val="4"/>
        <w:pageBreakBefore w:val="0"/>
        <w:widowControl w:val="0"/>
        <w:numPr>
          <w:ilvl w:val="1"/>
          <w:numId w:val="0"/>
        </w:numPr>
        <w:kinsoku/>
        <w:wordWrap/>
        <w:overflowPunct/>
        <w:topLinePunct w:val="0"/>
        <w:autoSpaceDE/>
        <w:autoSpaceDN/>
        <w:bidi w:val="0"/>
        <w:adjustRightInd/>
        <w:snapToGrid/>
        <w:spacing w:before="0" w:after="0" w:line="600" w:lineRule="exact"/>
        <w:ind w:left="630" w:leftChars="0"/>
        <w:textAlignment w:val="auto"/>
        <w:rPr>
          <w:rFonts w:hint="eastAsia" w:ascii="楷体_GB2312" w:hAnsi="楷体_GB2312" w:eastAsia="楷体_GB2312" w:cs="楷体_GB2312"/>
          <w:b w:val="0"/>
          <w:bCs w:val="0"/>
          <w:color w:val="auto"/>
          <w:sz w:val="32"/>
        </w:rPr>
      </w:pPr>
      <w:bookmarkStart w:id="2" w:name="_Toc9063"/>
      <w:r>
        <w:rPr>
          <w:rFonts w:hint="eastAsia" w:ascii="楷体_GB2312" w:hAnsi="楷体_GB2312" w:eastAsia="楷体_GB2312" w:cs="楷体_GB2312"/>
          <w:b w:val="0"/>
          <w:bCs w:val="0"/>
          <w:color w:val="auto"/>
          <w:sz w:val="32"/>
          <w:lang w:eastAsia="zh-CN"/>
        </w:rPr>
        <w:t>（一）</w:t>
      </w:r>
      <w:r>
        <w:rPr>
          <w:rFonts w:hint="eastAsia" w:ascii="楷体_GB2312" w:hAnsi="楷体_GB2312" w:eastAsia="楷体_GB2312" w:cs="楷体_GB2312"/>
          <w:b w:val="0"/>
          <w:bCs w:val="0"/>
          <w:color w:val="auto"/>
          <w:sz w:val="32"/>
        </w:rPr>
        <w:t>项目</w:t>
      </w:r>
      <w:r>
        <w:rPr>
          <w:rFonts w:hint="eastAsia" w:ascii="楷体_GB2312" w:hAnsi="楷体_GB2312" w:eastAsia="楷体_GB2312" w:cs="楷体_GB2312"/>
          <w:b w:val="0"/>
          <w:bCs w:val="0"/>
          <w:color w:val="auto"/>
          <w:sz w:val="32"/>
          <w:lang w:eastAsia="zh-CN"/>
        </w:rPr>
        <w:t>立项</w:t>
      </w:r>
      <w:bookmarkEnd w:id="2"/>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lang w:val="en-US" w:eastAsia="zh-CN" w:bidi="zh-CN"/>
        </w:rPr>
      </w:pPr>
      <w:r>
        <w:rPr>
          <w:rFonts w:hint="eastAsia" w:ascii="仿宋_GB2312" w:hAnsi="仿宋_GB2312" w:eastAsia="仿宋_GB2312" w:cs="仿宋_GB2312"/>
          <w:b w:val="0"/>
          <w:bCs w:val="0"/>
          <w:kern w:val="2"/>
          <w:sz w:val="32"/>
          <w:szCs w:val="32"/>
          <w:lang w:val="en-US" w:eastAsia="zh-CN" w:bidi="zh-CN"/>
        </w:rPr>
        <w:t>1.项目环境和条件</w:t>
      </w:r>
    </w:p>
    <w:p>
      <w:pPr>
        <w:pStyle w:val="1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r>
        <w:rPr>
          <w:rFonts w:hint="eastAsia" w:ascii="仿宋_GB2312" w:eastAsia="仿宋_GB2312"/>
          <w:kern w:val="2"/>
          <w:sz w:val="32"/>
          <w:szCs w:val="32"/>
        </w:rPr>
        <w:t>为深入贯彻习近平总书记对促改革、谋发展、解民困、惠民生等民政工作的重要指示</w:t>
      </w:r>
      <w:r>
        <w:rPr>
          <w:rFonts w:hint="eastAsia"/>
          <w:kern w:val="2"/>
          <w:sz w:val="32"/>
          <w:szCs w:val="32"/>
          <w:lang w:eastAsia="zh-CN"/>
        </w:rPr>
        <w:t>，</w:t>
      </w:r>
      <w:r>
        <w:rPr>
          <w:rFonts w:hint="eastAsia" w:ascii="仿宋_GB2312" w:eastAsia="仿宋_GB2312"/>
          <w:kern w:val="2"/>
          <w:sz w:val="32"/>
          <w:szCs w:val="32"/>
        </w:rPr>
        <w:t>贯彻落实</w:t>
      </w:r>
      <w:r>
        <w:rPr>
          <w:rFonts w:hint="eastAsia"/>
          <w:kern w:val="2"/>
          <w:sz w:val="32"/>
          <w:szCs w:val="32"/>
          <w:lang w:eastAsia="zh-CN"/>
        </w:rPr>
        <w:t>党</w:t>
      </w:r>
      <w:r>
        <w:rPr>
          <w:rFonts w:hint="eastAsia" w:ascii="仿宋_GB2312" w:eastAsia="仿宋_GB2312"/>
          <w:kern w:val="2"/>
          <w:sz w:val="32"/>
          <w:szCs w:val="32"/>
        </w:rPr>
        <w:t>中央、</w:t>
      </w:r>
      <w:r>
        <w:rPr>
          <w:rFonts w:hint="eastAsia"/>
          <w:kern w:val="2"/>
          <w:sz w:val="32"/>
          <w:szCs w:val="32"/>
          <w:lang w:eastAsia="zh-CN"/>
        </w:rPr>
        <w:t>国务院、山东省委</w:t>
      </w:r>
      <w:r>
        <w:rPr>
          <w:rFonts w:hint="eastAsia" w:ascii="仿宋_GB2312" w:eastAsia="仿宋_GB2312"/>
          <w:kern w:val="2"/>
          <w:sz w:val="32"/>
          <w:szCs w:val="32"/>
        </w:rPr>
        <w:t>省政府切实保障困难群众基本生活的方针政策，根据《菏泽市人民政府关于提高全市困难群众救助保障水平的通知》（菏政字</w:t>
      </w:r>
      <w:r>
        <w:rPr>
          <w:rFonts w:hint="eastAsia"/>
          <w:kern w:val="2"/>
          <w:sz w:val="32"/>
          <w:szCs w:val="32"/>
          <w:lang w:eastAsia="zh-CN"/>
        </w:rPr>
        <w:t>〔2021〕</w:t>
      </w:r>
      <w:r>
        <w:rPr>
          <w:rFonts w:hint="eastAsia" w:ascii="仿宋_GB2312" w:eastAsia="仿宋_GB2312"/>
          <w:kern w:val="2"/>
          <w:sz w:val="32"/>
          <w:szCs w:val="32"/>
        </w:rPr>
        <w:t>17号）等政策文件，</w:t>
      </w:r>
      <w:r>
        <w:rPr>
          <w:rFonts w:hint="eastAsia"/>
          <w:kern w:val="2"/>
          <w:sz w:val="32"/>
          <w:szCs w:val="32"/>
          <w:lang w:eastAsia="zh-CN"/>
        </w:rPr>
        <w:t>菏泽市民政局及相关部门计划</w:t>
      </w:r>
      <w:r>
        <w:rPr>
          <w:rFonts w:hint="eastAsia" w:ascii="仿宋_GB2312" w:eastAsia="仿宋_GB2312"/>
          <w:kern w:val="2"/>
          <w:sz w:val="32"/>
          <w:szCs w:val="32"/>
        </w:rPr>
        <w:t>通过对城乡居民最低生活保障及农村特困人员救助供养支出政策实施专项资金的管理、管控，达到切实保障全市困难群众基本生活、巩固拓展脱贫攻坚成果、提升困难群众福祉水平的目的。</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zh-CN"/>
        </w:rPr>
      </w:pPr>
      <w:r>
        <w:rPr>
          <w:rFonts w:hint="eastAsia" w:ascii="仿宋_GB2312" w:hAnsi="仿宋_GB2312" w:eastAsia="仿宋_GB2312" w:cs="仿宋_GB2312"/>
          <w:kern w:val="2"/>
          <w:sz w:val="32"/>
          <w:szCs w:val="32"/>
          <w:lang w:val="en-US" w:eastAsia="zh-CN" w:bidi="zh-CN"/>
        </w:rPr>
        <w:t>2.实施目标或意义</w:t>
      </w:r>
    </w:p>
    <w:p>
      <w:pPr>
        <w:pStyle w:val="12"/>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kern w:val="2"/>
          <w:sz w:val="32"/>
          <w:szCs w:val="32"/>
        </w:rPr>
      </w:pPr>
      <w:r>
        <w:rPr>
          <w:rFonts w:hint="eastAsia" w:ascii="仿宋_GB2312" w:eastAsia="仿宋_GB2312"/>
          <w:kern w:val="2"/>
          <w:sz w:val="32"/>
          <w:szCs w:val="32"/>
        </w:rPr>
        <w:t>该政策为延续性政策，</w:t>
      </w:r>
      <w:r>
        <w:rPr>
          <w:rFonts w:hint="eastAsia"/>
          <w:kern w:val="2"/>
          <w:sz w:val="32"/>
          <w:szCs w:val="32"/>
          <w:lang w:eastAsia="zh-CN"/>
        </w:rPr>
        <w:t>实施目的主要是</w:t>
      </w:r>
      <w:r>
        <w:rPr>
          <w:rFonts w:hint="eastAsia" w:ascii="仿宋_GB2312" w:eastAsia="仿宋_GB2312"/>
          <w:kern w:val="2"/>
          <w:sz w:val="32"/>
          <w:szCs w:val="32"/>
        </w:rPr>
        <w:t>提高全市城乡最低生活保障居民及农村特困人员的</w:t>
      </w:r>
      <w:r>
        <w:rPr>
          <w:rFonts w:hint="eastAsia"/>
          <w:kern w:val="2"/>
          <w:sz w:val="32"/>
          <w:szCs w:val="32"/>
          <w:lang w:eastAsia="zh-CN"/>
        </w:rPr>
        <w:t>基本</w:t>
      </w:r>
      <w:r>
        <w:rPr>
          <w:rFonts w:hint="eastAsia" w:ascii="仿宋_GB2312" w:eastAsia="仿宋_GB2312"/>
          <w:kern w:val="2"/>
          <w:sz w:val="32"/>
          <w:szCs w:val="32"/>
        </w:rPr>
        <w:t>生活保障水平。</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_GB2312" w:eastAsia="仿宋_GB2312"/>
          <w:sz w:val="32"/>
          <w:szCs w:val="32"/>
          <w:lang w:val="en-US" w:eastAsia="zh-CN"/>
        </w:rPr>
        <w:t>3.项目立项依据</w:t>
      </w:r>
    </w:p>
    <w:p>
      <w:pPr>
        <w:pStyle w:val="12"/>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kern w:val="2"/>
          <w:sz w:val="32"/>
          <w:szCs w:val="32"/>
          <w:lang w:eastAsia="zh-CN"/>
        </w:rPr>
      </w:pPr>
      <w:r>
        <w:rPr>
          <w:rFonts w:hint="eastAsia"/>
          <w:kern w:val="2"/>
          <w:sz w:val="32"/>
          <w:szCs w:val="32"/>
          <w:lang w:eastAsia="zh-CN"/>
        </w:rPr>
        <w:t>项目立项依据主要是</w:t>
      </w:r>
      <w:r>
        <w:rPr>
          <w:rFonts w:hint="eastAsia" w:ascii="仿宋_GB2312" w:eastAsia="仿宋_GB2312"/>
          <w:kern w:val="2"/>
          <w:sz w:val="32"/>
          <w:szCs w:val="32"/>
        </w:rPr>
        <w:t>《菏泽市人民政府关于提高全市困难群众救助保障水平的通知》（菏政字</w:t>
      </w:r>
      <w:r>
        <w:rPr>
          <w:rFonts w:hint="eastAsia"/>
          <w:kern w:val="2"/>
          <w:sz w:val="32"/>
          <w:szCs w:val="32"/>
          <w:lang w:eastAsia="zh-CN"/>
        </w:rPr>
        <w:t>〔2021〕</w:t>
      </w:r>
      <w:r>
        <w:rPr>
          <w:rFonts w:hint="eastAsia" w:ascii="仿宋_GB2312" w:eastAsia="仿宋_GB2312"/>
          <w:kern w:val="2"/>
          <w:sz w:val="32"/>
          <w:szCs w:val="32"/>
        </w:rPr>
        <w:t>17号）</w:t>
      </w:r>
      <w:r>
        <w:rPr>
          <w:rFonts w:hint="eastAsia"/>
          <w:kern w:val="2"/>
          <w:sz w:val="32"/>
          <w:szCs w:val="32"/>
          <w:lang w:eastAsia="zh-CN"/>
        </w:rPr>
        <w:t>等文件制度。</w:t>
      </w:r>
    </w:p>
    <w:p>
      <w:pPr>
        <w:pStyle w:val="4"/>
        <w:pageBreakBefore w:val="0"/>
        <w:widowControl w:val="0"/>
        <w:numPr>
          <w:ilvl w:val="1"/>
          <w:numId w:val="0"/>
        </w:numPr>
        <w:kinsoku/>
        <w:wordWrap/>
        <w:overflowPunct/>
        <w:topLinePunct w:val="0"/>
        <w:autoSpaceDE/>
        <w:autoSpaceDN/>
        <w:bidi w:val="0"/>
        <w:adjustRightInd/>
        <w:snapToGrid/>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3" w:name="_Toc22893"/>
      <w:bookmarkStart w:id="4" w:name="_Toc79063262"/>
      <w:bookmarkStart w:id="5" w:name="_Toc151"/>
      <w:r>
        <w:rPr>
          <w:rFonts w:hint="eastAsia" w:ascii="楷体_GB2312" w:hAnsi="楷体_GB2312" w:eastAsia="楷体_GB2312" w:cs="楷体_GB2312"/>
          <w:b w:val="0"/>
          <w:bCs w:val="0"/>
          <w:color w:val="auto"/>
          <w:sz w:val="32"/>
          <w:lang w:eastAsia="zh-CN"/>
        </w:rPr>
        <w:t>（二）项目预算</w:t>
      </w:r>
      <w:bookmarkEnd w:id="3"/>
    </w:p>
    <w:p>
      <w:pPr>
        <w:pageBreakBefore w:val="0"/>
        <w:widowControl w:val="0"/>
        <w:kinsoku/>
        <w:wordWrap/>
        <w:overflowPunct/>
        <w:autoSpaceDE/>
        <w:autoSpaceDN/>
        <w:bidi w:val="0"/>
        <w:spacing w:line="600" w:lineRule="exact"/>
        <w:ind w:firstLine="640" w:firstLineChars="200"/>
        <w:textAlignment w:val="auto"/>
        <w:rPr>
          <w:rFonts w:hint="eastAsia"/>
          <w:lang w:eastAsia="zh-CN"/>
        </w:rPr>
      </w:pPr>
      <w:bookmarkStart w:id="6" w:name="_Toc4982"/>
      <w:r>
        <w:rPr>
          <w:rFonts w:hint="eastAsia" w:ascii="仿宋_GB2312" w:eastAsia="仿宋_GB2312"/>
          <w:sz w:val="32"/>
          <w:szCs w:val="32"/>
          <w:lang w:val="en-US" w:eastAsia="zh-CN"/>
        </w:rPr>
        <w:t>菏泽市民政局2021年度城乡居民最低生活保障及农村特困人员救助供养项目市级配套资金预算为3666万元，全部为市级财政资金，实际支出资金3666万元。</w:t>
      </w:r>
      <w:bookmarkEnd w:id="6"/>
    </w:p>
    <w:p>
      <w:pPr>
        <w:pStyle w:val="4"/>
        <w:pageBreakBefore w:val="0"/>
        <w:widowControl w:val="0"/>
        <w:numPr>
          <w:ilvl w:val="1"/>
          <w:numId w:val="0"/>
        </w:numPr>
        <w:kinsoku/>
        <w:wordWrap/>
        <w:overflowPunct/>
        <w:topLinePunct w:val="0"/>
        <w:autoSpaceDE/>
        <w:autoSpaceDN/>
        <w:bidi w:val="0"/>
        <w:adjustRightInd/>
        <w:snapToGrid/>
        <w:spacing w:before="0" w:after="0" w:line="600" w:lineRule="exact"/>
        <w:ind w:left="630" w:leftChars="0"/>
        <w:jc w:val="both"/>
        <w:textAlignment w:val="auto"/>
        <w:rPr>
          <w:rFonts w:hint="eastAsia" w:ascii="楷体_GB2312" w:hAnsi="楷体_GB2312" w:eastAsia="楷体_GB2312" w:cs="楷体_GB2312"/>
          <w:b w:val="0"/>
          <w:bCs w:val="0"/>
          <w:color w:val="auto"/>
          <w:sz w:val="32"/>
          <w:lang w:eastAsia="zh-CN"/>
        </w:rPr>
      </w:pPr>
      <w:bookmarkStart w:id="7" w:name="_Toc3258"/>
      <w:r>
        <w:rPr>
          <w:rFonts w:hint="eastAsia" w:ascii="楷体_GB2312" w:hAnsi="楷体_GB2312" w:eastAsia="楷体_GB2312" w:cs="楷体_GB2312"/>
          <w:b w:val="0"/>
          <w:bCs w:val="0"/>
          <w:color w:val="auto"/>
          <w:sz w:val="32"/>
          <w:lang w:eastAsia="zh-CN"/>
        </w:rPr>
        <w:t>（三）项目计划实施内容</w:t>
      </w:r>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bookmarkStart w:id="8" w:name="_Toc14275"/>
      <w:r>
        <w:rPr>
          <w:rFonts w:hint="eastAsia" w:ascii="仿宋_GB2312" w:eastAsia="仿宋_GB2312"/>
          <w:sz w:val="32"/>
          <w:szCs w:val="32"/>
          <w:lang w:val="en-US" w:eastAsia="zh-CN"/>
        </w:rPr>
        <w:t>项目计划实施内容主要是通过菏泽市民政局及相关部门、单位的协同配合完成菏泽市2021年度城乡居民最低生活保障及农村特困人员救助供养资金的发放工作，确保低保金及特困救助金能够准确、及时发放。</w:t>
      </w:r>
      <w:bookmarkEnd w:id="8"/>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9" w:name="_Toc2905"/>
      <w:r>
        <w:rPr>
          <w:rFonts w:hint="eastAsia" w:ascii="楷体_GB2312" w:hAnsi="楷体_GB2312" w:eastAsia="楷体_GB2312" w:cs="楷体_GB2312"/>
          <w:b w:val="0"/>
          <w:bCs w:val="0"/>
          <w:color w:val="auto"/>
          <w:sz w:val="32"/>
          <w:lang w:eastAsia="zh-CN"/>
        </w:rPr>
        <w:t>（四）项目组织管理</w:t>
      </w:r>
      <w:bookmarkEnd w:id="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ascii="仿宋_GB2312" w:eastAsia="仿宋_GB2312"/>
          <w:sz w:val="32"/>
          <w:szCs w:val="32"/>
          <w:lang w:val="en-US" w:eastAsia="zh-CN"/>
        </w:rPr>
        <w:t>该项目需各相关部门通力协作完成，其中村（委）负责城乡低保户及特困人员的提报和初步审核及受益对象人员信息的更新提报；乡镇政府（街道办事处）负责城乡低保户及特困人员的进一步审核及档案的存档管理和社会救助数字平台信息的更新维护；县（区）民政部门负责政策实施的指导、监管、资金的申请及落实等工作；市民政局负责全市工作规划和政策标准的拟定及实施，承办资金的分配、落实和监管，全市社会救助信息化系统的建设和管理等工作。</w:t>
      </w:r>
    </w:p>
    <w:p>
      <w:pPr>
        <w:pStyle w:val="3"/>
        <w:pageBreakBefore w:val="0"/>
        <w:widowControl w:val="0"/>
        <w:numPr>
          <w:ilvl w:val="0"/>
          <w:numId w:val="0"/>
        </w:numPr>
        <w:kinsoku/>
        <w:wordWrap/>
        <w:overflowPunct/>
        <w:topLinePunct w:val="0"/>
        <w:autoSpaceDE/>
        <w:autoSpaceDN/>
        <w:bidi w:val="0"/>
        <w:adjustRightInd/>
        <w:snapToGrid/>
        <w:spacing w:before="0" w:after="0" w:line="600" w:lineRule="exact"/>
        <w:ind w:left="630" w:leftChars="0"/>
        <w:textAlignment w:val="auto"/>
        <w:rPr>
          <w:rFonts w:ascii="仿宋_GB2312" w:eastAsia="仿宋_GB2312"/>
          <w:b/>
          <w:bCs/>
          <w:kern w:val="2"/>
          <w:sz w:val="32"/>
          <w:szCs w:val="32"/>
        </w:rPr>
      </w:pPr>
      <w:bookmarkStart w:id="10" w:name="_Toc1776"/>
      <w:r>
        <w:rPr>
          <w:rFonts w:hint="eastAsia"/>
          <w:color w:val="auto"/>
          <w:lang w:eastAsia="zh-CN"/>
        </w:rPr>
        <w:t>二、项目绩效目标</w:t>
      </w:r>
      <w:bookmarkEnd w:id="4"/>
      <w:bookmarkEnd w:id="5"/>
      <w:bookmarkEnd w:id="10"/>
    </w:p>
    <w:p>
      <w:pPr>
        <w:pStyle w:val="12"/>
        <w:pageBreakBefore w:val="0"/>
        <w:widowControl w:val="0"/>
        <w:kinsoku/>
        <w:wordWrap/>
        <w:overflowPunct/>
        <w:autoSpaceDE/>
        <w:autoSpaceDN/>
        <w:bidi w:val="0"/>
        <w:spacing w:line="600" w:lineRule="exact"/>
        <w:ind w:firstLine="640" w:firstLineChars="200"/>
        <w:textAlignment w:val="auto"/>
        <w:rPr>
          <w:rFonts w:ascii="仿宋_GB2312" w:eastAsia="仿宋_GB2312"/>
          <w:kern w:val="2"/>
          <w:sz w:val="32"/>
          <w:szCs w:val="32"/>
        </w:rPr>
      </w:pPr>
      <w:r>
        <w:rPr>
          <w:rFonts w:hint="eastAsia" w:ascii="仿宋_GB2312" w:eastAsia="仿宋_GB2312"/>
          <w:kern w:val="2"/>
          <w:sz w:val="32"/>
          <w:szCs w:val="32"/>
        </w:rPr>
        <w:t>通过城乡居民最低生活保障及农村特困人员救助供养资金及时足额发放</w:t>
      </w:r>
      <w:r>
        <w:rPr>
          <w:rFonts w:hint="eastAsia"/>
          <w:kern w:val="2"/>
          <w:sz w:val="32"/>
          <w:szCs w:val="32"/>
          <w:lang w:eastAsia="zh-CN"/>
        </w:rPr>
        <w:t>，</w:t>
      </w:r>
      <w:r>
        <w:rPr>
          <w:rFonts w:hint="eastAsia" w:ascii="仿宋_GB2312" w:eastAsia="仿宋_GB2312"/>
          <w:kern w:val="2"/>
          <w:sz w:val="32"/>
          <w:szCs w:val="32"/>
        </w:rPr>
        <w:t>城乡低保及特困人员救助供养</w:t>
      </w:r>
      <w:r>
        <w:rPr>
          <w:rFonts w:hint="eastAsia"/>
          <w:kern w:val="2"/>
          <w:sz w:val="32"/>
          <w:szCs w:val="32"/>
          <w:lang w:eastAsia="zh-CN"/>
        </w:rPr>
        <w:t>支出</w:t>
      </w:r>
      <w:r>
        <w:rPr>
          <w:rFonts w:hint="eastAsia" w:ascii="仿宋_GB2312" w:eastAsia="仿宋_GB2312"/>
          <w:kern w:val="2"/>
          <w:sz w:val="32"/>
          <w:szCs w:val="32"/>
        </w:rPr>
        <w:t>政策</w:t>
      </w:r>
      <w:r>
        <w:rPr>
          <w:rFonts w:hint="eastAsia"/>
          <w:kern w:val="2"/>
          <w:sz w:val="32"/>
          <w:szCs w:val="32"/>
          <w:lang w:eastAsia="zh-CN"/>
        </w:rPr>
        <w:t>的</w:t>
      </w:r>
      <w:r>
        <w:rPr>
          <w:rFonts w:hint="eastAsia" w:ascii="仿宋_GB2312" w:eastAsia="仿宋_GB2312"/>
          <w:kern w:val="2"/>
          <w:sz w:val="32"/>
          <w:szCs w:val="32"/>
        </w:rPr>
        <w:t>不断完善,将符合条件的困难群众全部纳入低保及特困救助供养范围,做到应保尽保</w:t>
      </w:r>
      <w:r>
        <w:rPr>
          <w:rFonts w:hint="eastAsia"/>
          <w:kern w:val="2"/>
          <w:sz w:val="32"/>
          <w:szCs w:val="32"/>
          <w:lang w:eastAsia="zh-CN"/>
        </w:rPr>
        <w:t>、</w:t>
      </w:r>
      <w:r>
        <w:rPr>
          <w:rFonts w:hint="eastAsia" w:ascii="仿宋_GB2312" w:eastAsia="仿宋_GB2312"/>
          <w:kern w:val="2"/>
          <w:sz w:val="32"/>
          <w:szCs w:val="32"/>
        </w:rPr>
        <w:t>应救尽救、应养尽养，属地管理、分级负责，保障城乡低保及农村特困人员的基本生活需求，提高群众对救助供养政策执行的满意度。</w:t>
      </w:r>
    </w:p>
    <w:p>
      <w:pPr>
        <w:pStyle w:val="3"/>
        <w:pageBreakBefore w:val="0"/>
        <w:widowControl w:val="0"/>
        <w:numPr>
          <w:ilvl w:val="0"/>
          <w:numId w:val="0"/>
        </w:numPr>
        <w:kinsoku/>
        <w:wordWrap/>
        <w:overflowPunct/>
        <w:autoSpaceDE/>
        <w:autoSpaceDN/>
        <w:bidi w:val="0"/>
        <w:spacing w:before="0" w:after="0" w:line="600" w:lineRule="exact"/>
        <w:ind w:firstLine="640" w:firstLineChars="200"/>
        <w:textAlignment w:val="auto"/>
        <w:rPr>
          <w:color w:val="auto"/>
        </w:rPr>
      </w:pPr>
      <w:bookmarkStart w:id="11" w:name="_Toc5073"/>
      <w:r>
        <w:rPr>
          <w:rFonts w:hint="eastAsia"/>
          <w:color w:val="auto"/>
          <w:lang w:eastAsia="zh-CN"/>
        </w:rPr>
        <w:t>三、</w:t>
      </w:r>
      <w:r>
        <w:rPr>
          <w:color w:val="auto"/>
        </w:rPr>
        <w:t>评价基本情况</w:t>
      </w:r>
      <w:bookmarkEnd w:id="11"/>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2" w:name="_Toc1583"/>
      <w:r>
        <w:rPr>
          <w:rFonts w:hint="eastAsia" w:ascii="楷体_GB2312" w:hAnsi="楷体_GB2312" w:eastAsia="楷体_GB2312" w:cs="楷体_GB2312"/>
          <w:b w:val="0"/>
          <w:bCs w:val="0"/>
          <w:color w:val="auto"/>
          <w:sz w:val="32"/>
          <w:lang w:eastAsia="zh-CN"/>
        </w:rPr>
        <w:t>（一）评价目的</w:t>
      </w:r>
      <w:bookmarkEnd w:id="12"/>
    </w:p>
    <w:p>
      <w:pPr>
        <w:pStyle w:val="12"/>
        <w:pageBreakBefore w:val="0"/>
        <w:widowControl w:val="0"/>
        <w:kinsoku/>
        <w:wordWrap/>
        <w:overflowPunct/>
        <w:autoSpaceDE/>
        <w:autoSpaceDN/>
        <w:bidi w:val="0"/>
        <w:spacing w:line="600" w:lineRule="exact"/>
        <w:ind w:firstLine="640" w:firstLineChars="200"/>
        <w:textAlignment w:val="auto"/>
        <w:rPr>
          <w:rFonts w:hint="eastAsia"/>
          <w:lang w:eastAsia="zh-CN"/>
        </w:rPr>
      </w:pPr>
      <w:r>
        <w:rPr>
          <w:rFonts w:hint="eastAsia"/>
          <w:kern w:val="2"/>
          <w:sz w:val="32"/>
          <w:szCs w:val="32"/>
          <w:lang w:eastAsia="zh-CN"/>
        </w:rPr>
        <w:t>通过本次绩效评价</w:t>
      </w:r>
      <w:r>
        <w:rPr>
          <w:rFonts w:hint="eastAsia" w:ascii="仿宋_GB2312" w:eastAsia="仿宋_GB2312"/>
          <w:kern w:val="2"/>
          <w:sz w:val="32"/>
          <w:szCs w:val="32"/>
        </w:rPr>
        <w:t>进一步提高</w:t>
      </w:r>
      <w:r>
        <w:rPr>
          <w:rFonts w:hint="eastAsia"/>
          <w:kern w:val="2"/>
          <w:sz w:val="32"/>
          <w:szCs w:val="32"/>
          <w:lang w:eastAsia="zh-CN"/>
        </w:rPr>
        <w:t>城乡居民最低生活保障及农村特困救助供养支出</w:t>
      </w:r>
      <w:r>
        <w:rPr>
          <w:rFonts w:hint="eastAsia" w:ascii="仿宋_GB2312" w:eastAsia="仿宋_GB2312"/>
          <w:kern w:val="2"/>
          <w:sz w:val="32"/>
          <w:szCs w:val="32"/>
        </w:rPr>
        <w:t>资金使用的精准性和有效性，为进一步完善、补充、细化困难群众救助政策</w:t>
      </w:r>
      <w:r>
        <w:rPr>
          <w:rFonts w:hint="eastAsia"/>
          <w:kern w:val="2"/>
          <w:sz w:val="32"/>
          <w:szCs w:val="32"/>
          <w:lang w:eastAsia="zh-CN"/>
        </w:rPr>
        <w:t>等</w:t>
      </w:r>
      <w:r>
        <w:rPr>
          <w:rFonts w:hint="eastAsia" w:ascii="仿宋_GB2312" w:eastAsia="仿宋_GB2312"/>
          <w:kern w:val="2"/>
          <w:sz w:val="32"/>
          <w:szCs w:val="32"/>
        </w:rPr>
        <w:t>提供参考。</w:t>
      </w:r>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3" w:name="_Toc23620"/>
      <w:r>
        <w:rPr>
          <w:rFonts w:hint="eastAsia" w:ascii="楷体_GB2312" w:hAnsi="楷体_GB2312" w:eastAsia="楷体_GB2312" w:cs="楷体_GB2312"/>
          <w:b w:val="0"/>
          <w:bCs w:val="0"/>
          <w:color w:val="auto"/>
          <w:sz w:val="32"/>
          <w:lang w:eastAsia="zh-CN"/>
        </w:rPr>
        <w:t>（二）评价对象与范围</w:t>
      </w:r>
      <w:bookmarkEnd w:id="13"/>
    </w:p>
    <w:p>
      <w:pPr>
        <w:pageBreakBefore w:val="0"/>
        <w:widowControl w:val="0"/>
        <w:kinsoku/>
        <w:wordWrap/>
        <w:overflowPunct/>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绩效评价对象为菏泽市2021年度城乡居民最低生活保障及农村特困人员救助供养支出政策</w:t>
      </w:r>
      <w:r>
        <w:rPr>
          <w:rFonts w:hint="eastAsia" w:ascii="仿宋_GB2312" w:eastAsia="仿宋_GB2312"/>
          <w:sz w:val="32"/>
          <w:szCs w:val="32"/>
          <w:lang w:eastAsia="zh-CN"/>
        </w:rPr>
        <w:t>及</w:t>
      </w:r>
      <w:r>
        <w:rPr>
          <w:rFonts w:hint="eastAsia" w:ascii="仿宋_GB2312" w:eastAsia="仿宋_GB2312"/>
          <w:sz w:val="32"/>
          <w:szCs w:val="32"/>
        </w:rPr>
        <w:t>实施资金。</w:t>
      </w:r>
    </w:p>
    <w:p>
      <w:pPr>
        <w:pageBreakBefore w:val="0"/>
        <w:widowControl w:val="0"/>
        <w:kinsoku/>
        <w:wordWrap/>
        <w:overflowPunct/>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绩效评价范围为菏泽市全市，包括4区：牡丹区、定陶区、开发区、高新区；7县：曹县、成武县、单县、巨野县、郓城县、鄄城县、东明县。</w:t>
      </w:r>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4" w:name="_Toc10727"/>
      <w:r>
        <w:rPr>
          <w:rFonts w:hint="eastAsia" w:ascii="楷体_GB2312" w:hAnsi="楷体_GB2312" w:eastAsia="楷体_GB2312" w:cs="楷体_GB2312"/>
          <w:b w:val="0"/>
          <w:bCs w:val="0"/>
          <w:color w:val="auto"/>
          <w:sz w:val="32"/>
          <w:lang w:eastAsia="zh-CN"/>
        </w:rPr>
        <w:t>（三）评价依据</w:t>
      </w:r>
      <w:bookmarkEnd w:id="14"/>
    </w:p>
    <w:p>
      <w:pPr>
        <w:pageBreakBefore w:val="0"/>
        <w:widowControl w:val="0"/>
        <w:kinsoku/>
        <w:wordWrap/>
        <w:overflowPunct/>
        <w:topLinePunct/>
        <w:autoSpaceDE/>
        <w:autoSpaceDN/>
        <w:bidi w:val="0"/>
        <w:adjustRightInd w:val="0"/>
        <w:snapToGrid w:val="0"/>
        <w:spacing w:line="600" w:lineRule="exact"/>
        <w:ind w:firstLine="640"/>
        <w:textAlignment w:val="auto"/>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）《菏泽市市级项目支出绩效财政评价和部门评价工作规程》（菏财绩</w:t>
      </w:r>
      <w:r>
        <w:rPr>
          <w:rFonts w:hint="eastAsia" w:ascii="仿宋_GB2312" w:eastAsia="仿宋_GB2312"/>
          <w:sz w:val="32"/>
          <w:szCs w:val="32"/>
          <w:lang w:eastAsia="zh-CN"/>
        </w:rPr>
        <w:t>〔2020〕</w:t>
      </w:r>
      <w:r>
        <w:rPr>
          <w:rFonts w:hint="eastAsia" w:ascii="仿宋_GB2312" w:eastAsia="仿宋_GB2312"/>
          <w:sz w:val="32"/>
          <w:szCs w:val="32"/>
        </w:rPr>
        <w:t>7号）</w:t>
      </w:r>
    </w:p>
    <w:p>
      <w:pPr>
        <w:pStyle w:val="12"/>
        <w:pageBreakBefore w:val="0"/>
        <w:widowControl w:val="0"/>
        <w:kinsoku/>
        <w:wordWrap/>
        <w:overflowPunct/>
        <w:autoSpaceDE/>
        <w:autoSpaceDN/>
        <w:bidi w:val="0"/>
        <w:spacing w:line="600" w:lineRule="exact"/>
        <w:ind w:firstLine="640" w:firstLineChars="200"/>
        <w:textAlignment w:val="auto"/>
        <w:rPr>
          <w:rFonts w:ascii="仿宋_GB2312" w:eastAsia="仿宋_GB2312"/>
          <w:kern w:val="2"/>
          <w:sz w:val="32"/>
          <w:szCs w:val="32"/>
        </w:rPr>
      </w:pPr>
      <w:r>
        <w:rPr>
          <w:rFonts w:hint="eastAsia" w:ascii="仿宋_GB2312" w:eastAsia="仿宋_GB2312"/>
          <w:kern w:val="2"/>
          <w:sz w:val="32"/>
          <w:szCs w:val="32"/>
        </w:rPr>
        <w:t>（</w:t>
      </w:r>
      <w:r>
        <w:rPr>
          <w:rFonts w:hint="eastAsia"/>
          <w:kern w:val="2"/>
          <w:sz w:val="32"/>
          <w:szCs w:val="32"/>
          <w:lang w:val="en-US" w:eastAsia="zh-CN"/>
        </w:rPr>
        <w:t>2</w:t>
      </w:r>
      <w:r>
        <w:rPr>
          <w:rFonts w:hint="eastAsia" w:ascii="仿宋_GB2312" w:eastAsia="仿宋_GB2312"/>
          <w:kern w:val="2"/>
          <w:sz w:val="32"/>
          <w:szCs w:val="32"/>
        </w:rPr>
        <w:t>）《菏泽市人民政府关于提高全市困难群众救助保障水平的通知》（菏政字</w:t>
      </w:r>
      <w:r>
        <w:rPr>
          <w:rFonts w:hint="eastAsia"/>
          <w:kern w:val="2"/>
          <w:sz w:val="32"/>
          <w:szCs w:val="32"/>
          <w:lang w:eastAsia="zh-CN"/>
        </w:rPr>
        <w:t>〔2021〕</w:t>
      </w:r>
      <w:r>
        <w:rPr>
          <w:rFonts w:hint="eastAsia" w:ascii="仿宋_GB2312" w:eastAsia="仿宋_GB2312"/>
          <w:kern w:val="2"/>
          <w:sz w:val="32"/>
          <w:szCs w:val="32"/>
        </w:rPr>
        <w:t>17号）</w:t>
      </w:r>
    </w:p>
    <w:p>
      <w:pPr>
        <w:pStyle w:val="12"/>
        <w:pageBreakBefore w:val="0"/>
        <w:widowControl w:val="0"/>
        <w:kinsoku/>
        <w:wordWrap/>
        <w:overflowPunct/>
        <w:autoSpaceDE/>
        <w:autoSpaceDN/>
        <w:bidi w:val="0"/>
        <w:spacing w:line="600" w:lineRule="exact"/>
        <w:ind w:firstLine="640" w:firstLineChars="200"/>
        <w:textAlignment w:val="auto"/>
        <w:rPr>
          <w:rFonts w:ascii="仿宋_GB2312" w:eastAsia="仿宋_GB2312"/>
          <w:kern w:val="2"/>
          <w:sz w:val="32"/>
          <w:szCs w:val="32"/>
        </w:rPr>
      </w:pPr>
      <w:r>
        <w:rPr>
          <w:rFonts w:hint="eastAsia" w:ascii="仿宋_GB2312" w:eastAsia="仿宋_GB2312"/>
          <w:kern w:val="2"/>
          <w:sz w:val="32"/>
          <w:szCs w:val="32"/>
        </w:rPr>
        <w:t>（</w:t>
      </w:r>
      <w:r>
        <w:rPr>
          <w:rFonts w:hint="eastAsia"/>
          <w:kern w:val="2"/>
          <w:sz w:val="32"/>
          <w:szCs w:val="32"/>
          <w:lang w:val="en-US" w:eastAsia="zh-CN"/>
        </w:rPr>
        <w:t>3</w:t>
      </w:r>
      <w:r>
        <w:rPr>
          <w:rFonts w:hint="eastAsia" w:ascii="仿宋_GB2312" w:eastAsia="仿宋_GB2312"/>
          <w:kern w:val="2"/>
          <w:sz w:val="32"/>
          <w:szCs w:val="32"/>
        </w:rPr>
        <w:t>）《菏泽市最低生活保障管理办法》（菏民</w:t>
      </w:r>
      <w:r>
        <w:rPr>
          <w:rFonts w:hint="eastAsia"/>
          <w:kern w:val="2"/>
          <w:sz w:val="32"/>
          <w:szCs w:val="32"/>
          <w:lang w:eastAsia="zh-CN"/>
        </w:rPr>
        <w:t>〔2020〕</w:t>
      </w:r>
      <w:r>
        <w:rPr>
          <w:rFonts w:hint="eastAsia" w:ascii="仿宋_GB2312" w:eastAsia="仿宋_GB2312"/>
          <w:kern w:val="2"/>
          <w:sz w:val="32"/>
          <w:szCs w:val="32"/>
        </w:rPr>
        <w:t>17号）</w:t>
      </w:r>
    </w:p>
    <w:p>
      <w:pPr>
        <w:pageBreakBefore w:val="0"/>
        <w:widowControl w:val="0"/>
        <w:kinsoku/>
        <w:wordWrap/>
        <w:overflowPunct/>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）《菏泽市特困人员认定办法》（菏民发</w:t>
      </w:r>
      <w:r>
        <w:rPr>
          <w:rFonts w:hint="eastAsia" w:ascii="仿宋_GB2312" w:eastAsia="仿宋_GB2312"/>
          <w:sz w:val="32"/>
          <w:szCs w:val="32"/>
          <w:lang w:eastAsia="zh-CN"/>
        </w:rPr>
        <w:t>〔2021〕</w:t>
      </w:r>
      <w:r>
        <w:rPr>
          <w:rFonts w:hint="eastAsia" w:ascii="仿宋_GB2312" w:eastAsia="仿宋_GB2312"/>
          <w:sz w:val="32"/>
          <w:szCs w:val="32"/>
        </w:rPr>
        <w:t>21号）</w:t>
      </w:r>
    </w:p>
    <w:p>
      <w:pPr>
        <w:pageBreakBefore w:val="0"/>
        <w:widowControl w:val="0"/>
        <w:kinsoku/>
        <w:wordWrap/>
        <w:overflowPunct/>
        <w:autoSpaceDE/>
        <w:autoSpaceDN/>
        <w:bidi w:val="0"/>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eastAsia="zh-CN"/>
        </w:rPr>
        <w:t>其他相关资料</w:t>
      </w:r>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5" w:name="_Toc2823"/>
      <w:r>
        <w:rPr>
          <w:rFonts w:hint="eastAsia" w:ascii="楷体_GB2312" w:hAnsi="楷体_GB2312" w:eastAsia="楷体_GB2312" w:cs="楷体_GB2312"/>
          <w:b w:val="0"/>
          <w:bCs w:val="0"/>
          <w:color w:val="auto"/>
          <w:sz w:val="32"/>
          <w:lang w:eastAsia="zh-CN"/>
        </w:rPr>
        <w:t>（四）评价原则、评价方法</w:t>
      </w:r>
      <w:bookmarkEnd w:id="15"/>
    </w:p>
    <w:p>
      <w:pPr>
        <w:pageBreakBefore w:val="0"/>
        <w:widowControl w:val="0"/>
        <w:kinsoku/>
        <w:wordWrap/>
        <w:overflowPunct/>
        <w:autoSpaceDE/>
        <w:autoSpaceDN/>
        <w:bidi w:val="0"/>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本次绩效评价采用了科学规范、绩效相关、公开透明等评价原则，</w:t>
      </w:r>
      <w:r>
        <w:rPr>
          <w:rFonts w:hint="eastAsia" w:ascii="仿宋_GB2312" w:eastAsia="仿宋_GB2312"/>
          <w:sz w:val="32"/>
          <w:szCs w:val="32"/>
        </w:rPr>
        <w:t>采用</w:t>
      </w:r>
      <w:r>
        <w:rPr>
          <w:rFonts w:hint="eastAsia" w:ascii="仿宋_GB2312" w:eastAsia="仿宋_GB2312"/>
          <w:sz w:val="32"/>
          <w:szCs w:val="32"/>
          <w:lang w:eastAsia="zh-CN"/>
        </w:rPr>
        <w:t>了</w:t>
      </w:r>
      <w:r>
        <w:rPr>
          <w:rFonts w:hint="eastAsia" w:ascii="仿宋_GB2312" w:eastAsia="仿宋_GB2312"/>
          <w:sz w:val="32"/>
          <w:szCs w:val="32"/>
        </w:rPr>
        <w:t>比较法、公众评判法等</w:t>
      </w:r>
      <w:r>
        <w:rPr>
          <w:rFonts w:hint="eastAsia" w:ascii="仿宋_GB2312" w:eastAsia="仿宋_GB2312"/>
          <w:sz w:val="32"/>
          <w:szCs w:val="32"/>
          <w:lang w:eastAsia="zh-CN"/>
        </w:rPr>
        <w:t>评价</w:t>
      </w:r>
      <w:r>
        <w:rPr>
          <w:rFonts w:hint="eastAsia" w:ascii="仿宋_GB2312" w:eastAsia="仿宋_GB2312"/>
          <w:sz w:val="32"/>
          <w:szCs w:val="32"/>
        </w:rPr>
        <w:t>方法。</w:t>
      </w:r>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6" w:name="_Toc7294"/>
      <w:r>
        <w:rPr>
          <w:rFonts w:hint="eastAsia" w:ascii="楷体_GB2312" w:hAnsi="楷体_GB2312" w:eastAsia="楷体_GB2312" w:cs="楷体_GB2312"/>
          <w:b w:val="0"/>
          <w:bCs w:val="0"/>
          <w:color w:val="auto"/>
          <w:sz w:val="32"/>
          <w:lang w:eastAsia="zh-CN"/>
        </w:rPr>
        <w:t>（五）绩效评价指标体系</w:t>
      </w:r>
      <w:bookmarkEnd w:id="16"/>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本次指标设计是依据财政部财政支出绩效评价工作应突出结果导向，重点关注产出和效益的基本原则。按照《菏泽市市级项目支出绩效财政评价和部门评价工作规程》（菏财绩</w:t>
      </w:r>
      <w:r>
        <w:rPr>
          <w:rFonts w:hint="eastAsia" w:ascii="仿宋_GB2312" w:eastAsia="仿宋_GB2312"/>
          <w:sz w:val="32"/>
          <w:szCs w:val="32"/>
          <w:lang w:eastAsia="zh-CN"/>
        </w:rPr>
        <w:t>〔2020〕</w:t>
      </w:r>
      <w:r>
        <w:rPr>
          <w:rFonts w:hint="eastAsia" w:ascii="仿宋_GB2312" w:eastAsia="仿宋_GB2312"/>
          <w:sz w:val="32"/>
          <w:szCs w:val="32"/>
        </w:rPr>
        <w:t>7号）等</w:t>
      </w:r>
      <w:r>
        <w:rPr>
          <w:rFonts w:hint="eastAsia" w:ascii="仿宋_GB2312" w:eastAsia="仿宋_GB2312"/>
          <w:sz w:val="32"/>
          <w:szCs w:val="32"/>
          <w:lang w:eastAsia="zh-CN"/>
        </w:rPr>
        <w:t>文件规定</w:t>
      </w:r>
      <w:r>
        <w:rPr>
          <w:rFonts w:hint="eastAsia" w:ascii="仿宋_GB2312" w:eastAsia="仿宋_GB2312"/>
          <w:sz w:val="32"/>
          <w:szCs w:val="32"/>
        </w:rPr>
        <w:t>，根据逻辑分析思想，按“决策—过程—产出—效益”的逻辑顺序，将绩效评价指标体系设计为“政策制定”“政策执行”“政策产出”和“政策效益”四大维度，在此维度下依次确定和构建指标。</w:t>
      </w:r>
      <w:r>
        <w:rPr>
          <w:rFonts w:hint="eastAsia" w:ascii="仿宋_GB2312" w:eastAsia="仿宋_GB2312"/>
          <w:sz w:val="32"/>
          <w:szCs w:val="32"/>
          <w:lang w:eastAsia="zh-CN"/>
        </w:rPr>
        <w:t>按照</w:t>
      </w:r>
      <w:r>
        <w:rPr>
          <w:rFonts w:hint="eastAsia" w:ascii="仿宋_GB2312" w:eastAsia="仿宋_GB2312"/>
          <w:sz w:val="32"/>
          <w:szCs w:val="32"/>
        </w:rPr>
        <w:t>《菏泽市市级项目支出绩效财政评价和部门评价工作规程》（菏财绩</w:t>
      </w:r>
      <w:r>
        <w:rPr>
          <w:rFonts w:hint="eastAsia" w:ascii="仿宋_GB2312" w:eastAsia="仿宋_GB2312"/>
          <w:sz w:val="32"/>
          <w:szCs w:val="32"/>
          <w:lang w:eastAsia="zh-CN"/>
        </w:rPr>
        <w:t>〔2020〕</w:t>
      </w:r>
      <w:r>
        <w:rPr>
          <w:rFonts w:hint="eastAsia" w:ascii="仿宋_GB2312" w:eastAsia="仿宋_GB2312"/>
          <w:sz w:val="32"/>
          <w:szCs w:val="32"/>
        </w:rPr>
        <w:t>7号）等文件规定，</w:t>
      </w:r>
      <w:r>
        <w:rPr>
          <w:rFonts w:hint="eastAsia" w:ascii="仿宋_GB2312" w:eastAsia="仿宋_GB2312"/>
          <w:sz w:val="32"/>
          <w:szCs w:val="32"/>
          <w:lang w:eastAsia="zh-CN"/>
        </w:rPr>
        <w:t>原则上产出、效益指标权重不低于</w:t>
      </w:r>
      <w:r>
        <w:rPr>
          <w:rFonts w:hint="eastAsia" w:ascii="仿宋_GB2312" w:eastAsia="仿宋_GB2312"/>
          <w:sz w:val="32"/>
          <w:szCs w:val="32"/>
          <w:lang w:val="en-US" w:eastAsia="zh-CN"/>
        </w:rPr>
        <w:t>60%的要求</w:t>
      </w:r>
      <w:r>
        <w:rPr>
          <w:rFonts w:hint="eastAsia" w:ascii="仿宋_GB2312" w:eastAsia="仿宋_GB2312"/>
          <w:sz w:val="32"/>
          <w:szCs w:val="32"/>
        </w:rPr>
        <w:t>，本次绩效评价指标设置权重如下:政策制定指标权重1</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政策执行指标权重30%</w:t>
      </w:r>
      <w:r>
        <w:rPr>
          <w:rFonts w:hint="eastAsia" w:ascii="仿宋_GB2312" w:eastAsia="仿宋_GB2312"/>
          <w:sz w:val="32"/>
          <w:szCs w:val="32"/>
          <w:lang w:eastAsia="zh-CN"/>
        </w:rPr>
        <w:t>、</w:t>
      </w:r>
      <w:r>
        <w:rPr>
          <w:rFonts w:hint="eastAsia" w:ascii="仿宋_GB2312" w:eastAsia="仿宋_GB2312"/>
          <w:sz w:val="32"/>
          <w:szCs w:val="32"/>
        </w:rPr>
        <w:t>政策产出指标权重</w:t>
      </w:r>
      <w:r>
        <w:rPr>
          <w:rFonts w:hint="eastAsia" w:ascii="仿宋_GB2312" w:eastAsia="仿宋_GB2312"/>
          <w:sz w:val="32"/>
          <w:szCs w:val="32"/>
          <w:lang w:val="en-US" w:eastAsia="zh-CN"/>
        </w:rPr>
        <w:t>3</w:t>
      </w:r>
      <w:r>
        <w:rPr>
          <w:rFonts w:hint="eastAsia" w:ascii="仿宋_GB2312" w:eastAsia="仿宋_GB2312"/>
          <w:sz w:val="32"/>
          <w:szCs w:val="32"/>
        </w:rPr>
        <w:t>0%</w:t>
      </w:r>
      <w:r>
        <w:rPr>
          <w:rFonts w:hint="eastAsia" w:ascii="仿宋_GB2312" w:eastAsia="仿宋_GB2312"/>
          <w:sz w:val="32"/>
          <w:szCs w:val="32"/>
          <w:lang w:eastAsia="zh-CN"/>
        </w:rPr>
        <w:t>、</w:t>
      </w:r>
      <w:r>
        <w:rPr>
          <w:rFonts w:hint="eastAsia" w:ascii="仿宋_GB2312" w:eastAsia="仿宋_GB2312"/>
          <w:sz w:val="32"/>
          <w:szCs w:val="32"/>
        </w:rPr>
        <w:t>政策效益指标权重3</w:t>
      </w:r>
      <w:r>
        <w:rPr>
          <w:rFonts w:hint="eastAsia" w:ascii="仿宋_GB2312" w:eastAsia="仿宋_GB2312"/>
          <w:sz w:val="32"/>
          <w:szCs w:val="32"/>
          <w:lang w:val="en-US" w:eastAsia="zh-CN"/>
        </w:rPr>
        <w:t>0</w:t>
      </w:r>
      <w:r>
        <w:rPr>
          <w:rFonts w:hint="eastAsia" w:ascii="仿宋_GB2312" w:eastAsia="仿宋_GB2312"/>
          <w:sz w:val="32"/>
          <w:szCs w:val="32"/>
        </w:rPr>
        <w:t>%。</w:t>
      </w:r>
    </w:p>
    <w:p>
      <w:pPr>
        <w:pageBreakBefore w:val="0"/>
        <w:widowControl w:val="0"/>
        <w:kinsoku/>
        <w:wordWrap/>
        <w:overflowPunct/>
        <w:autoSpaceDE/>
        <w:autoSpaceDN/>
        <w:bidi w:val="0"/>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绩效指标体系框架由4个一级指标、1</w:t>
      </w:r>
      <w:r>
        <w:rPr>
          <w:rFonts w:hint="eastAsia" w:ascii="仿宋_GB2312" w:eastAsia="仿宋_GB2312"/>
          <w:sz w:val="32"/>
          <w:szCs w:val="32"/>
          <w:lang w:val="en-US" w:eastAsia="zh-CN"/>
        </w:rPr>
        <w:t>4</w:t>
      </w:r>
      <w:r>
        <w:rPr>
          <w:rFonts w:hint="eastAsia" w:ascii="仿宋_GB2312" w:eastAsia="仿宋_GB2312"/>
          <w:sz w:val="32"/>
          <w:szCs w:val="32"/>
        </w:rPr>
        <w:t>个二级指标和</w:t>
      </w:r>
      <w:r>
        <w:rPr>
          <w:rFonts w:hint="eastAsia" w:ascii="仿宋_GB2312" w:eastAsia="仿宋_GB2312"/>
          <w:sz w:val="32"/>
          <w:szCs w:val="32"/>
          <w:lang w:val="en-US" w:eastAsia="zh-CN"/>
        </w:rPr>
        <w:t>32</w:t>
      </w:r>
      <w:r>
        <w:rPr>
          <w:rFonts w:hint="eastAsia" w:ascii="仿宋_GB2312" w:eastAsia="仿宋_GB2312"/>
          <w:sz w:val="32"/>
          <w:szCs w:val="32"/>
        </w:rPr>
        <w:t>个三级指标组成</w:t>
      </w:r>
      <w:r>
        <w:rPr>
          <w:rFonts w:hint="eastAsia" w:ascii="仿宋_GB2312" w:eastAsia="仿宋_GB2312"/>
          <w:sz w:val="32"/>
          <w:szCs w:val="32"/>
          <w:lang w:eastAsia="zh-CN"/>
        </w:rPr>
        <w:t>。</w:t>
      </w:r>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7" w:name="_Toc20673"/>
      <w:r>
        <w:rPr>
          <w:rFonts w:hint="eastAsia" w:ascii="楷体_GB2312" w:hAnsi="楷体_GB2312" w:eastAsia="楷体_GB2312" w:cs="楷体_GB2312"/>
          <w:b w:val="0"/>
          <w:bCs w:val="0"/>
          <w:color w:val="auto"/>
          <w:sz w:val="32"/>
          <w:lang w:eastAsia="zh-CN"/>
        </w:rPr>
        <w:t>（六）评价人员组成</w:t>
      </w:r>
      <w:bookmarkEnd w:id="17"/>
    </w:p>
    <w:p>
      <w:pPr>
        <w:pageBreakBefore w:val="0"/>
        <w:widowControl w:val="0"/>
        <w:kinsoku/>
        <w:wordWrap/>
        <w:overflowPunct/>
        <w:autoSpaceDE/>
        <w:autoSpaceDN/>
        <w:bidi w:val="0"/>
        <w:spacing w:line="600" w:lineRule="exact"/>
        <w:ind w:firstLine="640" w:firstLineChars="200"/>
        <w:textAlignment w:val="auto"/>
        <w:rPr>
          <w:rFonts w:hint="eastAsia" w:ascii="黑体" w:hAnsi="黑体" w:eastAsia="黑体" w:cs="黑体"/>
          <w:color w:val="auto"/>
          <w:sz w:val="24"/>
          <w:szCs w:val="24"/>
          <w:lang w:eastAsia="zh-CN"/>
        </w:rPr>
      </w:pPr>
      <w:r>
        <w:rPr>
          <w:rFonts w:hint="eastAsia" w:ascii="仿宋_GB2312" w:eastAsia="仿宋_GB2312"/>
          <w:sz w:val="32"/>
          <w:szCs w:val="32"/>
        </w:rPr>
        <w:t>为本次绩效评价我司成立了专门的评价组，确定一名负责人，负责绩效评价工作的总体控制，为确保绩效评价工作的客观、公正、严谨，配备了财政、金融等方面人员。</w:t>
      </w:r>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18" w:name="_Toc9329"/>
      <w:r>
        <w:rPr>
          <w:rFonts w:hint="eastAsia" w:ascii="楷体_GB2312" w:hAnsi="楷体_GB2312" w:eastAsia="楷体_GB2312" w:cs="楷体_GB2312"/>
          <w:b w:val="0"/>
          <w:bCs w:val="0"/>
          <w:color w:val="auto"/>
          <w:sz w:val="32"/>
          <w:lang w:eastAsia="zh-CN"/>
        </w:rPr>
        <w:t>（七）绩效评价工作过程</w:t>
      </w:r>
      <w:bookmarkEnd w:id="18"/>
    </w:p>
    <w:p>
      <w:pPr>
        <w:pageBreakBefore w:val="0"/>
        <w:widowControl w:val="0"/>
        <w:kinsoku/>
        <w:wordWrap/>
        <w:overflowPunct/>
        <w:autoSpaceDE/>
        <w:autoSpaceDN/>
        <w:bidi w:val="0"/>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本次菏泽市2021年度城乡居民最低生活保障及农村特困人员救助供养支出政策评价工作周期为45天</w:t>
      </w:r>
      <w:r>
        <w:rPr>
          <w:rFonts w:hint="eastAsia" w:ascii="仿宋_GB2312" w:eastAsia="仿宋_GB2312"/>
          <w:sz w:val="32"/>
          <w:szCs w:val="32"/>
          <w:lang w:eastAsia="zh-CN"/>
        </w:rPr>
        <w:t>，</w:t>
      </w:r>
      <w:r>
        <w:rPr>
          <w:rFonts w:hint="eastAsia" w:ascii="仿宋_GB2312" w:eastAsia="仿宋_GB2312"/>
          <w:sz w:val="32"/>
          <w:szCs w:val="32"/>
        </w:rPr>
        <w:t>包括前期准备、组织实施、评价分析、报告撰写</w:t>
      </w:r>
      <w:r>
        <w:rPr>
          <w:rFonts w:hint="eastAsia" w:ascii="仿宋_GB2312" w:eastAsia="仿宋_GB2312"/>
          <w:sz w:val="32"/>
          <w:szCs w:val="32"/>
          <w:lang w:eastAsia="zh-CN"/>
        </w:rPr>
        <w:t>、资料归档五</w:t>
      </w:r>
      <w:r>
        <w:rPr>
          <w:rFonts w:hint="eastAsia" w:ascii="仿宋_GB2312" w:eastAsia="仿宋_GB2312"/>
          <w:sz w:val="32"/>
          <w:szCs w:val="32"/>
        </w:rPr>
        <w:t>个阶段</w:t>
      </w:r>
      <w:r>
        <w:rPr>
          <w:rFonts w:hint="eastAsia" w:ascii="仿宋_GB2312" w:eastAsia="仿宋_GB2312"/>
          <w:sz w:val="32"/>
          <w:szCs w:val="32"/>
          <w:lang w:eastAsia="zh-CN"/>
        </w:rPr>
        <w:t>。</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630" w:leftChars="0"/>
        <w:textAlignment w:val="auto"/>
        <w:rPr>
          <w:color w:val="auto"/>
        </w:rPr>
      </w:pPr>
      <w:bookmarkStart w:id="19" w:name="_Toc6313"/>
      <w:r>
        <w:rPr>
          <w:rFonts w:hint="eastAsia"/>
          <w:color w:val="auto"/>
          <w:lang w:eastAsia="zh-CN"/>
        </w:rPr>
        <w:t>四、</w:t>
      </w:r>
      <w:r>
        <w:rPr>
          <w:color w:val="auto"/>
        </w:rPr>
        <w:t>评价结论及分析</w:t>
      </w:r>
      <w:bookmarkEnd w:id="19"/>
    </w:p>
    <w:p>
      <w:pPr>
        <w:pStyle w:val="4"/>
        <w:pageBreakBefore w:val="0"/>
        <w:widowControl w:val="0"/>
        <w:numPr>
          <w:ilvl w:val="1"/>
          <w:numId w:val="0"/>
        </w:numPr>
        <w:kinsoku/>
        <w:wordWrap/>
        <w:overflowPunct/>
        <w:autoSpaceDE/>
        <w:autoSpaceDN/>
        <w:bidi w:val="0"/>
        <w:spacing w:before="0" w:after="0" w:line="600" w:lineRule="exact"/>
        <w:ind w:left="630" w:leftChars="0"/>
        <w:textAlignment w:val="auto"/>
        <w:rPr>
          <w:rFonts w:hint="eastAsia" w:ascii="楷体_GB2312" w:hAnsi="楷体_GB2312" w:eastAsia="楷体_GB2312" w:cs="楷体_GB2312"/>
          <w:b w:val="0"/>
          <w:bCs w:val="0"/>
          <w:color w:val="auto"/>
          <w:sz w:val="32"/>
          <w:lang w:eastAsia="zh-CN"/>
        </w:rPr>
      </w:pPr>
      <w:bookmarkStart w:id="20" w:name="_Toc27675"/>
      <w:bookmarkStart w:id="21" w:name="_Toc14589"/>
      <w:r>
        <w:rPr>
          <w:rFonts w:hint="eastAsia" w:ascii="楷体_GB2312" w:hAnsi="楷体_GB2312" w:eastAsia="楷体_GB2312" w:cs="楷体_GB2312"/>
          <w:b w:val="0"/>
          <w:bCs w:val="0"/>
          <w:color w:val="auto"/>
          <w:sz w:val="32"/>
          <w:lang w:eastAsia="zh-CN"/>
        </w:rPr>
        <w:t>（一）评价结论</w:t>
      </w:r>
      <w:bookmarkEnd w:id="20"/>
      <w:bookmarkEnd w:id="21"/>
    </w:p>
    <w:p>
      <w:pPr>
        <w:pStyle w:val="7"/>
        <w:pageBreakBefore w:val="0"/>
        <w:widowControl w:val="0"/>
        <w:kinsoku/>
        <w:wordWrap/>
        <w:overflowPunct/>
        <w:autoSpaceDE/>
        <w:autoSpaceDN/>
        <w:bidi w:val="0"/>
        <w:spacing w:line="600" w:lineRule="exact"/>
        <w:textAlignment w:val="auto"/>
        <w:rPr>
          <w:rFonts w:hint="eastAsia" w:ascii="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根据绩效评价组制定的绩效</w:t>
      </w:r>
      <w:r>
        <w:rPr>
          <w:rFonts w:hint="eastAsia" w:ascii="仿宋_GB2312" w:hAnsiTheme="minorHAnsi" w:cstheme="minorBidi"/>
          <w:kern w:val="2"/>
          <w:sz w:val="32"/>
          <w:szCs w:val="32"/>
          <w:lang w:val="en-US" w:eastAsia="zh-CN" w:bidi="ar-SA"/>
        </w:rPr>
        <w:t>评价</w:t>
      </w:r>
      <w:r>
        <w:rPr>
          <w:rFonts w:hint="eastAsia" w:ascii="仿宋_GB2312" w:eastAsia="仿宋_GB2312" w:hAnsiTheme="minorHAnsi" w:cstheme="minorBidi"/>
          <w:kern w:val="2"/>
          <w:sz w:val="32"/>
          <w:szCs w:val="32"/>
          <w:lang w:val="en-US" w:eastAsia="zh-CN" w:bidi="ar-SA"/>
        </w:rPr>
        <w:t>指标体系及评分标准，通过资料整理分析、数据采集、现场座谈、线上线下的问卷调查等方式，对菏泽市2021年度城乡居民最低生活保障及农村特困人员救助供养支出政策进行绩效评价</w:t>
      </w:r>
      <w:r>
        <w:rPr>
          <w:rFonts w:hint="eastAsia" w:ascii="仿宋_GB2312" w:hAnsiTheme="minorHAnsi" w:cstheme="minorBidi"/>
          <w:kern w:val="2"/>
          <w:sz w:val="32"/>
          <w:szCs w:val="32"/>
          <w:lang w:val="en-US" w:eastAsia="zh-CN" w:bidi="ar-SA"/>
        </w:rPr>
        <w:t>。</w:t>
      </w:r>
    </w:p>
    <w:p>
      <w:pPr>
        <w:pStyle w:val="7"/>
        <w:pageBreakBefore w:val="0"/>
        <w:widowControl w:val="0"/>
        <w:kinsoku/>
        <w:wordWrap/>
        <w:overflowPunct/>
        <w:topLinePunct w:val="0"/>
        <w:autoSpaceDE/>
        <w:autoSpaceDN/>
        <w:bidi w:val="0"/>
        <w:adjustRightInd/>
        <w:snapToGrid/>
        <w:spacing w:line="600" w:lineRule="exact"/>
        <w:textAlignment w:val="auto"/>
        <w:rPr>
          <w:rFonts w:hint="eastAsia" w:ascii="仿宋_GB2312" w:hAnsiTheme="minorHAnsi" w:cstheme="minorBidi"/>
          <w:kern w:val="2"/>
          <w:sz w:val="32"/>
          <w:szCs w:val="32"/>
          <w:lang w:val="en-US" w:eastAsia="zh-CN" w:bidi="ar-SA"/>
        </w:rPr>
      </w:pPr>
      <w:r>
        <w:rPr>
          <w:rFonts w:hint="eastAsia" w:ascii="仿宋_GB2312" w:hAnsiTheme="minorHAnsi" w:cstheme="minorBidi"/>
          <w:kern w:val="2"/>
          <w:sz w:val="32"/>
          <w:szCs w:val="32"/>
          <w:lang w:val="en-US" w:eastAsia="zh-CN" w:bidi="ar-SA"/>
        </w:rPr>
        <w:t>本次绩效评价</w:t>
      </w:r>
      <w:r>
        <w:rPr>
          <w:rFonts w:hint="eastAsia" w:ascii="仿宋_GB2312" w:eastAsia="仿宋_GB2312" w:hAnsiTheme="minorHAnsi" w:cstheme="minorBidi"/>
          <w:kern w:val="2"/>
          <w:sz w:val="32"/>
          <w:szCs w:val="32"/>
          <w:lang w:val="en-US" w:eastAsia="zh-CN" w:bidi="ar-SA"/>
        </w:rPr>
        <w:t>最终评分结果：总得分为8</w:t>
      </w:r>
      <w:r>
        <w:rPr>
          <w:rFonts w:hint="eastAsia" w:ascii="仿宋_GB2312" w:hAnsiTheme="minorHAnsi" w:cstheme="minorBidi"/>
          <w:kern w:val="2"/>
          <w:sz w:val="32"/>
          <w:szCs w:val="32"/>
          <w:lang w:val="en-US" w:eastAsia="zh-CN" w:bidi="ar-SA"/>
        </w:rPr>
        <w:t>9.14</w:t>
      </w:r>
      <w:r>
        <w:rPr>
          <w:rFonts w:hint="eastAsia" w:ascii="仿宋_GB2312" w:eastAsia="仿宋_GB2312" w:hAnsiTheme="minorHAnsi" w:cstheme="minorBidi"/>
          <w:kern w:val="2"/>
          <w:sz w:val="32"/>
          <w:szCs w:val="32"/>
          <w:lang w:val="en-US" w:eastAsia="zh-CN" w:bidi="ar-SA"/>
        </w:rPr>
        <w:t>分，评价等级为“良”</w:t>
      </w:r>
      <w:r>
        <w:rPr>
          <w:rFonts w:hint="eastAsia" w:ascii="仿宋_GB2312" w:hAnsiTheme="minorHAnsi" w:cstheme="minorBidi"/>
          <w:kern w:val="2"/>
          <w:sz w:val="32"/>
          <w:szCs w:val="32"/>
          <w:lang w:val="en-US" w:eastAsia="zh-CN" w:bidi="ar-SA"/>
        </w:rPr>
        <w:t>。</w:t>
      </w:r>
      <w:bookmarkStart w:id="22" w:name="_Toc14884"/>
    </w:p>
    <w:p>
      <w:pPr>
        <w:pStyle w:val="4"/>
        <w:pageBreakBefore w:val="0"/>
        <w:widowControl w:val="0"/>
        <w:numPr>
          <w:ilvl w:val="1"/>
          <w:numId w:val="0"/>
        </w:numPr>
        <w:kinsoku/>
        <w:wordWrap/>
        <w:overflowPunct/>
        <w:autoSpaceDE/>
        <w:autoSpaceDN/>
        <w:bidi w:val="0"/>
        <w:spacing w:before="0" w:after="0"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（二）非现场绩效评价情况分析</w:t>
      </w:r>
      <w:bookmarkEnd w:id="2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val="en-US" w:eastAsia="zh-CN"/>
        </w:rPr>
      </w:pPr>
      <w:bookmarkStart w:id="23" w:name="_Toc7175"/>
      <w:r>
        <w:rPr>
          <w:rFonts w:hint="eastAsia" w:ascii="仿宋_GB2312" w:eastAsia="仿宋_GB2312"/>
          <w:sz w:val="32"/>
          <w:szCs w:val="32"/>
          <w:lang w:val="en-US" w:eastAsia="zh-CN"/>
        </w:rPr>
        <w:t>绩效评价组通过被评价部门菏泽市民政局及相关单位提供的相关资料，包括政策的立项文件、财务管理制度、资金审批文件、会议纪要等，结合菏泽市人民政府及菏泽市民政局等官网查阅、检索的关于城乡居民最低生活保障及农村特困人员救助供养支出政策相关的公开资料进行分类、汇总和分析，对政策的执行及成效进行了非现场评价分析</w:t>
      </w:r>
      <w:r>
        <w:rPr>
          <w:rFonts w:hint="eastAsia" w:ascii="仿宋_GB2312" w:eastAsia="仿宋_GB2312"/>
          <w:kern w:val="2"/>
          <w:sz w:val="32"/>
          <w:szCs w:val="32"/>
          <w:lang w:val="en-US" w:eastAsia="zh-CN"/>
        </w:rPr>
        <w:t>。</w:t>
      </w:r>
    </w:p>
    <w:p>
      <w:pPr>
        <w:pStyle w:val="4"/>
        <w:pageBreakBefore w:val="0"/>
        <w:widowControl w:val="0"/>
        <w:numPr>
          <w:ilvl w:val="1"/>
          <w:numId w:val="0"/>
        </w:numPr>
        <w:kinsoku/>
        <w:wordWrap/>
        <w:overflowPunct/>
        <w:autoSpaceDE/>
        <w:autoSpaceDN/>
        <w:bidi w:val="0"/>
        <w:spacing w:before="0" w:after="0"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bookmarkStart w:id="24" w:name="_Toc10148"/>
      <w:r>
        <w:rPr>
          <w:rFonts w:hint="eastAsia" w:ascii="楷体_GB2312" w:hAnsi="楷体_GB2312" w:eastAsia="楷体_GB2312" w:cs="楷体_GB2312"/>
          <w:b w:val="0"/>
          <w:bCs w:val="0"/>
          <w:color w:val="auto"/>
          <w:kern w:val="2"/>
          <w:sz w:val="32"/>
          <w:szCs w:val="32"/>
          <w:lang w:val="en-US" w:eastAsia="zh-CN" w:bidi="ar-SA"/>
        </w:rPr>
        <w:t>（三）现场绩效评价情况分析</w:t>
      </w:r>
      <w:bookmarkEnd w:id="23"/>
      <w:bookmarkEnd w:id="24"/>
    </w:p>
    <w:p>
      <w:pPr>
        <w:pageBreakBefore w:val="0"/>
        <w:widowControl w:val="0"/>
        <w:kinsoku/>
        <w:wordWrap/>
        <w:overflowPunct/>
        <w:autoSpaceDE/>
        <w:autoSpaceDN/>
        <w:bidi w:val="0"/>
        <w:spacing w:line="60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绩效评价组通过组织部门负责人进行现场集中交流。根据预定的绩效评价实施方案，对菏泽市城乡居民最低生活保障及农村特困人员救助供养支出政策的实施情况进行了访谈交流。交流内容主要包括对政策的实施流程的了解，对信息更新及时率、城乡低保金及农村特困人员救助金发放及时率、政策知晓率等指标的了解和把控等。</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color w:val="auto"/>
        </w:rPr>
      </w:pPr>
      <w:bookmarkStart w:id="25" w:name="_Toc16611"/>
      <w:r>
        <w:rPr>
          <w:rFonts w:hint="eastAsia"/>
          <w:color w:val="auto"/>
          <w:lang w:eastAsia="zh-CN"/>
        </w:rPr>
        <w:t>五、</w:t>
      </w:r>
      <w:r>
        <w:rPr>
          <w:color w:val="auto"/>
        </w:rPr>
        <w:t>绩效评价指标分析</w:t>
      </w:r>
      <w:bookmarkEnd w:id="25"/>
    </w:p>
    <w:p>
      <w:pPr>
        <w:pStyle w:val="4"/>
        <w:pageBreakBefore w:val="0"/>
        <w:widowControl w:val="0"/>
        <w:numPr>
          <w:ilvl w:val="1"/>
          <w:numId w:val="0"/>
        </w:numPr>
        <w:kinsoku/>
        <w:wordWrap/>
        <w:overflowPunct/>
        <w:autoSpaceDE/>
        <w:autoSpaceDN/>
        <w:bidi w:val="0"/>
        <w:spacing w:before="0" w:after="0"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bookmarkStart w:id="26" w:name="_Toc2375"/>
      <w:r>
        <w:rPr>
          <w:rFonts w:hint="eastAsia" w:ascii="楷体_GB2312" w:hAnsi="楷体_GB2312" w:eastAsia="楷体_GB2312" w:cs="楷体_GB2312"/>
          <w:b w:val="0"/>
          <w:bCs w:val="0"/>
          <w:color w:val="auto"/>
          <w:kern w:val="2"/>
          <w:sz w:val="32"/>
          <w:szCs w:val="32"/>
          <w:lang w:val="en-US" w:eastAsia="zh-CN" w:bidi="ar-SA"/>
        </w:rPr>
        <w:t>（一）政策制定情况</w:t>
      </w:r>
      <w:bookmarkEnd w:id="26"/>
    </w:p>
    <w:p>
      <w:pPr>
        <w:pStyle w:val="7"/>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auto"/>
          <w:sz w:val="32"/>
          <w:szCs w:val="32"/>
          <w:lang w:val="en-US" w:eastAsia="zh-CN"/>
        </w:rPr>
        <w:t>政策制定情况从政策立项的必要性、政策目标合理性、绩效目标适当性、资金投入四个方面对菏泽市城乡居民最低生活保障及农村特困人员救助供养支出政策的制定情况进行考察。政策制定</w:t>
      </w:r>
      <w:r>
        <w:rPr>
          <w:rFonts w:hint="eastAsia" w:ascii="仿宋_GB2312" w:hAnsi="仿宋_GB2312" w:eastAsia="仿宋_GB2312" w:cs="仿宋_GB2312"/>
          <w:sz w:val="32"/>
          <w:szCs w:val="32"/>
          <w:lang w:val="en-US" w:eastAsia="zh-CN"/>
        </w:rPr>
        <w:t>类设置指标分值共计10分，实际得分9.2分，得分率为92%。</w:t>
      </w:r>
    </w:p>
    <w:p>
      <w:pPr>
        <w:pStyle w:val="7"/>
        <w:pageBreakBefore w:val="0"/>
        <w:widowControl w:val="0"/>
        <w:kinsoku/>
        <w:wordWrap/>
        <w:overflowPunct/>
        <w:autoSpaceDE/>
        <w:autoSpaceDN/>
        <w:bidi w:val="0"/>
        <w:spacing w:line="600" w:lineRule="exact"/>
        <w:textAlignment w:val="auto"/>
        <w:rPr>
          <w:rFonts w:hint="eastAsia"/>
          <w:lang w:val="en-US" w:eastAsia="zh-CN"/>
        </w:rPr>
      </w:pPr>
      <w:r>
        <w:rPr>
          <w:rFonts w:hint="eastAsia" w:ascii="仿宋_GB2312" w:hAnsiTheme="minorHAnsi" w:cstheme="minorBidi"/>
          <w:kern w:val="2"/>
          <w:sz w:val="32"/>
          <w:szCs w:val="32"/>
          <w:lang w:val="en-US" w:eastAsia="zh-CN" w:bidi="ar-SA"/>
        </w:rPr>
        <w:t>政策立项依据充分、程序规范、政策与部门职责匹配；政策目标合理、政策目标与需求相符；绩效目标合理、绩效指标明确；预算编制科学、资金申请等程序规范。</w:t>
      </w:r>
    </w:p>
    <w:p>
      <w:pPr>
        <w:pStyle w:val="4"/>
        <w:pageBreakBefore w:val="0"/>
        <w:widowControl w:val="0"/>
        <w:numPr>
          <w:ilvl w:val="1"/>
          <w:numId w:val="0"/>
        </w:numPr>
        <w:kinsoku/>
        <w:wordWrap/>
        <w:overflowPunct/>
        <w:autoSpaceDE/>
        <w:autoSpaceDN/>
        <w:bidi w:val="0"/>
        <w:spacing w:before="0" w:after="0"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bookmarkStart w:id="27" w:name="_Toc19623"/>
      <w:r>
        <w:rPr>
          <w:rFonts w:hint="eastAsia" w:ascii="楷体_GB2312" w:hAnsi="楷体_GB2312" w:eastAsia="楷体_GB2312" w:cs="楷体_GB2312"/>
          <w:b w:val="0"/>
          <w:bCs w:val="0"/>
          <w:color w:val="auto"/>
          <w:kern w:val="2"/>
          <w:sz w:val="32"/>
          <w:szCs w:val="32"/>
          <w:lang w:val="en-US" w:eastAsia="zh-CN" w:bidi="ar-SA"/>
        </w:rPr>
        <w:t>（二）政策执行情况</w:t>
      </w:r>
      <w:bookmarkEnd w:id="27"/>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24"/>
          <w:szCs w:val="24"/>
          <w:lang w:val="en-US" w:eastAsia="zh-CN"/>
        </w:rPr>
      </w:pPr>
      <w:r>
        <w:rPr>
          <w:rFonts w:hint="eastAsia" w:ascii="Times New Roman" w:hAnsi="Times New Roman" w:eastAsia="仿宋_GB2312" w:cs="Times New Roman"/>
          <w:color w:val="auto"/>
          <w:sz w:val="32"/>
          <w:szCs w:val="32"/>
          <w:lang w:val="en-US" w:eastAsia="zh-CN"/>
        </w:rPr>
        <w:t>政策执行情况从资金管理、政策实施管理、政策执行质量三个方面对菏泽市城乡最低生活保障及农村特困人员救助供养政策的执行情况进行考察。政策执行</w:t>
      </w:r>
      <w:r>
        <w:rPr>
          <w:rFonts w:hint="eastAsia" w:ascii="仿宋_GB2312" w:hAnsi="仿宋_GB2312" w:eastAsia="仿宋_GB2312" w:cs="仿宋_GB2312"/>
          <w:sz w:val="32"/>
          <w:szCs w:val="32"/>
          <w:lang w:val="en-US" w:eastAsia="zh-CN"/>
        </w:rPr>
        <w:t>类设置指标分值共计30分，实际得分24分，得分率为80%。</w:t>
      </w:r>
    </w:p>
    <w:p>
      <w:pPr>
        <w:pStyle w:val="7"/>
        <w:pageBreakBefore w:val="0"/>
        <w:widowControl w:val="0"/>
        <w:kinsoku/>
        <w:wordWrap/>
        <w:overflowPunct/>
        <w:autoSpaceDE/>
        <w:autoSpaceDN/>
        <w:bidi w:val="0"/>
        <w:spacing w:line="600" w:lineRule="exact"/>
        <w:textAlignment w:val="auto"/>
        <w:rPr>
          <w:rFonts w:hint="eastAsia" w:ascii="仿宋_GB2312" w:hAnsiTheme="minorHAnsi" w:cstheme="minorBidi"/>
          <w:kern w:val="2"/>
          <w:sz w:val="32"/>
          <w:szCs w:val="32"/>
          <w:lang w:val="en-US" w:eastAsia="zh-CN" w:bidi="ar-SA"/>
        </w:rPr>
      </w:pPr>
      <w:r>
        <w:rPr>
          <w:rFonts w:hint="eastAsia" w:ascii="仿宋_GB2312" w:hAnsiTheme="minorHAnsi" w:cstheme="minorBidi"/>
          <w:kern w:val="2"/>
          <w:sz w:val="32"/>
          <w:szCs w:val="32"/>
          <w:lang w:val="en-US" w:eastAsia="zh-CN" w:bidi="ar-SA"/>
        </w:rPr>
        <w:t>资金到位率100%、资金到位及时、预算执行率100%、资金使用合规；动态跟踪机制健全、管理制度健全、制度执行有效、人员信息更新及时、政策执行标准合规，但存在档案管理不规范、公示信息不及时、不完整的问题。</w:t>
      </w:r>
    </w:p>
    <w:p>
      <w:pPr>
        <w:pStyle w:val="4"/>
        <w:pageBreakBefore w:val="0"/>
        <w:widowControl w:val="0"/>
        <w:numPr>
          <w:ilvl w:val="1"/>
          <w:numId w:val="0"/>
        </w:numPr>
        <w:kinsoku/>
        <w:wordWrap/>
        <w:overflowPunct/>
        <w:autoSpaceDE/>
        <w:autoSpaceDN/>
        <w:bidi w:val="0"/>
        <w:spacing w:before="0" w:after="0"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bookmarkStart w:id="28" w:name="_Toc25107"/>
      <w:r>
        <w:rPr>
          <w:rFonts w:hint="eastAsia" w:ascii="楷体_GB2312" w:hAnsi="楷体_GB2312" w:eastAsia="楷体_GB2312" w:cs="楷体_GB2312"/>
          <w:b w:val="0"/>
          <w:bCs w:val="0"/>
          <w:color w:val="auto"/>
          <w:kern w:val="2"/>
          <w:sz w:val="32"/>
          <w:szCs w:val="32"/>
          <w:lang w:val="en-US" w:eastAsia="zh-CN" w:bidi="ar-SA"/>
        </w:rPr>
        <w:t>（三）政策产出情况</w:t>
      </w:r>
      <w:bookmarkEnd w:id="28"/>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auto"/>
          <w:sz w:val="32"/>
          <w:szCs w:val="32"/>
          <w:lang w:val="en-US" w:eastAsia="zh-CN"/>
        </w:rPr>
        <w:t>政策产出情况从产出数量、产出质量、产出时效三个方面对菏泽市城乡居民最低生活保障及农村特困人员救助供养支出政策的产出情况进行考察。政策执行</w:t>
      </w:r>
      <w:r>
        <w:rPr>
          <w:rFonts w:hint="eastAsia" w:ascii="仿宋_GB2312" w:hAnsi="仿宋_GB2312" w:eastAsia="仿宋_GB2312" w:cs="仿宋_GB2312"/>
          <w:sz w:val="32"/>
          <w:szCs w:val="32"/>
          <w:lang w:val="en-US" w:eastAsia="zh-CN"/>
        </w:rPr>
        <w:t>类设置指标分值共计30分，实际得分29.5分，得分率为98.33%。</w:t>
      </w:r>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kern w:val="2"/>
          <w:sz w:val="32"/>
          <w:szCs w:val="32"/>
          <w:lang w:val="en-US" w:eastAsia="zh-CN" w:bidi="zh-CN"/>
        </w:rPr>
      </w:pPr>
      <w:r>
        <w:rPr>
          <w:rFonts w:hint="eastAsia" w:ascii="Times New Roman" w:hAnsi="Times New Roman" w:eastAsia="仿宋_GB2312" w:cs="Times New Roman"/>
          <w:color w:val="auto"/>
          <w:sz w:val="32"/>
          <w:szCs w:val="32"/>
          <w:lang w:val="en-US" w:eastAsia="zh-CN"/>
        </w:rPr>
        <w:t>城乡低保及农村特困人员救助发放完成率</w:t>
      </w:r>
      <w:r>
        <w:rPr>
          <w:rFonts w:hint="eastAsia" w:ascii="仿宋_GB2312" w:hAnsi="仿宋_GB2312" w:eastAsia="仿宋_GB2312" w:cs="仿宋_GB2312"/>
          <w:sz w:val="32"/>
          <w:szCs w:val="32"/>
          <w:lang w:val="en-US" w:eastAsia="zh-CN"/>
        </w:rPr>
        <w:t>100%、救助覆盖率100%、发放准确率100%、人员符合率100%、社会救助金基本发放及时，但存在一特困人员因银行账号问</w:t>
      </w:r>
      <w:r>
        <w:rPr>
          <w:rFonts w:hint="eastAsia" w:ascii="Times New Roman" w:hAnsi="Times New Roman" w:eastAsia="仿宋_GB2312" w:cs="Times New Roman"/>
          <w:color w:val="auto"/>
          <w:sz w:val="32"/>
          <w:szCs w:val="32"/>
          <w:lang w:val="en-US" w:eastAsia="zh-CN"/>
        </w:rPr>
        <w:t>题导致救助金未及时发放到位的情况。</w:t>
      </w:r>
    </w:p>
    <w:p>
      <w:pPr>
        <w:pStyle w:val="4"/>
        <w:pageBreakBefore w:val="0"/>
        <w:widowControl w:val="0"/>
        <w:numPr>
          <w:ilvl w:val="1"/>
          <w:numId w:val="0"/>
        </w:numPr>
        <w:kinsoku/>
        <w:wordWrap/>
        <w:overflowPunct/>
        <w:autoSpaceDE/>
        <w:autoSpaceDN/>
        <w:bidi w:val="0"/>
        <w:spacing w:before="0" w:after="0"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bookmarkStart w:id="29" w:name="_Toc9111"/>
      <w:r>
        <w:rPr>
          <w:rFonts w:hint="eastAsia" w:ascii="楷体_GB2312" w:hAnsi="楷体_GB2312" w:eastAsia="楷体_GB2312" w:cs="楷体_GB2312"/>
          <w:b w:val="0"/>
          <w:bCs w:val="0"/>
          <w:color w:val="auto"/>
          <w:kern w:val="2"/>
          <w:sz w:val="32"/>
          <w:szCs w:val="32"/>
          <w:lang w:val="en-US" w:eastAsia="zh-CN" w:bidi="ar-SA"/>
        </w:rPr>
        <w:t>（四）政策效益情况</w:t>
      </w:r>
      <w:bookmarkEnd w:id="29"/>
    </w:p>
    <w:p>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color w:val="auto"/>
          <w:sz w:val="32"/>
          <w:szCs w:val="32"/>
          <w:lang w:val="en-US" w:eastAsia="zh-CN"/>
        </w:rPr>
        <w:t>政策执行情况从社会效益、政策可持续性、满意度三个方面对菏泽市城乡最低生活保障及农村特困人员救助供养政策的效益情况进行考察。政策效益</w:t>
      </w:r>
      <w:r>
        <w:rPr>
          <w:rFonts w:hint="eastAsia" w:ascii="仿宋_GB2312" w:hAnsi="仿宋_GB2312" w:eastAsia="仿宋_GB2312" w:cs="仿宋_GB2312"/>
          <w:sz w:val="32"/>
          <w:szCs w:val="32"/>
          <w:lang w:val="en-US" w:eastAsia="zh-CN"/>
        </w:rPr>
        <w:t>类设置指标分值共计30分，实际得分26.44分，得分率为88.13%。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经资料分析及问卷调查，城乡低保及农村特困人员衣食方面基本生活得到了保障、低保及特困救助供养制度完善健全、受益群众对政策满意度较高，但因为受益对象多为老弱病残，政策知晓率有待提高。</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630" w:leftChars="0"/>
        <w:textAlignment w:val="auto"/>
        <w:rPr>
          <w:color w:val="auto"/>
          <w:lang w:val="en-US"/>
        </w:rPr>
      </w:pPr>
      <w:bookmarkStart w:id="30" w:name="_Toc14436"/>
      <w:r>
        <w:rPr>
          <w:rFonts w:hint="eastAsia"/>
          <w:color w:val="auto"/>
          <w:lang w:eastAsia="zh-CN"/>
        </w:rPr>
        <w:t>六、成效和</w:t>
      </w:r>
      <w:r>
        <w:rPr>
          <w:color w:val="auto"/>
        </w:rPr>
        <w:t>主要经验做法</w:t>
      </w:r>
      <w:bookmarkEnd w:id="3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一是提高了救助标准，保障了低保及特困人员的基本生活。根据《菏泽市民政局 菏泽市财政局关于建立城乡低保和特困人员救助供养标准自然增长机制的通知》（菏民〔2020〕23号）、《关于进一步健全社会救助和保障标准与物价上涨挂钩联动机制的通知》（菏发改价格〔2022〕14号）等文件，菏泽市民政局完善了低保及特困标准与人均消费支出相衔接的调整机制、与物价上涨挂钩的联动机制。2021年城市低保标准由684元提高至753元，人均月补差提高至480元，农村低保标准由511元提高至563元，人均月补差提高到341元，被救助对象收入的提高加强了其家庭和个人基本生活的保障力度，一定程度上促进了社会公平，维护了社会的和谐稳定。</w:t>
      </w:r>
    </w:p>
    <w:p>
      <w:pPr>
        <w:pStyle w:val="24"/>
        <w:keepNext w:val="0"/>
        <w:keepLines w:val="0"/>
        <w:pageBreakBefore w:val="0"/>
        <w:widowControl w:val="0"/>
        <w:kinsoku/>
        <w:wordWrap/>
        <w:overflowPunct/>
        <w:topLinePunct w:val="0"/>
        <w:autoSpaceDE/>
        <w:autoSpaceDN/>
        <w:bidi w:val="0"/>
        <w:adjustRightInd/>
        <w:snapToGrid/>
        <w:spacing w:after="0" w:afterLines="0" w:line="600"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二是优化了社会救助流程，深化了“</w:t>
      </w:r>
      <w:bookmarkStart w:id="33" w:name="_GoBack"/>
      <w:bookmarkEnd w:id="33"/>
      <w:r>
        <w:rPr>
          <w:rFonts w:hint="eastAsia" w:ascii="仿宋_GB2312" w:hAnsi="仿宋_GB2312" w:eastAsia="仿宋_GB2312" w:cs="仿宋_GB2312"/>
          <w:b w:val="0"/>
          <w:bCs w:val="0"/>
          <w:kern w:val="2"/>
          <w:sz w:val="32"/>
          <w:szCs w:val="32"/>
          <w:lang w:val="en-US" w:eastAsia="zh-CN" w:bidi="ar-SA"/>
        </w:rPr>
        <w:t>放管服”改革。菏泽市民政局通过数据共享，及时掌握了城乡低保及农村特困人员的基本信息。通过向区县民政局发放“爱山东”掌上服务操作手册，提高了基层工作人员、城乡低保及农村特困人员对申请社会救助待遇、查询相关救助信息的认知。</w:t>
      </w:r>
    </w:p>
    <w:p>
      <w:pPr>
        <w:pStyle w:val="23"/>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仿宋_GB2312" w:hAnsi="仿宋_GB2312" w:eastAsia="仿宋_GB2312" w:cs="仿宋_GB2312"/>
          <w:b w:val="0"/>
          <w:bCs/>
          <w:kern w:val="2"/>
          <w:sz w:val="32"/>
          <w:szCs w:val="32"/>
          <w:lang w:val="en-US" w:eastAsia="zh-CN" w:bidi="zh-CN"/>
        </w:rPr>
      </w:pPr>
      <w:r>
        <w:rPr>
          <w:rFonts w:hint="eastAsia"/>
          <w:b w:val="0"/>
          <w:bCs/>
          <w:lang w:val="en-US" w:eastAsia="zh-CN"/>
        </w:rPr>
        <w:t>通过推进“极简办”，全市社会救助审批权已全部下放至乡镇（街道），将受理后的办结时限大幅缩短至22个工作日；</w:t>
      </w:r>
      <w:r>
        <w:rPr>
          <w:rFonts w:hint="eastAsia" w:ascii="仿宋_GB2312" w:hAnsi="仿宋_GB2312" w:eastAsia="仿宋_GB2312" w:cs="仿宋_GB2312"/>
          <w:b w:val="0"/>
          <w:bCs/>
          <w:kern w:val="2"/>
          <w:sz w:val="32"/>
          <w:szCs w:val="32"/>
          <w:lang w:val="en-US" w:eastAsia="zh-CN" w:bidi="zh-CN"/>
        </w:rPr>
        <w:t>深化了“集成办”，实现了办事渠道多样化、办事方式便捷化。</w:t>
      </w:r>
      <w:r>
        <w:rPr>
          <w:rFonts w:hint="eastAsia" w:cs="仿宋_GB2312"/>
          <w:b w:val="0"/>
          <w:bCs/>
          <w:kern w:val="2"/>
          <w:sz w:val="32"/>
          <w:szCs w:val="32"/>
          <w:lang w:val="en-US" w:eastAsia="zh-CN" w:bidi="zh-CN"/>
        </w:rPr>
        <w:t>通过</w:t>
      </w:r>
      <w:r>
        <w:rPr>
          <w:rFonts w:hint="eastAsia" w:ascii="仿宋_GB2312" w:hAnsi="仿宋_GB2312" w:eastAsia="仿宋_GB2312" w:cs="仿宋_GB2312"/>
          <w:b w:val="0"/>
          <w:bCs/>
          <w:kern w:val="2"/>
          <w:sz w:val="32"/>
          <w:szCs w:val="32"/>
          <w:lang w:val="en-US" w:eastAsia="zh-CN" w:bidi="zh-CN"/>
        </w:rPr>
        <w:t>设立村（委）社会救助工作站，增强了基层救助服务能力。</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630" w:leftChars="0"/>
        <w:textAlignment w:val="auto"/>
        <w:rPr>
          <w:color w:val="auto"/>
        </w:rPr>
      </w:pPr>
      <w:bookmarkStart w:id="31" w:name="_Toc4579"/>
      <w:r>
        <w:rPr>
          <w:rFonts w:hint="eastAsia"/>
          <w:color w:val="auto"/>
          <w:lang w:eastAsia="zh-CN"/>
        </w:rPr>
        <w:t>七、</w:t>
      </w:r>
      <w:r>
        <w:rPr>
          <w:color w:val="auto"/>
        </w:rPr>
        <w:t>存在的问题及原因分析</w:t>
      </w:r>
      <w:bookmarkEnd w:id="3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（一）档案管理不规范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kern w:val="2"/>
          <w:sz w:val="32"/>
          <w:szCs w:val="32"/>
          <w:lang w:val="en-US" w:eastAsia="zh-CN" w:bidi="zh-CN"/>
        </w:rPr>
      </w:pPr>
      <w:r>
        <w:rPr>
          <w:rFonts w:hint="eastAsia" w:ascii="仿宋_GB2312" w:hAnsi="仿宋_GB2312" w:eastAsia="仿宋_GB2312" w:cs="仿宋_GB2312"/>
          <w:b w:val="0"/>
          <w:bCs/>
          <w:kern w:val="2"/>
          <w:sz w:val="32"/>
          <w:szCs w:val="32"/>
          <w:lang w:val="en-US" w:eastAsia="zh-CN" w:bidi="zh-CN"/>
        </w:rPr>
        <w:t>根据现场调研及与主管部门座谈了解到，各县（区）民政部门未形成包含上级财政拨款银行转账凭证、本级财政拨付银行转账凭证、困难群众拨付明细银行转账凭证等资金拨付的统一标准的低保及特困补助资金的发放台账等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b w:val="0"/>
          <w:bCs/>
          <w:kern w:val="2"/>
          <w:sz w:val="32"/>
          <w:szCs w:val="32"/>
          <w:lang w:val="en-US" w:eastAsia="zh-CN" w:bidi="zh-CN"/>
        </w:rPr>
      </w:pPr>
      <w:r>
        <w:rPr>
          <w:rFonts w:hint="eastAsia" w:ascii="仿宋_GB2312" w:hAnsi="仿宋_GB2312" w:eastAsia="仿宋_GB2312" w:cs="仿宋_GB2312"/>
          <w:b w:val="0"/>
          <w:bCs/>
          <w:kern w:val="2"/>
          <w:sz w:val="32"/>
          <w:szCs w:val="32"/>
          <w:lang w:val="en-US" w:eastAsia="zh-CN" w:bidi="zh-CN"/>
        </w:rPr>
        <w:t>部门档案资料保管基本齐全，但现场调研中发现，部分档案资料中家庭地址、身份证号码等基本信息及家庭收入情况和刚性支出情况等重要信息存在缺失。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（二）信息数据跨区域共享难、家庭财产收支核查认定难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kern w:val="2"/>
          <w:sz w:val="32"/>
          <w:szCs w:val="32"/>
          <w:lang w:val="en-US" w:eastAsia="zh-CN" w:bidi="zh-CN"/>
        </w:rPr>
      </w:pPr>
      <w:r>
        <w:rPr>
          <w:rFonts w:hint="eastAsia" w:ascii="仿宋_GB2312" w:hAnsi="仿宋_GB2312" w:eastAsia="仿宋_GB2312" w:cs="仿宋_GB2312"/>
          <w:b w:val="0"/>
          <w:bCs/>
          <w:kern w:val="2"/>
          <w:sz w:val="32"/>
          <w:szCs w:val="32"/>
          <w:lang w:val="en-US" w:eastAsia="zh-CN" w:bidi="zh-CN"/>
        </w:rPr>
        <w:t>通过与各县（区）民政部门及乡镇人民政府（街道办事处）工作人员的沟通确定，家庭财产收支核查时对个人现金资产、微信及支付宝等资产的查询受限较多，跨区域信息共享尚未实现，救助对象在其他省份的房产、金融、社保等涉及家庭财产收支状况的信息存在较大盲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kern w:val="2"/>
          <w:sz w:val="32"/>
          <w:szCs w:val="32"/>
          <w:lang w:val="en-US" w:eastAsia="zh-CN" w:bidi="zh-CN"/>
        </w:rPr>
      </w:pPr>
      <w:r>
        <w:rPr>
          <w:rFonts w:hint="eastAsia" w:ascii="仿宋_GB2312" w:hAnsi="仿宋_GB2312" w:eastAsia="仿宋_GB2312" w:cs="仿宋_GB2312"/>
          <w:b w:val="0"/>
          <w:bCs/>
          <w:kern w:val="2"/>
          <w:sz w:val="32"/>
          <w:szCs w:val="32"/>
          <w:lang w:val="en-US" w:eastAsia="zh-CN" w:bidi="zh-CN"/>
        </w:rPr>
        <w:t>当地城乡人力资源市场和收入情况因为当地经济发展和不同岗位或公司待遇存在出入，权衡确定当地行业收入基本标准存在因为时间、个人主观意识判断等多方面因素干扰的问题，易导致家庭财产收支核查认定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（三）部分困难群众基本生活保障水平有待提高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hAnsiTheme="minorHAnsi" w:cstheme="minorBidi"/>
          <w:b w:val="0"/>
          <w:kern w:val="2"/>
          <w:sz w:val="32"/>
          <w:szCs w:val="32"/>
          <w:lang w:val="en-US" w:eastAsia="zh-CN" w:bidi="ar-SA"/>
        </w:rPr>
      </w:pPr>
      <w:r>
        <w:rPr>
          <w:rFonts w:hint="eastAsia" w:ascii="仿宋_GB2312" w:eastAsia="仿宋_GB2312" w:cstheme="minorBidi"/>
          <w:b w:val="0"/>
          <w:kern w:val="2"/>
          <w:sz w:val="32"/>
          <w:szCs w:val="32"/>
          <w:lang w:val="en-US" w:eastAsia="zh-CN" w:bidi="ar-SA"/>
        </w:rPr>
        <w:t>通过现场调研及与各区县民政局、乡镇人民政府（街道办事处）工作人员的沟通，城乡最低生活保障人员有很大比例是因老、幼、病、残等丧失劳动能力的人医疗费用等支出占家庭开支的比例较大，仅靠发放的低保金或特困金根本无法维持医药等方面大额开支，仅能维持衣食方面开支；</w:t>
      </w:r>
      <w:r>
        <w:rPr>
          <w:rFonts w:hint="eastAsia" w:ascii="仿宋_GB2312" w:hAnsi="仿宋_GB2312" w:eastAsia="仿宋_GB2312" w:cs="仿宋_GB2312"/>
          <w:sz w:val="32"/>
          <w:szCs w:val="32"/>
          <w:lang w:val="en-US" w:eastAsia="zh-CN"/>
        </w:rPr>
        <w:t>有部分救助对象因老、幼、病、残等原因丧失劳动能力导致补助资金无法满足刚性支出情况，或部分救助对象因日常生活的节俭节约导致日常开支较少，对基本生活的改善程度有限。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（四）公示信息不及时、不完整</w:t>
      </w:r>
    </w:p>
    <w:p>
      <w:pPr>
        <w:pStyle w:val="24"/>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firstLine="640" w:firstLineChars="200"/>
        <w:jc w:val="both"/>
        <w:textAlignment w:val="auto"/>
        <w:rPr>
          <w:rFonts w:hint="eastAsia" w:ascii="仿宋_GB2312" w:eastAsia="仿宋_GB2312" w:cstheme="minorBidi"/>
          <w:b w:val="0"/>
          <w:kern w:val="2"/>
          <w:sz w:val="32"/>
          <w:szCs w:val="32"/>
          <w:lang w:val="en-US" w:eastAsia="zh-CN" w:bidi="ar-SA"/>
        </w:rPr>
      </w:pPr>
      <w:r>
        <w:rPr>
          <w:rFonts w:hint="eastAsia" w:ascii="仿宋_GB2312" w:eastAsia="仿宋_GB2312" w:cstheme="minorBidi"/>
          <w:kern w:val="2"/>
          <w:sz w:val="32"/>
          <w:szCs w:val="32"/>
          <w:lang w:val="en-US" w:eastAsia="zh-CN" w:bidi="ar-SA"/>
        </w:rPr>
        <w:t>通过对菏泽市人民政府等官网公示数据的查阅，发现菏泽市第二季度城市低保资金支出和使用情况等信息公示不及时</w:t>
      </w:r>
      <w:r>
        <w:rPr>
          <w:rFonts w:hint="eastAsia" w:ascii="仿宋_GB2312" w:eastAsia="仿宋_GB2312" w:cstheme="minorBidi"/>
          <w:b w:val="0"/>
          <w:kern w:val="2"/>
          <w:sz w:val="32"/>
          <w:szCs w:val="32"/>
          <w:lang w:val="en-US" w:eastAsia="zh-CN" w:bidi="ar-SA"/>
        </w:rPr>
        <w:t>；</w:t>
      </w:r>
      <w:r>
        <w:rPr>
          <w:rFonts w:hint="default" w:ascii="仿宋_GB2312" w:eastAsia="仿宋_GB2312" w:hAnsiTheme="minorHAnsi" w:cstheme="minorBidi"/>
          <w:b w:val="0"/>
          <w:kern w:val="2"/>
          <w:sz w:val="32"/>
          <w:szCs w:val="32"/>
          <w:lang w:val="en-US" w:eastAsia="zh-CN" w:bidi="ar-SA"/>
        </w:rPr>
        <w:t>菏泽市第一季度城市低保资金支出和使用情况</w:t>
      </w:r>
      <w:r>
        <w:rPr>
          <w:rFonts w:hint="eastAsia" w:ascii="仿宋_GB2312" w:eastAsia="仿宋_GB2312" w:cstheme="minorBidi"/>
          <w:b w:val="0"/>
          <w:kern w:val="2"/>
          <w:sz w:val="32"/>
          <w:szCs w:val="32"/>
          <w:lang w:val="en-US" w:eastAsia="zh-CN" w:bidi="ar-SA"/>
        </w:rPr>
        <w:t>等</w:t>
      </w:r>
      <w:r>
        <w:rPr>
          <w:rFonts w:hint="default" w:ascii="仿宋_GB2312" w:eastAsia="仿宋_GB2312" w:hAnsiTheme="minorHAnsi" w:cstheme="minorBidi"/>
          <w:b w:val="0"/>
          <w:kern w:val="2"/>
          <w:sz w:val="32"/>
          <w:szCs w:val="32"/>
          <w:lang w:val="en-US" w:eastAsia="zh-CN" w:bidi="ar-SA"/>
        </w:rPr>
        <w:t>信息内容</w:t>
      </w:r>
      <w:r>
        <w:rPr>
          <w:rFonts w:hint="eastAsia" w:ascii="仿宋_GB2312" w:eastAsia="仿宋_GB2312" w:cstheme="minorBidi"/>
          <w:b w:val="0"/>
          <w:kern w:val="2"/>
          <w:sz w:val="32"/>
          <w:szCs w:val="32"/>
          <w:lang w:val="en-US" w:eastAsia="zh-CN" w:bidi="ar-SA"/>
        </w:rPr>
        <w:t>公示因系统原因等导致未公示，公示信息不完整。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（五）政策宣传不够深入</w:t>
      </w:r>
    </w:p>
    <w:p>
      <w:pPr>
        <w:pStyle w:val="1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cstheme="minorBidi"/>
          <w:b w:val="0"/>
          <w:kern w:val="2"/>
          <w:sz w:val="32"/>
          <w:szCs w:val="32"/>
          <w:lang w:val="en-US" w:eastAsia="zh-CN" w:bidi="ar-SA"/>
        </w:rPr>
      </w:pPr>
      <w:r>
        <w:rPr>
          <w:rFonts w:hint="eastAsia" w:ascii="仿宋_GB2312" w:eastAsia="仿宋_GB2312" w:cstheme="minorBidi"/>
          <w:b w:val="0"/>
          <w:kern w:val="2"/>
          <w:sz w:val="32"/>
          <w:szCs w:val="32"/>
          <w:lang w:val="en-US" w:eastAsia="zh-CN" w:bidi="ar-SA"/>
        </w:rPr>
        <w:t>根据现场调研及与各县</w:t>
      </w:r>
      <w:r>
        <w:rPr>
          <w:rFonts w:hint="eastAsia" w:cstheme="minorBidi"/>
          <w:b w:val="0"/>
          <w:kern w:val="2"/>
          <w:sz w:val="32"/>
          <w:szCs w:val="32"/>
          <w:lang w:val="en-US" w:eastAsia="zh-CN" w:bidi="ar-SA"/>
        </w:rPr>
        <w:t>（区）</w:t>
      </w:r>
      <w:r>
        <w:rPr>
          <w:rFonts w:hint="eastAsia" w:ascii="仿宋_GB2312" w:eastAsia="仿宋_GB2312" w:cstheme="minorBidi"/>
          <w:b w:val="0"/>
          <w:kern w:val="2"/>
          <w:sz w:val="32"/>
          <w:szCs w:val="32"/>
          <w:lang w:val="en-US" w:eastAsia="zh-CN" w:bidi="ar-SA"/>
        </w:rPr>
        <w:t>民政局、乡镇人民政府（街道办事处）工作人员的沟通了解到，</w:t>
      </w:r>
      <w:r>
        <w:rPr>
          <w:rFonts w:hint="eastAsia" w:cstheme="minorBidi"/>
          <w:b w:val="0"/>
          <w:kern w:val="2"/>
          <w:sz w:val="32"/>
          <w:szCs w:val="32"/>
          <w:lang w:val="en-US" w:eastAsia="zh-CN" w:bidi="ar-SA"/>
        </w:rPr>
        <w:t>部分村（委）会公示信息因大风、雨水等天气原因导致纸质公示单破损，公示信息未满7天，未能达到《菏泽市最低生活保障管理办法》</w:t>
      </w:r>
      <w:r>
        <w:rPr>
          <w:rFonts w:hint="eastAsia" w:ascii="仿宋_GB2312" w:eastAsia="仿宋_GB2312"/>
          <w:kern w:val="2"/>
          <w:sz w:val="32"/>
          <w:szCs w:val="32"/>
        </w:rPr>
        <w:t>（菏民</w:t>
      </w:r>
      <w:r>
        <w:rPr>
          <w:rFonts w:hint="eastAsia"/>
          <w:kern w:val="2"/>
          <w:sz w:val="32"/>
          <w:szCs w:val="32"/>
          <w:lang w:eastAsia="zh-CN"/>
        </w:rPr>
        <w:t>〔2020〕</w:t>
      </w:r>
      <w:r>
        <w:rPr>
          <w:rFonts w:hint="eastAsia" w:ascii="仿宋_GB2312" w:eastAsia="仿宋_GB2312"/>
          <w:kern w:val="2"/>
          <w:sz w:val="32"/>
          <w:szCs w:val="32"/>
        </w:rPr>
        <w:t>17号）</w:t>
      </w:r>
      <w:r>
        <w:rPr>
          <w:rFonts w:hint="eastAsia" w:cstheme="minorBidi"/>
          <w:b w:val="0"/>
          <w:kern w:val="2"/>
          <w:sz w:val="32"/>
          <w:szCs w:val="32"/>
          <w:lang w:val="en-US" w:eastAsia="zh-CN" w:bidi="ar-SA"/>
        </w:rPr>
        <w:t>等文件要求的公示期限，新政策宣传不够深入</w:t>
      </w:r>
      <w:r>
        <w:rPr>
          <w:rFonts w:hint="eastAsia" w:ascii="仿宋_GB2312" w:eastAsia="仿宋_GB2312" w:cstheme="minorBidi"/>
          <w:b w:val="0"/>
          <w:kern w:val="2"/>
          <w:sz w:val="32"/>
          <w:szCs w:val="32"/>
          <w:lang w:val="en-US" w:eastAsia="zh-CN" w:bidi="ar-SA"/>
        </w:rPr>
        <w:t>，部分老年人甚至没有手机或电视等接触外界信息的工具</w:t>
      </w:r>
      <w:r>
        <w:rPr>
          <w:rFonts w:hint="eastAsia" w:cstheme="minorBidi"/>
          <w:b w:val="0"/>
          <w:kern w:val="2"/>
          <w:sz w:val="32"/>
          <w:szCs w:val="32"/>
          <w:lang w:val="en-US" w:eastAsia="zh-CN" w:bidi="ar-SA"/>
        </w:rPr>
        <w:t>等原因导致出现有些低保户及特困人员不清楚最新的城乡居民最低生活保障及农村特困人员救助供养相关政策执行标准，仅知道有此类救助补贴的现象。</w:t>
      </w:r>
    </w:p>
    <w:p>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630" w:leftChars="0"/>
        <w:textAlignment w:val="auto"/>
        <w:rPr>
          <w:rFonts w:hint="default" w:ascii="仿宋_GB2312" w:hAnsi="仿宋_GB2312" w:eastAsia="仿宋_GB2312" w:cs="仿宋_GB2312"/>
          <w:color w:val="000000"/>
          <w:kern w:val="2"/>
          <w:sz w:val="32"/>
          <w:szCs w:val="32"/>
          <w:lang w:val="en-US" w:eastAsia="zh-CN" w:bidi="zh-CN"/>
        </w:rPr>
      </w:pPr>
      <w:bookmarkStart w:id="32" w:name="_Toc4576"/>
      <w:r>
        <w:rPr>
          <w:rFonts w:hint="eastAsia"/>
          <w:color w:val="auto"/>
          <w:lang w:eastAsia="zh-CN"/>
        </w:rPr>
        <w:t>七、</w:t>
      </w:r>
      <w:r>
        <w:rPr>
          <w:color w:val="auto"/>
        </w:rPr>
        <w:t>意见建议</w:t>
      </w:r>
      <w:bookmarkEnd w:id="32"/>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000000"/>
          <w:kern w:val="2"/>
          <w:sz w:val="32"/>
          <w:szCs w:val="32"/>
          <w:lang w:val="en-US" w:eastAsia="zh-CN" w:bidi="zh-CN"/>
        </w:rPr>
      </w:pPr>
      <w:r>
        <w:rPr>
          <w:rFonts w:hint="eastAsia" w:ascii="楷体_GB2312" w:hAnsi="楷体_GB2312" w:eastAsia="楷体_GB2312" w:cs="楷体_GB2312"/>
          <w:b w:val="0"/>
          <w:bCs w:val="0"/>
          <w:color w:val="auto"/>
          <w:kern w:val="2"/>
          <w:sz w:val="32"/>
          <w:szCs w:val="32"/>
          <w:lang w:val="en-US" w:eastAsia="zh-CN" w:bidi="ar-SA"/>
        </w:rPr>
        <w:t>（一）完善档案管理工作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000000"/>
          <w:kern w:val="2"/>
          <w:sz w:val="32"/>
          <w:szCs w:val="32"/>
          <w:lang w:val="en-US" w:eastAsia="zh-CN" w:bidi="zh-CN"/>
        </w:rPr>
      </w:pPr>
      <w:r>
        <w:rPr>
          <w:rFonts w:hint="eastAsia" w:ascii="仿宋_GB2312" w:hAnsi="仿宋_GB2312" w:eastAsia="仿宋_GB2312" w:cs="仿宋_GB2312"/>
          <w:color w:val="000000"/>
          <w:kern w:val="2"/>
          <w:sz w:val="32"/>
          <w:szCs w:val="32"/>
          <w:lang w:val="en-US" w:eastAsia="zh-CN" w:bidi="zh-CN"/>
        </w:rPr>
        <w:t>建议主管部门加强档案主要是审批类档案、日常管理类档案、财务类档案的规范化管理。做好各个环节的档案收集、整理、归档工作，建立、健全档案材料。确保档案齐全完整、统一规范、安全有序。档案资料不得随意涂改、变更和销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（二）加快信息化建设、推动实现数据共享</w:t>
      </w:r>
    </w:p>
    <w:p>
      <w:pPr>
        <w:pStyle w:val="7"/>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cs="仿宋_GB2312"/>
          <w:color w:val="000000"/>
          <w:kern w:val="2"/>
          <w:sz w:val="32"/>
          <w:szCs w:val="32"/>
          <w:lang w:val="en-US" w:eastAsia="zh-CN" w:bidi="zh-CN"/>
        </w:rPr>
      </w:pPr>
      <w:r>
        <w:rPr>
          <w:rFonts w:hint="eastAsia" w:ascii="仿宋_GB2312" w:hAnsi="仿宋_GB2312" w:eastAsia="仿宋_GB2312" w:cs="仿宋_GB2312"/>
          <w:color w:val="000000"/>
          <w:kern w:val="2"/>
          <w:sz w:val="32"/>
          <w:szCs w:val="32"/>
          <w:lang w:val="en-US" w:eastAsia="zh-CN" w:bidi="zh-CN"/>
        </w:rPr>
        <w:t>建议菏泽市民政局加快城乡</w:t>
      </w:r>
      <w:r>
        <w:rPr>
          <w:rFonts w:hint="eastAsia" w:ascii="仿宋_GB2312" w:hAnsi="仿宋_GB2312" w:cs="仿宋_GB2312"/>
          <w:color w:val="000000"/>
          <w:kern w:val="2"/>
          <w:sz w:val="32"/>
          <w:szCs w:val="32"/>
          <w:lang w:val="en-US" w:eastAsia="zh-CN" w:bidi="zh-CN"/>
        </w:rPr>
        <w:t>居民最低生活保障</w:t>
      </w:r>
      <w:r>
        <w:rPr>
          <w:rFonts w:hint="eastAsia" w:ascii="仿宋_GB2312" w:hAnsi="仿宋_GB2312" w:eastAsia="仿宋_GB2312" w:cs="仿宋_GB2312"/>
          <w:color w:val="000000"/>
          <w:kern w:val="2"/>
          <w:sz w:val="32"/>
          <w:szCs w:val="32"/>
          <w:lang w:val="en-US" w:eastAsia="zh-CN" w:bidi="zh-CN"/>
        </w:rPr>
        <w:t>及农村特困人员救助供养相关系统的信息化建设，充分利用系统的多部门联动机制，利用大数据分析，做到数据实时共享。</w:t>
      </w:r>
      <w:r>
        <w:rPr>
          <w:rFonts w:hint="eastAsia" w:ascii="仿宋_GB2312" w:hAnsi="仿宋_GB2312" w:cs="仿宋_GB2312"/>
          <w:color w:val="000000"/>
          <w:kern w:val="2"/>
          <w:sz w:val="32"/>
          <w:szCs w:val="32"/>
          <w:lang w:val="en-US" w:eastAsia="zh-CN" w:bidi="zh-CN"/>
        </w:rPr>
        <w:t>建议市民政局积极推动数据共享机制的完善健全，建立全市、全省乃至全国的数据共享平台，打通与金融、住建、人力资源社会保障等部门的数据自动对接、筛选和匹配，实现对低保及特困人员的实时监测比对，以便及时发现低保及特困人员的财产状况、增减变动等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（三）提高救助供养补助标准、增加救助方式</w:t>
      </w:r>
    </w:p>
    <w:p>
      <w:pPr>
        <w:pStyle w:val="7"/>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cs="仿宋_GB2312"/>
          <w:b w:val="0"/>
          <w:bCs/>
          <w:kern w:val="2"/>
          <w:sz w:val="32"/>
          <w:szCs w:val="32"/>
          <w:lang w:val="en-US" w:eastAsia="zh-CN" w:bidi="zh-CN"/>
        </w:rPr>
      </w:pPr>
      <w:r>
        <w:rPr>
          <w:rFonts w:hint="eastAsia" w:ascii="仿宋_GB2312" w:hAnsi="仿宋_GB2312" w:cs="仿宋_GB2312"/>
          <w:color w:val="000000"/>
          <w:kern w:val="2"/>
          <w:sz w:val="32"/>
          <w:szCs w:val="32"/>
          <w:lang w:val="en-US" w:eastAsia="zh-CN" w:bidi="zh-CN"/>
        </w:rPr>
        <w:t>建议主管部门</w:t>
      </w:r>
      <w:r>
        <w:rPr>
          <w:rFonts w:hint="eastAsia" w:ascii="仿宋_GB2312" w:hAnsi="仿宋_GB2312" w:cs="仿宋_GB2312"/>
          <w:b w:val="0"/>
          <w:bCs/>
          <w:kern w:val="2"/>
          <w:sz w:val="32"/>
          <w:szCs w:val="32"/>
          <w:lang w:val="en-US" w:eastAsia="zh-CN" w:bidi="zh-CN"/>
        </w:rPr>
        <w:t>在菏泽市本市及各区县财政承受能力的基础上尽量提高</w:t>
      </w:r>
      <w:r>
        <w:rPr>
          <w:rFonts w:hint="eastAsia" w:ascii="仿宋_GB2312" w:hAnsi="仿宋_GB2312" w:eastAsia="仿宋_GB2312" w:cs="仿宋_GB2312"/>
          <w:b w:val="0"/>
          <w:bCs/>
          <w:kern w:val="2"/>
          <w:sz w:val="32"/>
          <w:szCs w:val="32"/>
          <w:lang w:val="en-US" w:eastAsia="zh-CN" w:bidi="zh-CN"/>
        </w:rPr>
        <w:t>城</w:t>
      </w:r>
      <w:r>
        <w:rPr>
          <w:rFonts w:hint="eastAsia" w:ascii="仿宋_GB2312" w:hAnsi="仿宋_GB2312" w:cs="仿宋_GB2312"/>
          <w:b w:val="0"/>
          <w:bCs/>
          <w:kern w:val="2"/>
          <w:sz w:val="32"/>
          <w:szCs w:val="32"/>
          <w:lang w:val="en-US" w:eastAsia="zh-CN" w:bidi="zh-CN"/>
        </w:rPr>
        <w:t>乡居民</w:t>
      </w:r>
      <w:r>
        <w:rPr>
          <w:rFonts w:hint="eastAsia" w:ascii="仿宋_GB2312" w:hAnsi="仿宋_GB2312" w:eastAsia="仿宋_GB2312" w:cs="仿宋_GB2312"/>
          <w:b w:val="0"/>
          <w:bCs/>
          <w:kern w:val="2"/>
          <w:sz w:val="32"/>
          <w:szCs w:val="32"/>
          <w:lang w:val="en-US" w:eastAsia="zh-CN" w:bidi="zh-CN"/>
        </w:rPr>
        <w:t>最低生活保障及农村特困人员</w:t>
      </w:r>
      <w:r>
        <w:rPr>
          <w:rFonts w:hint="eastAsia" w:ascii="仿宋_GB2312" w:hAnsi="仿宋_GB2312" w:cs="仿宋_GB2312"/>
          <w:b w:val="0"/>
          <w:bCs/>
          <w:kern w:val="2"/>
          <w:sz w:val="32"/>
          <w:szCs w:val="32"/>
          <w:lang w:val="en-US" w:eastAsia="zh-CN" w:bidi="zh-CN"/>
        </w:rPr>
        <w:t>的</w:t>
      </w:r>
      <w:r>
        <w:rPr>
          <w:rFonts w:hint="eastAsia" w:ascii="仿宋_GB2312" w:hAnsi="仿宋_GB2312" w:eastAsia="仿宋_GB2312" w:cs="仿宋_GB2312"/>
          <w:b w:val="0"/>
          <w:bCs/>
          <w:kern w:val="2"/>
          <w:sz w:val="32"/>
          <w:szCs w:val="32"/>
          <w:lang w:val="en-US" w:eastAsia="zh-CN" w:bidi="zh-CN"/>
        </w:rPr>
        <w:t>救助供养补助</w:t>
      </w:r>
      <w:r>
        <w:rPr>
          <w:rFonts w:hint="eastAsia" w:ascii="仿宋_GB2312" w:hAnsi="仿宋_GB2312" w:cs="仿宋_GB2312"/>
          <w:b w:val="0"/>
          <w:bCs/>
          <w:kern w:val="2"/>
          <w:sz w:val="32"/>
          <w:szCs w:val="32"/>
          <w:lang w:val="en-US" w:eastAsia="zh-CN" w:bidi="zh-CN"/>
        </w:rPr>
        <w:t>标准，从而达到提高</w:t>
      </w:r>
      <w:r>
        <w:rPr>
          <w:rFonts w:hint="eastAsia" w:ascii="仿宋_GB2312" w:hAnsi="仿宋_GB2312" w:eastAsia="仿宋_GB2312" w:cs="仿宋_GB2312"/>
          <w:b w:val="0"/>
          <w:bCs/>
          <w:kern w:val="2"/>
          <w:sz w:val="32"/>
          <w:szCs w:val="32"/>
          <w:lang w:val="en-US" w:eastAsia="zh-CN" w:bidi="zh-CN"/>
        </w:rPr>
        <w:t>城</w:t>
      </w:r>
      <w:r>
        <w:rPr>
          <w:rFonts w:hint="eastAsia" w:ascii="仿宋_GB2312" w:hAnsi="仿宋_GB2312" w:cs="仿宋_GB2312"/>
          <w:b w:val="0"/>
          <w:bCs/>
          <w:kern w:val="2"/>
          <w:sz w:val="32"/>
          <w:szCs w:val="32"/>
          <w:lang w:val="en-US" w:eastAsia="zh-CN" w:bidi="zh-CN"/>
        </w:rPr>
        <w:t>乡低保户</w:t>
      </w:r>
      <w:r>
        <w:rPr>
          <w:rFonts w:hint="eastAsia" w:ascii="仿宋_GB2312" w:hAnsi="仿宋_GB2312" w:eastAsia="仿宋_GB2312" w:cs="仿宋_GB2312"/>
          <w:b w:val="0"/>
          <w:bCs/>
          <w:kern w:val="2"/>
          <w:sz w:val="32"/>
          <w:szCs w:val="32"/>
          <w:lang w:val="en-US" w:eastAsia="zh-CN" w:bidi="zh-CN"/>
        </w:rPr>
        <w:t>及农村特困人员</w:t>
      </w:r>
      <w:r>
        <w:rPr>
          <w:rFonts w:hint="eastAsia" w:ascii="仿宋_GB2312" w:hAnsi="仿宋_GB2312" w:cs="仿宋_GB2312"/>
          <w:b w:val="0"/>
          <w:bCs/>
          <w:kern w:val="2"/>
          <w:sz w:val="32"/>
          <w:szCs w:val="32"/>
          <w:lang w:val="en-US" w:eastAsia="zh-CN" w:bidi="zh-CN"/>
        </w:rPr>
        <w:t>的基本生活水平的目的。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kern w:val="2"/>
          <w:sz w:val="32"/>
          <w:szCs w:val="32"/>
          <w:lang w:val="en-US" w:eastAsia="zh-CN" w:bidi="zh-CN"/>
        </w:rPr>
      </w:pPr>
      <w:r>
        <w:rPr>
          <w:rFonts w:hint="eastAsia" w:ascii="仿宋_GB2312" w:hAnsi="仿宋_GB2312" w:eastAsia="仿宋_GB2312" w:cs="仿宋_GB2312"/>
          <w:b w:val="0"/>
          <w:bCs/>
          <w:kern w:val="2"/>
          <w:sz w:val="32"/>
          <w:szCs w:val="32"/>
          <w:lang w:val="zh-CN" w:eastAsia="zh-CN" w:bidi="zh-CN"/>
        </w:rPr>
        <w:t>实行个人缴费、集体扶持和政府资助相结合的多方筹资机制，针对支出型低保及特困家庭，加大政策倾斜。对部分特别困难的家庭，可以通过县（区）民政局主导，进行社会捐款、对有部分劳动能力的家庭或者个人，通过公益岗位安置、残疾人劳动技能培训等方式，改善城乡低保户及农村特困人员的生活水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（四）提高公示信息的及时性和完整性。</w:t>
      </w:r>
    </w:p>
    <w:p>
      <w:pPr>
        <w:pStyle w:val="7"/>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kern w:val="2"/>
          <w:sz w:val="32"/>
          <w:szCs w:val="32"/>
          <w:lang w:val="en-US" w:eastAsia="zh-CN" w:bidi="zh-CN"/>
        </w:rPr>
      </w:pPr>
      <w:r>
        <w:rPr>
          <w:rFonts w:hint="eastAsia" w:ascii="仿宋_GB2312" w:hAnsi="仿宋_GB2312" w:cs="仿宋_GB2312"/>
          <w:color w:val="000000"/>
          <w:kern w:val="2"/>
          <w:sz w:val="32"/>
          <w:szCs w:val="32"/>
          <w:lang w:val="en-US" w:eastAsia="zh-CN" w:bidi="zh-CN"/>
        </w:rPr>
        <w:t>建议主管部门在菏泽市人民政府等官网后台提交数据前，加强对公示数据的审核、监管工作和数据公示后的复核工作，并将公示信息推送给各区县民政局及乡镇人民政府（街道办事处）的工作人员，在加强工作人员对新政策的了解及学习的基础上，加强了对信息的多重复核，以便确保公示信息发布的及时性和完整性。</w:t>
      </w:r>
    </w:p>
    <w:p>
      <w:pPr>
        <w:pStyle w:val="1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cs="仿宋_GB2312"/>
          <w:color w:val="000000"/>
          <w:kern w:val="2"/>
          <w:sz w:val="32"/>
          <w:szCs w:val="32"/>
          <w:lang w:val="en-US" w:eastAsia="zh-CN" w:bidi="zh-CN"/>
        </w:rPr>
      </w:pPr>
      <w:r>
        <w:rPr>
          <w:rFonts w:hint="eastAsia" w:ascii="楷体_GB2312" w:hAnsi="楷体_GB2312" w:eastAsia="楷体_GB2312" w:cs="楷体_GB2312"/>
          <w:b w:val="0"/>
          <w:bCs w:val="0"/>
          <w:color w:val="auto"/>
          <w:kern w:val="2"/>
          <w:sz w:val="32"/>
          <w:szCs w:val="32"/>
          <w:lang w:val="en-US" w:eastAsia="zh-CN" w:bidi="ar-SA"/>
        </w:rPr>
        <w:t>（五）加强政策宣传力度</w:t>
      </w:r>
    </w:p>
    <w:p>
      <w:pPr>
        <w:pStyle w:val="1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hAnsi="仿宋_GB2312" w:cs="仿宋_GB2312"/>
          <w:color w:val="000000"/>
          <w:kern w:val="2"/>
          <w:sz w:val="32"/>
          <w:szCs w:val="32"/>
          <w:lang w:val="en-US" w:eastAsia="zh-CN" w:bidi="zh-CN"/>
        </w:rPr>
        <w:t>建议主管部门加强对乡镇人民政府（街道办事处）公示栏的监督检查，各乡镇人民政府（街道办事处）及村（委）会通过设置玻璃保护公示栏、公示信息破损及时更换等方式，确保关于城乡低保及特困相关政策、</w:t>
      </w:r>
      <w:r>
        <w:rPr>
          <w:rFonts w:hint="eastAsia" w:cs="仿宋_GB2312"/>
          <w:color w:val="000000"/>
          <w:kern w:val="2"/>
          <w:sz w:val="32"/>
          <w:szCs w:val="32"/>
          <w:lang w:val="en-US" w:eastAsia="zh-CN" w:bidi="zh-CN"/>
        </w:rPr>
        <w:t>救助</w:t>
      </w:r>
      <w:r>
        <w:rPr>
          <w:rFonts w:hint="eastAsia" w:ascii="仿宋_GB2312" w:hAnsi="仿宋_GB2312" w:cs="仿宋_GB2312"/>
          <w:color w:val="000000"/>
          <w:kern w:val="2"/>
          <w:sz w:val="32"/>
          <w:szCs w:val="32"/>
          <w:lang w:val="en-US" w:eastAsia="zh-CN" w:bidi="zh-CN"/>
        </w:rPr>
        <w:t>人</w:t>
      </w:r>
      <w:r>
        <w:rPr>
          <w:rFonts w:hint="eastAsia" w:cs="仿宋_GB2312"/>
          <w:color w:val="000000"/>
          <w:kern w:val="2"/>
          <w:sz w:val="32"/>
          <w:szCs w:val="32"/>
          <w:lang w:val="en-US" w:eastAsia="zh-CN" w:bidi="zh-CN"/>
        </w:rPr>
        <w:t>员</w:t>
      </w:r>
      <w:r>
        <w:rPr>
          <w:rFonts w:hint="eastAsia" w:ascii="仿宋_GB2312" w:hAnsi="仿宋_GB2312" w:cs="仿宋_GB2312"/>
          <w:color w:val="000000"/>
          <w:kern w:val="2"/>
          <w:sz w:val="32"/>
          <w:szCs w:val="32"/>
          <w:lang w:val="en-US" w:eastAsia="zh-CN" w:bidi="zh-CN"/>
        </w:rPr>
        <w:t>相关信息的公示符合</w:t>
      </w:r>
      <w:r>
        <w:rPr>
          <w:rFonts w:hint="eastAsia" w:ascii="仿宋_GB2312" w:eastAsia="仿宋_GB2312"/>
          <w:kern w:val="2"/>
          <w:sz w:val="32"/>
          <w:szCs w:val="32"/>
        </w:rPr>
        <w:t>《菏泽市最低生活保障管理办法》（菏民</w:t>
      </w:r>
      <w:r>
        <w:rPr>
          <w:rFonts w:hint="eastAsia"/>
          <w:kern w:val="2"/>
          <w:sz w:val="32"/>
          <w:szCs w:val="32"/>
          <w:lang w:eastAsia="zh-CN"/>
        </w:rPr>
        <w:t>〔2022〕</w:t>
      </w:r>
      <w:r>
        <w:rPr>
          <w:rFonts w:hint="eastAsia" w:ascii="仿宋_GB2312" w:eastAsia="仿宋_GB2312"/>
          <w:kern w:val="2"/>
          <w:sz w:val="32"/>
          <w:szCs w:val="32"/>
        </w:rPr>
        <w:t>1号）</w:t>
      </w:r>
      <w:r>
        <w:rPr>
          <w:rFonts w:hint="eastAsia"/>
          <w:sz w:val="32"/>
          <w:szCs w:val="32"/>
          <w:lang w:eastAsia="zh-CN"/>
        </w:rPr>
        <w:t>等相关文件的要求。加</w:t>
      </w:r>
      <w:r>
        <w:rPr>
          <w:rFonts w:hint="eastAsia"/>
          <w:sz w:val="32"/>
          <w:szCs w:val="32"/>
          <w:lang w:val="en-US" w:eastAsia="zh-CN"/>
        </w:rPr>
        <w:t>大</w:t>
      </w:r>
      <w:r>
        <w:rPr>
          <w:rFonts w:hint="eastAsia"/>
          <w:sz w:val="32"/>
          <w:szCs w:val="32"/>
          <w:lang w:eastAsia="zh-CN"/>
        </w:rPr>
        <w:t>现场调研及</w:t>
      </w:r>
      <w:r>
        <w:rPr>
          <w:rFonts w:hint="eastAsia"/>
          <w:sz w:val="32"/>
          <w:szCs w:val="32"/>
          <w:lang w:val="en-US" w:eastAsia="zh-CN"/>
        </w:rPr>
        <w:t>入户</w:t>
      </w:r>
      <w:r>
        <w:rPr>
          <w:rFonts w:hint="eastAsia"/>
          <w:sz w:val="32"/>
          <w:szCs w:val="32"/>
          <w:lang w:eastAsia="zh-CN"/>
        </w:rPr>
        <w:t>政策宣传力度，</w:t>
      </w:r>
      <w:r>
        <w:rPr>
          <w:rFonts w:hint="eastAsia"/>
          <w:sz w:val="32"/>
          <w:szCs w:val="32"/>
          <w:lang w:val="en-US" w:eastAsia="zh-CN"/>
        </w:rPr>
        <w:t>提高</w:t>
      </w:r>
      <w:r>
        <w:rPr>
          <w:rFonts w:hint="eastAsia" w:ascii="仿宋_GB2312" w:eastAsia="仿宋_GB2312" w:cstheme="minorBidi"/>
          <w:b w:val="0"/>
          <w:kern w:val="2"/>
          <w:sz w:val="32"/>
          <w:szCs w:val="32"/>
          <w:lang w:val="en-US" w:eastAsia="zh-CN" w:bidi="ar-SA"/>
        </w:rPr>
        <w:t>没有手机或电视等接触外界信息工具</w:t>
      </w:r>
      <w:r>
        <w:rPr>
          <w:rFonts w:hint="eastAsia" w:cstheme="minorBidi"/>
          <w:b w:val="0"/>
          <w:kern w:val="2"/>
          <w:sz w:val="32"/>
          <w:szCs w:val="32"/>
          <w:lang w:val="en-US" w:eastAsia="zh-CN" w:bidi="ar-SA"/>
        </w:rPr>
        <w:t>的老弱等困难群众对政策的认知度。</w:t>
      </w:r>
    </w:p>
    <w:p>
      <w:pPr>
        <w:keepNext w:val="0"/>
        <w:keepLines w:val="0"/>
        <w:pageBreakBefore w:val="0"/>
        <w:widowControl w:val="0"/>
        <w:tabs>
          <w:tab w:val="left" w:pos="312"/>
        </w:tabs>
        <w:kinsoku/>
        <w:wordWrap/>
        <w:overflowPunct/>
        <w:topLinePunct w:val="0"/>
        <w:autoSpaceDE/>
        <w:autoSpaceDN/>
        <w:bidi w:val="0"/>
        <w:adjustRightInd/>
        <w:snapToGrid/>
        <w:spacing w:line="600" w:lineRule="exact"/>
        <w:ind w:left="1598" w:leftChars="304" w:hanging="960" w:hangingChars="300"/>
        <w:textAlignment w:val="auto"/>
        <w:rPr>
          <w:rFonts w:ascii="Times New Roman" w:hAnsi="Times New Roman" w:eastAsia="仿宋_GB2312" w:cs="Times New Roman"/>
          <w:color w:val="auto"/>
          <w:sz w:val="32"/>
          <w:szCs w:val="32"/>
        </w:rPr>
      </w:pPr>
    </w:p>
    <w:p>
      <w:pPr>
        <w:keepNext w:val="0"/>
        <w:keepLines w:val="0"/>
        <w:pageBreakBefore w:val="0"/>
        <w:widowControl w:val="0"/>
        <w:tabs>
          <w:tab w:val="left" w:pos="312"/>
        </w:tabs>
        <w:kinsoku/>
        <w:wordWrap/>
        <w:overflowPunct/>
        <w:topLinePunct w:val="0"/>
        <w:autoSpaceDE/>
        <w:autoSpaceDN/>
        <w:bidi w:val="0"/>
        <w:adjustRightInd/>
        <w:snapToGrid/>
        <w:spacing w:line="600" w:lineRule="exact"/>
        <w:textAlignment w:val="auto"/>
        <w:rPr>
          <w:rFonts w:ascii="Times New Roman" w:hAnsi="Times New Roman" w:eastAsia="仿宋_GB2312" w:cs="Times New Roman"/>
          <w:color w:val="auto"/>
          <w:sz w:val="32"/>
          <w:szCs w:val="32"/>
        </w:rPr>
      </w:pPr>
    </w:p>
    <w:p>
      <w:pPr>
        <w:keepNext w:val="0"/>
        <w:keepLines w:val="0"/>
        <w:pageBreakBefore w:val="0"/>
        <w:widowControl w:val="0"/>
        <w:tabs>
          <w:tab w:val="left" w:pos="312"/>
        </w:tabs>
        <w:kinsoku/>
        <w:wordWrap/>
        <w:overflowPunct/>
        <w:topLinePunct w:val="0"/>
        <w:autoSpaceDE/>
        <w:autoSpaceDN/>
        <w:bidi w:val="0"/>
        <w:adjustRightInd/>
        <w:snapToGrid/>
        <w:spacing w:line="600" w:lineRule="exact"/>
        <w:ind w:left="1598" w:leftChars="304" w:hanging="960" w:hangingChars="300"/>
        <w:textAlignment w:val="auto"/>
        <w:rPr>
          <w:rFonts w:ascii="Times New Roman" w:hAnsi="Times New Roman" w:eastAsia="仿宋_GB2312" w:cs="Times New Roman"/>
          <w:color w:val="auto"/>
          <w:sz w:val="32"/>
          <w:szCs w:val="32"/>
        </w:rPr>
      </w:pPr>
    </w:p>
    <w:p>
      <w:pPr>
        <w:keepNext w:val="0"/>
        <w:keepLines w:val="0"/>
        <w:pageBreakBefore w:val="0"/>
        <w:widowControl w:val="0"/>
        <w:tabs>
          <w:tab w:val="left" w:pos="312"/>
        </w:tabs>
        <w:kinsoku/>
        <w:wordWrap/>
        <w:overflowPunct/>
        <w:topLinePunct w:val="0"/>
        <w:autoSpaceDE/>
        <w:autoSpaceDN/>
        <w:bidi w:val="0"/>
        <w:adjustRightInd/>
        <w:snapToGrid/>
        <w:spacing w:before="60" w:after="120" w:line="600" w:lineRule="exact"/>
        <w:textAlignment w:val="auto"/>
        <w:rPr>
          <w:rFonts w:hint="default" w:eastAsia="仿宋_GB2312"/>
          <w:lang w:val="en-US" w:eastAsia="zh-CN"/>
        </w:rPr>
      </w:pPr>
    </w:p>
    <w:p>
      <w:pPr>
        <w:pStyle w:val="24"/>
        <w:ind w:left="0" w:leftChars="0" w:firstLine="0" w:firstLineChars="0"/>
        <w:rPr>
          <w:rFonts w:hint="default"/>
          <w:lang w:val="en-US" w:eastAsia="zh-CN"/>
        </w:rPr>
      </w:pPr>
      <w:r>
        <w:rPr>
          <w:rFonts w:hint="eastAsia" w:eastAsia="仿宋_GB2312"/>
          <w:lang w:val="en-US" w:eastAsia="zh-CN"/>
        </w:rPr>
        <w:t xml:space="preserve">    </w:t>
      </w: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A02904-2F7D-4330-A013-00C231EFDCA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embedRegular r:id="rId2" w:fontKey="{5B2043EE-597B-4A5C-8A1F-B74BD564871A}"/>
  </w:font>
  <w:font w:name="仿宋_GB2312">
    <w:panose1 w:val="02010609030101010101"/>
    <w:charset w:val="86"/>
    <w:family w:val="modern"/>
    <w:pitch w:val="default"/>
    <w:sig w:usb0="00000001" w:usb1="080E0000" w:usb2="00000000" w:usb3="00000000" w:csb0="00040000" w:csb1="00000000"/>
    <w:embedRegular r:id="rId3" w:fontKey="{9C72E9CC-F07B-4C4E-87A4-4934A886CFDD}"/>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4" w:fontKey="{C98B4FD3-A414-42BD-B92C-4BA3D4DDEC3B}"/>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embedRegular r:id="rId5" w:fontKey="{52ACE0FD-998F-4602-8531-E3B46E7FA0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6498362"/>
    </w:sdtPr>
    <w:sdtEndPr>
      <w:rPr>
        <w:sz w:val="21"/>
        <w:szCs w:val="21"/>
      </w:rPr>
    </w:sdtEndPr>
    <w:sdtContent>
      <w:p>
        <w:pPr>
          <w:pStyle w:val="17"/>
          <w:jc w:val="right"/>
          <w:rPr>
            <w:sz w:val="21"/>
            <w:szCs w:val="21"/>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33 -</w:t>
        </w:r>
        <w:r>
          <w:rPr>
            <w:rFonts w:ascii="宋体" w:hAnsi="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6498362"/>
    </w:sdtPr>
    <w:sdtEndPr>
      <w:rPr>
        <w:sz w:val="21"/>
        <w:szCs w:val="21"/>
      </w:rPr>
    </w:sdtEndPr>
    <w:sdtContent>
      <w:p>
        <w:pPr>
          <w:pStyle w:val="17"/>
          <w:jc w:val="right"/>
          <w:rPr>
            <w:sz w:val="21"/>
            <w:szCs w:val="21"/>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33 -</w:t>
        </w:r>
        <w:r>
          <w:rPr>
            <w:rFonts w:ascii="宋体" w:hAnsi="宋体"/>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757CBB"/>
    <w:multiLevelType w:val="multilevel"/>
    <w:tmpl w:val="53757CBB"/>
    <w:lvl w:ilvl="0" w:tentative="0">
      <w:start w:val="1"/>
      <w:numFmt w:val="chineseCountingThousand"/>
      <w:pStyle w:val="87"/>
      <w:suff w:val="space"/>
      <w:lvlText w:val="%1、"/>
      <w:lvlJc w:val="left"/>
      <w:pPr>
        <w:ind w:left="0" w:firstLine="0"/>
      </w:pPr>
      <w:rPr>
        <w:rFonts w:hint="eastAsia"/>
      </w:rPr>
    </w:lvl>
    <w:lvl w:ilvl="1" w:tentative="0">
      <w:start w:val="1"/>
      <w:numFmt w:val="chineseCountingThousand"/>
      <w:pStyle w:val="86"/>
      <w:suff w:val="space"/>
      <w:lvlText w:val="（%2）"/>
      <w:lvlJc w:val="left"/>
      <w:pPr>
        <w:ind w:left="0" w:firstLine="0"/>
      </w:pPr>
      <w:rPr>
        <w:rFonts w:hint="eastAsia"/>
      </w:rPr>
    </w:lvl>
    <w:lvl w:ilvl="2" w:tentative="0">
      <w:start w:val="1"/>
      <w:numFmt w:val="decimal"/>
      <w:pStyle w:val="85"/>
      <w:suff w:val="space"/>
      <w:lvlText w:val="%3、"/>
      <w:lvlJc w:val="left"/>
      <w:pPr>
        <w:ind w:left="210" w:firstLine="0"/>
      </w:pPr>
      <w:rPr>
        <w:rFonts w:hint="eastAsia"/>
      </w:rPr>
    </w:lvl>
    <w:lvl w:ilvl="3" w:tentative="0">
      <w:start w:val="1"/>
      <w:numFmt w:val="decimal"/>
      <w:pStyle w:val="84"/>
      <w:suff w:val="space"/>
      <w:lvlText w:val="（%4）"/>
      <w:lvlJc w:val="left"/>
      <w:pPr>
        <w:ind w:left="0" w:firstLine="0"/>
      </w:pPr>
      <w:rPr>
        <w:rFonts w:hint="eastAsia"/>
      </w:rPr>
    </w:lvl>
    <w:lvl w:ilvl="4" w:tentative="0">
      <w:start w:val="1"/>
      <w:numFmt w:val="decimal"/>
      <w:pStyle w:val="83"/>
      <w:suff w:val="space"/>
      <w:lvlText w:val="%5）"/>
      <w:lvlJc w:val="left"/>
      <w:pPr>
        <w:ind w:left="0" w:firstLine="0"/>
      </w:pPr>
      <w:rPr>
        <w:rFonts w:hint="eastAsia"/>
      </w:rPr>
    </w:lvl>
    <w:lvl w:ilvl="5" w:tentative="0">
      <w:start w:val="1"/>
      <w:numFmt w:val="lowerRoman"/>
      <w:suff w:val="space"/>
      <w:lvlText w:val="%6"/>
      <w:lvlJc w:val="left"/>
      <w:pPr>
        <w:ind w:left="-22" w:firstLine="0"/>
      </w:pPr>
      <w:rPr>
        <w:rFonts w:hint="eastAsia"/>
      </w:rPr>
    </w:lvl>
    <w:lvl w:ilvl="6" w:tentative="0">
      <w:start w:val="1"/>
      <w:numFmt w:val="lowerRoman"/>
      <w:suff w:val="space"/>
      <w:lvlText w:val="%7）"/>
      <w:lvlJc w:val="left"/>
      <w:pPr>
        <w:ind w:left="0" w:firstLine="0"/>
      </w:pPr>
      <w:rPr>
        <w:rFonts w:hint="default"/>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610671B8"/>
    <w:multiLevelType w:val="multilevel"/>
    <w:tmpl w:val="610671B8"/>
    <w:lvl w:ilvl="0" w:tentative="0">
      <w:start w:val="1"/>
      <w:numFmt w:val="chineseCountingThousand"/>
      <w:pStyle w:val="3"/>
      <w:suff w:val="nothing"/>
      <w:lvlText w:val="%1、"/>
      <w:lvlJc w:val="left"/>
      <w:pPr>
        <w:ind w:left="415" w:hanging="425"/>
      </w:pPr>
      <w:rPr>
        <w:rFonts w:hint="eastAsia"/>
      </w:rPr>
    </w:lvl>
    <w:lvl w:ilvl="1" w:tentative="0">
      <w:start w:val="1"/>
      <w:numFmt w:val="chineseCountingThousand"/>
      <w:pStyle w:val="4"/>
      <w:suff w:val="nothing"/>
      <w:lvlText w:val="（%2）"/>
      <w:lvlJc w:val="left"/>
      <w:pPr>
        <w:ind w:left="979" w:hanging="567"/>
      </w:pPr>
      <w:rPr>
        <w:rFonts w:hint="eastAsia"/>
      </w:rPr>
    </w:lvl>
    <w:lvl w:ilvl="2" w:tentative="0">
      <w:start w:val="1"/>
      <w:numFmt w:val="decimal"/>
      <w:pStyle w:val="5"/>
      <w:suff w:val="nothing"/>
      <w:lvlText w:val="%3. "/>
      <w:lvlJc w:val="left"/>
      <w:pPr>
        <w:ind w:left="992" w:hanging="567"/>
      </w:pPr>
      <w:rPr>
        <w:rFonts w:hint="eastAsia"/>
      </w:rPr>
    </w:lvl>
    <w:lvl w:ilvl="3" w:tentative="0">
      <w:start w:val="1"/>
      <w:numFmt w:val="decimal"/>
      <w:pStyle w:val="6"/>
      <w:suff w:val="nothing"/>
      <w:lvlText w:val="（%4）"/>
      <w:lvlJc w:val="left"/>
      <w:pPr>
        <w:ind w:left="992" w:hanging="425"/>
      </w:pPr>
      <w:rPr>
        <w:rFonts w:hint="eastAsia"/>
      </w:rPr>
    </w:lvl>
    <w:lvl w:ilvl="4" w:tentative="0">
      <w:start w:val="1"/>
      <w:numFmt w:val="decimal"/>
      <w:pStyle w:val="8"/>
      <w:suff w:val="nothing"/>
      <w:lvlText w:val="%5）"/>
      <w:lvlJc w:val="left"/>
      <w:pPr>
        <w:ind w:left="992" w:hanging="113"/>
      </w:pPr>
      <w:rPr>
        <w:rFonts w:hint="eastAsia"/>
      </w:rPr>
    </w:lvl>
    <w:lvl w:ilvl="5" w:tentative="0">
      <w:start w:val="1"/>
      <w:numFmt w:val="decimal"/>
      <w:pStyle w:val="52"/>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YmFiZjI4ZGJmMjViMDZkNTA5ZTljMWE3NmVkZTAifQ=="/>
  </w:docVars>
  <w:rsids>
    <w:rsidRoot w:val="0AE20BD5"/>
    <w:rsid w:val="00015FD7"/>
    <w:rsid w:val="0002605D"/>
    <w:rsid w:val="00026634"/>
    <w:rsid w:val="00035C58"/>
    <w:rsid w:val="0003756A"/>
    <w:rsid w:val="00044534"/>
    <w:rsid w:val="0005304B"/>
    <w:rsid w:val="0005634B"/>
    <w:rsid w:val="00066C9A"/>
    <w:rsid w:val="00071965"/>
    <w:rsid w:val="000723FB"/>
    <w:rsid w:val="00080EB0"/>
    <w:rsid w:val="00083FCC"/>
    <w:rsid w:val="000B4FEE"/>
    <w:rsid w:val="000C0DDB"/>
    <w:rsid w:val="000D60DD"/>
    <w:rsid w:val="000E52A0"/>
    <w:rsid w:val="000E5A47"/>
    <w:rsid w:val="000E6B74"/>
    <w:rsid w:val="000F2B10"/>
    <w:rsid w:val="000F5F7D"/>
    <w:rsid w:val="00102859"/>
    <w:rsid w:val="00102E6B"/>
    <w:rsid w:val="00114DEE"/>
    <w:rsid w:val="00121E22"/>
    <w:rsid w:val="001427B4"/>
    <w:rsid w:val="00147A7E"/>
    <w:rsid w:val="001508C0"/>
    <w:rsid w:val="00155E0B"/>
    <w:rsid w:val="00160AAC"/>
    <w:rsid w:val="00172053"/>
    <w:rsid w:val="001807D4"/>
    <w:rsid w:val="0019781C"/>
    <w:rsid w:val="00197F86"/>
    <w:rsid w:val="001A3651"/>
    <w:rsid w:val="001B24EE"/>
    <w:rsid w:val="001B486E"/>
    <w:rsid w:val="001C1731"/>
    <w:rsid w:val="001C2442"/>
    <w:rsid w:val="001E4440"/>
    <w:rsid w:val="001E5CD8"/>
    <w:rsid w:val="0020492B"/>
    <w:rsid w:val="00207196"/>
    <w:rsid w:val="00211286"/>
    <w:rsid w:val="00222A88"/>
    <w:rsid w:val="00223117"/>
    <w:rsid w:val="00231379"/>
    <w:rsid w:val="0023442A"/>
    <w:rsid w:val="002352F7"/>
    <w:rsid w:val="00235414"/>
    <w:rsid w:val="00237C0D"/>
    <w:rsid w:val="00241BDC"/>
    <w:rsid w:val="00252283"/>
    <w:rsid w:val="002540FB"/>
    <w:rsid w:val="00270F7F"/>
    <w:rsid w:val="00272D30"/>
    <w:rsid w:val="0027484F"/>
    <w:rsid w:val="00277770"/>
    <w:rsid w:val="0028153D"/>
    <w:rsid w:val="002B01E4"/>
    <w:rsid w:val="002B4447"/>
    <w:rsid w:val="002C1F39"/>
    <w:rsid w:val="002C4A12"/>
    <w:rsid w:val="002C597B"/>
    <w:rsid w:val="002D0597"/>
    <w:rsid w:val="002D48A4"/>
    <w:rsid w:val="002E584F"/>
    <w:rsid w:val="002F617F"/>
    <w:rsid w:val="00306E74"/>
    <w:rsid w:val="0031209E"/>
    <w:rsid w:val="00326E74"/>
    <w:rsid w:val="003277D9"/>
    <w:rsid w:val="00341068"/>
    <w:rsid w:val="0034355A"/>
    <w:rsid w:val="00345EF3"/>
    <w:rsid w:val="00356FCE"/>
    <w:rsid w:val="00376361"/>
    <w:rsid w:val="00390FDC"/>
    <w:rsid w:val="0039624B"/>
    <w:rsid w:val="00397DBF"/>
    <w:rsid w:val="003A1D83"/>
    <w:rsid w:val="003C6515"/>
    <w:rsid w:val="003D3060"/>
    <w:rsid w:val="003D697F"/>
    <w:rsid w:val="003F7CFE"/>
    <w:rsid w:val="00422BFD"/>
    <w:rsid w:val="004408E8"/>
    <w:rsid w:val="0044550C"/>
    <w:rsid w:val="004531F9"/>
    <w:rsid w:val="00457F24"/>
    <w:rsid w:val="00465A90"/>
    <w:rsid w:val="00477F73"/>
    <w:rsid w:val="00480444"/>
    <w:rsid w:val="004809B6"/>
    <w:rsid w:val="00486064"/>
    <w:rsid w:val="00493F68"/>
    <w:rsid w:val="004A5E40"/>
    <w:rsid w:val="004D5BB2"/>
    <w:rsid w:val="004E2267"/>
    <w:rsid w:val="004F2B0B"/>
    <w:rsid w:val="004F4DA8"/>
    <w:rsid w:val="00500BCF"/>
    <w:rsid w:val="00517812"/>
    <w:rsid w:val="005228FD"/>
    <w:rsid w:val="00523317"/>
    <w:rsid w:val="0054016F"/>
    <w:rsid w:val="00546D71"/>
    <w:rsid w:val="00550DC5"/>
    <w:rsid w:val="00550E35"/>
    <w:rsid w:val="00560594"/>
    <w:rsid w:val="00560DED"/>
    <w:rsid w:val="00561B4E"/>
    <w:rsid w:val="00567BC1"/>
    <w:rsid w:val="00572C70"/>
    <w:rsid w:val="00584F79"/>
    <w:rsid w:val="005A17F7"/>
    <w:rsid w:val="005A493C"/>
    <w:rsid w:val="005A69AD"/>
    <w:rsid w:val="005B36E6"/>
    <w:rsid w:val="005B6F81"/>
    <w:rsid w:val="005C3390"/>
    <w:rsid w:val="005C4184"/>
    <w:rsid w:val="005C7243"/>
    <w:rsid w:val="005D2573"/>
    <w:rsid w:val="005D4D65"/>
    <w:rsid w:val="005E16C6"/>
    <w:rsid w:val="00607F4F"/>
    <w:rsid w:val="00610C44"/>
    <w:rsid w:val="00641035"/>
    <w:rsid w:val="00651E7A"/>
    <w:rsid w:val="00654C99"/>
    <w:rsid w:val="00655890"/>
    <w:rsid w:val="00666A3C"/>
    <w:rsid w:val="00670309"/>
    <w:rsid w:val="00672BF2"/>
    <w:rsid w:val="00681991"/>
    <w:rsid w:val="006B2B83"/>
    <w:rsid w:val="006B5747"/>
    <w:rsid w:val="006B6D34"/>
    <w:rsid w:val="006C0552"/>
    <w:rsid w:val="006D1706"/>
    <w:rsid w:val="006D38B2"/>
    <w:rsid w:val="006E3C10"/>
    <w:rsid w:val="00720FD6"/>
    <w:rsid w:val="00721B37"/>
    <w:rsid w:val="00735104"/>
    <w:rsid w:val="00744BAE"/>
    <w:rsid w:val="00761F17"/>
    <w:rsid w:val="00764721"/>
    <w:rsid w:val="00767A62"/>
    <w:rsid w:val="007B6D71"/>
    <w:rsid w:val="007B7E5C"/>
    <w:rsid w:val="007C1028"/>
    <w:rsid w:val="007C5DBA"/>
    <w:rsid w:val="007D2127"/>
    <w:rsid w:val="007E28FA"/>
    <w:rsid w:val="007E3A23"/>
    <w:rsid w:val="007E5E0E"/>
    <w:rsid w:val="00812819"/>
    <w:rsid w:val="00835CED"/>
    <w:rsid w:val="0084030D"/>
    <w:rsid w:val="008461D5"/>
    <w:rsid w:val="00863877"/>
    <w:rsid w:val="008656D4"/>
    <w:rsid w:val="008730DD"/>
    <w:rsid w:val="00876C42"/>
    <w:rsid w:val="008822AB"/>
    <w:rsid w:val="0088585C"/>
    <w:rsid w:val="008909AF"/>
    <w:rsid w:val="00894671"/>
    <w:rsid w:val="008956E9"/>
    <w:rsid w:val="008A4DAC"/>
    <w:rsid w:val="008C6C52"/>
    <w:rsid w:val="008D7AE9"/>
    <w:rsid w:val="00901195"/>
    <w:rsid w:val="00906CA7"/>
    <w:rsid w:val="00910FBE"/>
    <w:rsid w:val="009136EC"/>
    <w:rsid w:val="009260EF"/>
    <w:rsid w:val="009356A5"/>
    <w:rsid w:val="00944FA3"/>
    <w:rsid w:val="009535A2"/>
    <w:rsid w:val="0096155B"/>
    <w:rsid w:val="00966C29"/>
    <w:rsid w:val="009677C4"/>
    <w:rsid w:val="0097669E"/>
    <w:rsid w:val="00976BE2"/>
    <w:rsid w:val="0098777E"/>
    <w:rsid w:val="00996704"/>
    <w:rsid w:val="009A6EC2"/>
    <w:rsid w:val="009B15D8"/>
    <w:rsid w:val="009B506F"/>
    <w:rsid w:val="009B5C0F"/>
    <w:rsid w:val="009B6DDE"/>
    <w:rsid w:val="009D60D6"/>
    <w:rsid w:val="009E1E0B"/>
    <w:rsid w:val="009E5B2A"/>
    <w:rsid w:val="009F536F"/>
    <w:rsid w:val="00A05231"/>
    <w:rsid w:val="00A134E9"/>
    <w:rsid w:val="00A14193"/>
    <w:rsid w:val="00A21161"/>
    <w:rsid w:val="00A33507"/>
    <w:rsid w:val="00A42809"/>
    <w:rsid w:val="00A7031F"/>
    <w:rsid w:val="00A91104"/>
    <w:rsid w:val="00AA47B5"/>
    <w:rsid w:val="00AA6DFA"/>
    <w:rsid w:val="00AB308A"/>
    <w:rsid w:val="00AD7EE1"/>
    <w:rsid w:val="00B01664"/>
    <w:rsid w:val="00B13345"/>
    <w:rsid w:val="00B172F3"/>
    <w:rsid w:val="00B17597"/>
    <w:rsid w:val="00B253C7"/>
    <w:rsid w:val="00B274E4"/>
    <w:rsid w:val="00B278ED"/>
    <w:rsid w:val="00B4122F"/>
    <w:rsid w:val="00B43AE1"/>
    <w:rsid w:val="00B560EF"/>
    <w:rsid w:val="00B6066B"/>
    <w:rsid w:val="00B76B39"/>
    <w:rsid w:val="00B77990"/>
    <w:rsid w:val="00B82711"/>
    <w:rsid w:val="00B82A5E"/>
    <w:rsid w:val="00B87DFC"/>
    <w:rsid w:val="00B934BC"/>
    <w:rsid w:val="00BA6ED2"/>
    <w:rsid w:val="00BA6F88"/>
    <w:rsid w:val="00BC309C"/>
    <w:rsid w:val="00BC66D0"/>
    <w:rsid w:val="00BC6E4B"/>
    <w:rsid w:val="00BE03D7"/>
    <w:rsid w:val="00BF5B0B"/>
    <w:rsid w:val="00C14179"/>
    <w:rsid w:val="00C149BF"/>
    <w:rsid w:val="00C20481"/>
    <w:rsid w:val="00C30E17"/>
    <w:rsid w:val="00C33583"/>
    <w:rsid w:val="00C47486"/>
    <w:rsid w:val="00C50483"/>
    <w:rsid w:val="00C515BC"/>
    <w:rsid w:val="00C61E14"/>
    <w:rsid w:val="00C61E42"/>
    <w:rsid w:val="00C644F1"/>
    <w:rsid w:val="00C705E2"/>
    <w:rsid w:val="00C71C8D"/>
    <w:rsid w:val="00C74F7D"/>
    <w:rsid w:val="00C7785A"/>
    <w:rsid w:val="00CA53E1"/>
    <w:rsid w:val="00CA7294"/>
    <w:rsid w:val="00CB275E"/>
    <w:rsid w:val="00CB3D5E"/>
    <w:rsid w:val="00CB408E"/>
    <w:rsid w:val="00CC2F11"/>
    <w:rsid w:val="00CC7871"/>
    <w:rsid w:val="00CD2834"/>
    <w:rsid w:val="00CD4695"/>
    <w:rsid w:val="00CD5214"/>
    <w:rsid w:val="00CE7600"/>
    <w:rsid w:val="00CF667B"/>
    <w:rsid w:val="00D3096C"/>
    <w:rsid w:val="00D31D9E"/>
    <w:rsid w:val="00D32DBF"/>
    <w:rsid w:val="00D337C5"/>
    <w:rsid w:val="00D465B1"/>
    <w:rsid w:val="00D56876"/>
    <w:rsid w:val="00D7117A"/>
    <w:rsid w:val="00D74E79"/>
    <w:rsid w:val="00D77F55"/>
    <w:rsid w:val="00D8113E"/>
    <w:rsid w:val="00D87CC9"/>
    <w:rsid w:val="00DB19A9"/>
    <w:rsid w:val="00DB3E06"/>
    <w:rsid w:val="00DC0ECE"/>
    <w:rsid w:val="00DC6363"/>
    <w:rsid w:val="00DE254C"/>
    <w:rsid w:val="00E00E83"/>
    <w:rsid w:val="00E04113"/>
    <w:rsid w:val="00E041C3"/>
    <w:rsid w:val="00E20797"/>
    <w:rsid w:val="00E26AC0"/>
    <w:rsid w:val="00E34DC0"/>
    <w:rsid w:val="00E35F67"/>
    <w:rsid w:val="00E427DD"/>
    <w:rsid w:val="00E449A7"/>
    <w:rsid w:val="00E44B2E"/>
    <w:rsid w:val="00E610CA"/>
    <w:rsid w:val="00E62C74"/>
    <w:rsid w:val="00E75D82"/>
    <w:rsid w:val="00E77708"/>
    <w:rsid w:val="00E81226"/>
    <w:rsid w:val="00E81C14"/>
    <w:rsid w:val="00E83BE9"/>
    <w:rsid w:val="00E9074D"/>
    <w:rsid w:val="00E92046"/>
    <w:rsid w:val="00EA5FA0"/>
    <w:rsid w:val="00EA7EE2"/>
    <w:rsid w:val="00EB2E1B"/>
    <w:rsid w:val="00EC0F3A"/>
    <w:rsid w:val="00EC1253"/>
    <w:rsid w:val="00EC1E23"/>
    <w:rsid w:val="00EC42B2"/>
    <w:rsid w:val="00ED2DE7"/>
    <w:rsid w:val="00EE6246"/>
    <w:rsid w:val="00EE7607"/>
    <w:rsid w:val="00EF1D4A"/>
    <w:rsid w:val="00EF1FA9"/>
    <w:rsid w:val="00EF617B"/>
    <w:rsid w:val="00F065B4"/>
    <w:rsid w:val="00F06736"/>
    <w:rsid w:val="00F076FC"/>
    <w:rsid w:val="00F07713"/>
    <w:rsid w:val="00F14EA6"/>
    <w:rsid w:val="00F175C9"/>
    <w:rsid w:val="00F2089B"/>
    <w:rsid w:val="00F24ACB"/>
    <w:rsid w:val="00F34FBB"/>
    <w:rsid w:val="00F41D49"/>
    <w:rsid w:val="00F46BE6"/>
    <w:rsid w:val="00F802CB"/>
    <w:rsid w:val="00F82897"/>
    <w:rsid w:val="00F8405D"/>
    <w:rsid w:val="00F8643A"/>
    <w:rsid w:val="00F93B5C"/>
    <w:rsid w:val="00F95D73"/>
    <w:rsid w:val="00FA6EF1"/>
    <w:rsid w:val="00FC0398"/>
    <w:rsid w:val="00FC36AB"/>
    <w:rsid w:val="00FF42FB"/>
    <w:rsid w:val="00FF4B3C"/>
    <w:rsid w:val="01477612"/>
    <w:rsid w:val="018E7102"/>
    <w:rsid w:val="01960110"/>
    <w:rsid w:val="01AC2F06"/>
    <w:rsid w:val="02141B97"/>
    <w:rsid w:val="023943F7"/>
    <w:rsid w:val="023B0757"/>
    <w:rsid w:val="028837E7"/>
    <w:rsid w:val="02D25A28"/>
    <w:rsid w:val="031500DE"/>
    <w:rsid w:val="037D5BEA"/>
    <w:rsid w:val="03913B2E"/>
    <w:rsid w:val="03CE781B"/>
    <w:rsid w:val="04347BA6"/>
    <w:rsid w:val="04400656"/>
    <w:rsid w:val="049433A1"/>
    <w:rsid w:val="04B141D9"/>
    <w:rsid w:val="04B435EA"/>
    <w:rsid w:val="04C72F3E"/>
    <w:rsid w:val="04E51841"/>
    <w:rsid w:val="0502023A"/>
    <w:rsid w:val="051903A7"/>
    <w:rsid w:val="052822C9"/>
    <w:rsid w:val="05434E08"/>
    <w:rsid w:val="0567003F"/>
    <w:rsid w:val="05F0788D"/>
    <w:rsid w:val="05FC2DDF"/>
    <w:rsid w:val="06562C27"/>
    <w:rsid w:val="067C4A6D"/>
    <w:rsid w:val="06D65583"/>
    <w:rsid w:val="07007FCA"/>
    <w:rsid w:val="071A4C60"/>
    <w:rsid w:val="072B34F6"/>
    <w:rsid w:val="07592199"/>
    <w:rsid w:val="07693AFB"/>
    <w:rsid w:val="077D1C1C"/>
    <w:rsid w:val="07F277AD"/>
    <w:rsid w:val="07F450C2"/>
    <w:rsid w:val="08031934"/>
    <w:rsid w:val="088F3621"/>
    <w:rsid w:val="08D012EF"/>
    <w:rsid w:val="08F323C0"/>
    <w:rsid w:val="0924062D"/>
    <w:rsid w:val="0A4318C9"/>
    <w:rsid w:val="0A4D3E83"/>
    <w:rsid w:val="0AB73285"/>
    <w:rsid w:val="0AE20BD5"/>
    <w:rsid w:val="0B00194F"/>
    <w:rsid w:val="0B031F0F"/>
    <w:rsid w:val="0B0E7053"/>
    <w:rsid w:val="0B120D1E"/>
    <w:rsid w:val="0BC44B6D"/>
    <w:rsid w:val="0BCC3B47"/>
    <w:rsid w:val="0C06244E"/>
    <w:rsid w:val="0C3539E6"/>
    <w:rsid w:val="0C7F5E8F"/>
    <w:rsid w:val="0CD50C3F"/>
    <w:rsid w:val="0D244F05"/>
    <w:rsid w:val="0DC36100"/>
    <w:rsid w:val="0E3F790F"/>
    <w:rsid w:val="0E4C63B1"/>
    <w:rsid w:val="0E543D2A"/>
    <w:rsid w:val="0E5D0552"/>
    <w:rsid w:val="0E930517"/>
    <w:rsid w:val="0EA03026"/>
    <w:rsid w:val="0EF478BC"/>
    <w:rsid w:val="0F116F55"/>
    <w:rsid w:val="0F1F1F4A"/>
    <w:rsid w:val="0F816DD3"/>
    <w:rsid w:val="0F842080"/>
    <w:rsid w:val="100749D7"/>
    <w:rsid w:val="10A05D6B"/>
    <w:rsid w:val="10B451DF"/>
    <w:rsid w:val="10CA4745"/>
    <w:rsid w:val="11101B8B"/>
    <w:rsid w:val="11111CDD"/>
    <w:rsid w:val="11C21FB4"/>
    <w:rsid w:val="11C62478"/>
    <w:rsid w:val="11C66591"/>
    <w:rsid w:val="11D40A84"/>
    <w:rsid w:val="12026452"/>
    <w:rsid w:val="12A82C12"/>
    <w:rsid w:val="131049CB"/>
    <w:rsid w:val="133439B1"/>
    <w:rsid w:val="135B24FC"/>
    <w:rsid w:val="13726A07"/>
    <w:rsid w:val="13B7041A"/>
    <w:rsid w:val="13CD0509"/>
    <w:rsid w:val="14926ABA"/>
    <w:rsid w:val="149828F5"/>
    <w:rsid w:val="14AB6B35"/>
    <w:rsid w:val="14C62C50"/>
    <w:rsid w:val="14D317E3"/>
    <w:rsid w:val="14DF5A8F"/>
    <w:rsid w:val="14E62CC3"/>
    <w:rsid w:val="153F021E"/>
    <w:rsid w:val="158318A9"/>
    <w:rsid w:val="15960242"/>
    <w:rsid w:val="165D743E"/>
    <w:rsid w:val="170C7722"/>
    <w:rsid w:val="1799242F"/>
    <w:rsid w:val="17C274E6"/>
    <w:rsid w:val="17F82607"/>
    <w:rsid w:val="17FA7DD1"/>
    <w:rsid w:val="1805567E"/>
    <w:rsid w:val="1867702A"/>
    <w:rsid w:val="18B130C3"/>
    <w:rsid w:val="192E6907"/>
    <w:rsid w:val="1951263E"/>
    <w:rsid w:val="195B1D0E"/>
    <w:rsid w:val="19B318F7"/>
    <w:rsid w:val="1A0F34B3"/>
    <w:rsid w:val="1A1D71EF"/>
    <w:rsid w:val="1A3105CE"/>
    <w:rsid w:val="1A342CA3"/>
    <w:rsid w:val="1A6931FC"/>
    <w:rsid w:val="1ADD065E"/>
    <w:rsid w:val="1B9D1D47"/>
    <w:rsid w:val="1BDF46A2"/>
    <w:rsid w:val="1C32512F"/>
    <w:rsid w:val="1C6E5776"/>
    <w:rsid w:val="1C7C6EC2"/>
    <w:rsid w:val="1C7F7166"/>
    <w:rsid w:val="1D250DB1"/>
    <w:rsid w:val="1D272B50"/>
    <w:rsid w:val="1D5F1B88"/>
    <w:rsid w:val="1D870E1F"/>
    <w:rsid w:val="1D8A54A3"/>
    <w:rsid w:val="1DB63515"/>
    <w:rsid w:val="1DF2726F"/>
    <w:rsid w:val="1E2315C8"/>
    <w:rsid w:val="1EBA498A"/>
    <w:rsid w:val="1EFB0244"/>
    <w:rsid w:val="1EFE1DF7"/>
    <w:rsid w:val="1F4A0A40"/>
    <w:rsid w:val="1F6F5BA4"/>
    <w:rsid w:val="1F887663"/>
    <w:rsid w:val="1FAB5F26"/>
    <w:rsid w:val="20093778"/>
    <w:rsid w:val="20131639"/>
    <w:rsid w:val="201347D7"/>
    <w:rsid w:val="204A77D4"/>
    <w:rsid w:val="2079293B"/>
    <w:rsid w:val="20B142AC"/>
    <w:rsid w:val="20B91FC8"/>
    <w:rsid w:val="20C171CE"/>
    <w:rsid w:val="20CE21EA"/>
    <w:rsid w:val="22460B2B"/>
    <w:rsid w:val="227220A8"/>
    <w:rsid w:val="23050237"/>
    <w:rsid w:val="231B65AC"/>
    <w:rsid w:val="23420DC9"/>
    <w:rsid w:val="234E4FB8"/>
    <w:rsid w:val="23B30995"/>
    <w:rsid w:val="23BF69A3"/>
    <w:rsid w:val="2461764D"/>
    <w:rsid w:val="24806486"/>
    <w:rsid w:val="24CC5385"/>
    <w:rsid w:val="251E61BA"/>
    <w:rsid w:val="25A556B3"/>
    <w:rsid w:val="25F95469"/>
    <w:rsid w:val="260F1CFD"/>
    <w:rsid w:val="263A1558"/>
    <w:rsid w:val="26694FDD"/>
    <w:rsid w:val="26760728"/>
    <w:rsid w:val="269E6C28"/>
    <w:rsid w:val="26B148D6"/>
    <w:rsid w:val="26B54329"/>
    <w:rsid w:val="26BD57DE"/>
    <w:rsid w:val="26D56E2F"/>
    <w:rsid w:val="27202BE7"/>
    <w:rsid w:val="2729330D"/>
    <w:rsid w:val="27910876"/>
    <w:rsid w:val="27B26366"/>
    <w:rsid w:val="27BB75DB"/>
    <w:rsid w:val="27D2792B"/>
    <w:rsid w:val="27DE0D65"/>
    <w:rsid w:val="282F5EA4"/>
    <w:rsid w:val="28800F4E"/>
    <w:rsid w:val="28D8195F"/>
    <w:rsid w:val="28F22A1C"/>
    <w:rsid w:val="29125262"/>
    <w:rsid w:val="293B4870"/>
    <w:rsid w:val="293F138C"/>
    <w:rsid w:val="29507F80"/>
    <w:rsid w:val="29BD475E"/>
    <w:rsid w:val="29DD6AA8"/>
    <w:rsid w:val="2A603004"/>
    <w:rsid w:val="2ACF1AC8"/>
    <w:rsid w:val="2B033532"/>
    <w:rsid w:val="2B707E88"/>
    <w:rsid w:val="2B727139"/>
    <w:rsid w:val="2B9B0FFD"/>
    <w:rsid w:val="2C091017"/>
    <w:rsid w:val="2C1715B9"/>
    <w:rsid w:val="2C375E89"/>
    <w:rsid w:val="2CFC6970"/>
    <w:rsid w:val="2D6F5EFC"/>
    <w:rsid w:val="2D90189D"/>
    <w:rsid w:val="2DC85471"/>
    <w:rsid w:val="2E022D8F"/>
    <w:rsid w:val="2E263108"/>
    <w:rsid w:val="2E2D0EEE"/>
    <w:rsid w:val="2E313BA0"/>
    <w:rsid w:val="2E410ADD"/>
    <w:rsid w:val="2E685B62"/>
    <w:rsid w:val="2E7D205E"/>
    <w:rsid w:val="2ED60A50"/>
    <w:rsid w:val="2F172D16"/>
    <w:rsid w:val="2F1C49B5"/>
    <w:rsid w:val="2F5E294A"/>
    <w:rsid w:val="2F99359D"/>
    <w:rsid w:val="2FB11B4A"/>
    <w:rsid w:val="2FE8297F"/>
    <w:rsid w:val="2FEF73B2"/>
    <w:rsid w:val="305869AA"/>
    <w:rsid w:val="306E142B"/>
    <w:rsid w:val="309918FB"/>
    <w:rsid w:val="30EB1E03"/>
    <w:rsid w:val="30F9136E"/>
    <w:rsid w:val="312A33A7"/>
    <w:rsid w:val="318D5597"/>
    <w:rsid w:val="31931D34"/>
    <w:rsid w:val="32B666CF"/>
    <w:rsid w:val="33232682"/>
    <w:rsid w:val="33520F0B"/>
    <w:rsid w:val="33DE704F"/>
    <w:rsid w:val="33DF5CD2"/>
    <w:rsid w:val="34651CB1"/>
    <w:rsid w:val="34E91601"/>
    <w:rsid w:val="35036EA1"/>
    <w:rsid w:val="358E5002"/>
    <w:rsid w:val="35E44477"/>
    <w:rsid w:val="35F2783B"/>
    <w:rsid w:val="35F71D00"/>
    <w:rsid w:val="36C50003"/>
    <w:rsid w:val="3728571C"/>
    <w:rsid w:val="37642AA9"/>
    <w:rsid w:val="37C15134"/>
    <w:rsid w:val="37DB18D5"/>
    <w:rsid w:val="37DD413E"/>
    <w:rsid w:val="37ED3483"/>
    <w:rsid w:val="38891892"/>
    <w:rsid w:val="38E97F6B"/>
    <w:rsid w:val="39E566D4"/>
    <w:rsid w:val="39EA4CDA"/>
    <w:rsid w:val="39EB4DA4"/>
    <w:rsid w:val="39F71FBF"/>
    <w:rsid w:val="3A062290"/>
    <w:rsid w:val="3A2A1003"/>
    <w:rsid w:val="3A755983"/>
    <w:rsid w:val="3AFD410C"/>
    <w:rsid w:val="3B011046"/>
    <w:rsid w:val="3B50793C"/>
    <w:rsid w:val="3B6B398A"/>
    <w:rsid w:val="3B72560D"/>
    <w:rsid w:val="3B9F77BF"/>
    <w:rsid w:val="3BA64FB7"/>
    <w:rsid w:val="3BD0121C"/>
    <w:rsid w:val="3BD433FC"/>
    <w:rsid w:val="3BE91CB2"/>
    <w:rsid w:val="3C2105FF"/>
    <w:rsid w:val="3C4A4CEB"/>
    <w:rsid w:val="3CC91EF6"/>
    <w:rsid w:val="3D2E25E7"/>
    <w:rsid w:val="3D35171C"/>
    <w:rsid w:val="3D3622C1"/>
    <w:rsid w:val="3D3739C7"/>
    <w:rsid w:val="3D5C22DC"/>
    <w:rsid w:val="3D7A7C56"/>
    <w:rsid w:val="3DCB2831"/>
    <w:rsid w:val="3E2D2825"/>
    <w:rsid w:val="3E8D62F1"/>
    <w:rsid w:val="3E9F4C92"/>
    <w:rsid w:val="3ED54482"/>
    <w:rsid w:val="3EF84F31"/>
    <w:rsid w:val="3F04364E"/>
    <w:rsid w:val="3F79307B"/>
    <w:rsid w:val="40AB06F7"/>
    <w:rsid w:val="40EB438E"/>
    <w:rsid w:val="41857C00"/>
    <w:rsid w:val="419D6472"/>
    <w:rsid w:val="41BE3327"/>
    <w:rsid w:val="41CB0E29"/>
    <w:rsid w:val="41E63EBB"/>
    <w:rsid w:val="423E3289"/>
    <w:rsid w:val="42B1716E"/>
    <w:rsid w:val="42CC6BDA"/>
    <w:rsid w:val="42D71FF1"/>
    <w:rsid w:val="42E45268"/>
    <w:rsid w:val="42EF003F"/>
    <w:rsid w:val="43011312"/>
    <w:rsid w:val="4303448A"/>
    <w:rsid w:val="43356F36"/>
    <w:rsid w:val="438A46BC"/>
    <w:rsid w:val="43A510FF"/>
    <w:rsid w:val="43B05E79"/>
    <w:rsid w:val="43B560F7"/>
    <w:rsid w:val="43D519DD"/>
    <w:rsid w:val="43DA7EBE"/>
    <w:rsid w:val="43EF7FFC"/>
    <w:rsid w:val="44133C8E"/>
    <w:rsid w:val="44356FF6"/>
    <w:rsid w:val="446B74F6"/>
    <w:rsid w:val="447C5A07"/>
    <w:rsid w:val="44E10B37"/>
    <w:rsid w:val="44E7160B"/>
    <w:rsid w:val="453472A6"/>
    <w:rsid w:val="45515F33"/>
    <w:rsid w:val="45720925"/>
    <w:rsid w:val="45790D61"/>
    <w:rsid w:val="45831F49"/>
    <w:rsid w:val="459743EB"/>
    <w:rsid w:val="45A831F7"/>
    <w:rsid w:val="45F16D06"/>
    <w:rsid w:val="467B357B"/>
    <w:rsid w:val="46885FE1"/>
    <w:rsid w:val="468F2CC7"/>
    <w:rsid w:val="469F1C70"/>
    <w:rsid w:val="47163501"/>
    <w:rsid w:val="47306A51"/>
    <w:rsid w:val="476A3F40"/>
    <w:rsid w:val="47831EAB"/>
    <w:rsid w:val="478A3BAF"/>
    <w:rsid w:val="479F58F3"/>
    <w:rsid w:val="47A767A5"/>
    <w:rsid w:val="47CD4DEE"/>
    <w:rsid w:val="47D64C73"/>
    <w:rsid w:val="48031F06"/>
    <w:rsid w:val="48C7646F"/>
    <w:rsid w:val="48D81F92"/>
    <w:rsid w:val="491910DC"/>
    <w:rsid w:val="49334F0C"/>
    <w:rsid w:val="497D3CDA"/>
    <w:rsid w:val="49A34E66"/>
    <w:rsid w:val="4A3614CB"/>
    <w:rsid w:val="4A4D41FD"/>
    <w:rsid w:val="4A9973A2"/>
    <w:rsid w:val="4AA454F2"/>
    <w:rsid w:val="4AEA4987"/>
    <w:rsid w:val="4B0C4EAC"/>
    <w:rsid w:val="4B120C4B"/>
    <w:rsid w:val="4B681583"/>
    <w:rsid w:val="4BCC5690"/>
    <w:rsid w:val="4BDC75B8"/>
    <w:rsid w:val="4C4C33AB"/>
    <w:rsid w:val="4C77048D"/>
    <w:rsid w:val="4C7F5FC8"/>
    <w:rsid w:val="4C87540F"/>
    <w:rsid w:val="4D2A1B46"/>
    <w:rsid w:val="4D4E4645"/>
    <w:rsid w:val="4D5E12A1"/>
    <w:rsid w:val="4D8F4E8B"/>
    <w:rsid w:val="4DBB5811"/>
    <w:rsid w:val="4DCE6665"/>
    <w:rsid w:val="4E494638"/>
    <w:rsid w:val="4E5B6952"/>
    <w:rsid w:val="4E6B0B13"/>
    <w:rsid w:val="4E741683"/>
    <w:rsid w:val="4E910618"/>
    <w:rsid w:val="4ECD4B49"/>
    <w:rsid w:val="4ED24C66"/>
    <w:rsid w:val="4F3A03D5"/>
    <w:rsid w:val="4F484E88"/>
    <w:rsid w:val="4F530603"/>
    <w:rsid w:val="4F662654"/>
    <w:rsid w:val="4FDF0473"/>
    <w:rsid w:val="50081CC9"/>
    <w:rsid w:val="506A4ECF"/>
    <w:rsid w:val="50741B61"/>
    <w:rsid w:val="50F26AD7"/>
    <w:rsid w:val="50F83833"/>
    <w:rsid w:val="516B448D"/>
    <w:rsid w:val="51813D85"/>
    <w:rsid w:val="51977E02"/>
    <w:rsid w:val="51A208C2"/>
    <w:rsid w:val="51BC08FD"/>
    <w:rsid w:val="51C57D9B"/>
    <w:rsid w:val="521A1A78"/>
    <w:rsid w:val="524F7250"/>
    <w:rsid w:val="52835652"/>
    <w:rsid w:val="52CC37B8"/>
    <w:rsid w:val="52D8304F"/>
    <w:rsid w:val="53446379"/>
    <w:rsid w:val="538A34DA"/>
    <w:rsid w:val="53E6704F"/>
    <w:rsid w:val="53EA0385"/>
    <w:rsid w:val="53F352E9"/>
    <w:rsid w:val="53F727D2"/>
    <w:rsid w:val="540A5265"/>
    <w:rsid w:val="54410EC7"/>
    <w:rsid w:val="544A339B"/>
    <w:rsid w:val="548D62D9"/>
    <w:rsid w:val="54A67464"/>
    <w:rsid w:val="55637BA0"/>
    <w:rsid w:val="558C32B3"/>
    <w:rsid w:val="55A14B6B"/>
    <w:rsid w:val="55AC27BB"/>
    <w:rsid w:val="55BF6EB9"/>
    <w:rsid w:val="55D40A43"/>
    <w:rsid w:val="55EA5FA3"/>
    <w:rsid w:val="55EC4509"/>
    <w:rsid w:val="55FF3B0B"/>
    <w:rsid w:val="562D1312"/>
    <w:rsid w:val="563E6705"/>
    <w:rsid w:val="56605C0D"/>
    <w:rsid w:val="56B561DB"/>
    <w:rsid w:val="56E17F73"/>
    <w:rsid w:val="56E25E0A"/>
    <w:rsid w:val="56E508AC"/>
    <w:rsid w:val="573A66AC"/>
    <w:rsid w:val="578E6747"/>
    <w:rsid w:val="57D76860"/>
    <w:rsid w:val="58065BD8"/>
    <w:rsid w:val="58320C57"/>
    <w:rsid w:val="58942FBE"/>
    <w:rsid w:val="58A7049D"/>
    <w:rsid w:val="593B40CF"/>
    <w:rsid w:val="59BC2C6C"/>
    <w:rsid w:val="5A0A6ACC"/>
    <w:rsid w:val="5A163B12"/>
    <w:rsid w:val="5A6B655E"/>
    <w:rsid w:val="5A735ED2"/>
    <w:rsid w:val="5AA744EA"/>
    <w:rsid w:val="5AB44154"/>
    <w:rsid w:val="5AD919C3"/>
    <w:rsid w:val="5AFB45D4"/>
    <w:rsid w:val="5B294F8E"/>
    <w:rsid w:val="5B871E96"/>
    <w:rsid w:val="5B932D7D"/>
    <w:rsid w:val="5BD26852"/>
    <w:rsid w:val="5BED4139"/>
    <w:rsid w:val="5C1F5F23"/>
    <w:rsid w:val="5C7D791C"/>
    <w:rsid w:val="5CFA1762"/>
    <w:rsid w:val="5D042C87"/>
    <w:rsid w:val="5DB11178"/>
    <w:rsid w:val="5E2F6982"/>
    <w:rsid w:val="5E9E5071"/>
    <w:rsid w:val="5FCB6A8E"/>
    <w:rsid w:val="60026590"/>
    <w:rsid w:val="60337FF4"/>
    <w:rsid w:val="603B2567"/>
    <w:rsid w:val="60756F41"/>
    <w:rsid w:val="608F1AC1"/>
    <w:rsid w:val="608F7BB0"/>
    <w:rsid w:val="60A776BE"/>
    <w:rsid w:val="60E42F7F"/>
    <w:rsid w:val="612C7E8A"/>
    <w:rsid w:val="6133591E"/>
    <w:rsid w:val="616F60AC"/>
    <w:rsid w:val="61723EAB"/>
    <w:rsid w:val="61943B05"/>
    <w:rsid w:val="61A873E8"/>
    <w:rsid w:val="61BE6EE8"/>
    <w:rsid w:val="622B66A7"/>
    <w:rsid w:val="627B5314"/>
    <w:rsid w:val="6291238C"/>
    <w:rsid w:val="62B16BBE"/>
    <w:rsid w:val="62DF2923"/>
    <w:rsid w:val="63BF61F6"/>
    <w:rsid w:val="63D83C4D"/>
    <w:rsid w:val="642524FD"/>
    <w:rsid w:val="644E025E"/>
    <w:rsid w:val="649310FF"/>
    <w:rsid w:val="649C7D27"/>
    <w:rsid w:val="64A62473"/>
    <w:rsid w:val="64FB0F93"/>
    <w:rsid w:val="65AD5EC6"/>
    <w:rsid w:val="65C33F10"/>
    <w:rsid w:val="65CD29F4"/>
    <w:rsid w:val="65D412DE"/>
    <w:rsid w:val="660758C0"/>
    <w:rsid w:val="66141B92"/>
    <w:rsid w:val="663629BF"/>
    <w:rsid w:val="6639593F"/>
    <w:rsid w:val="66630D48"/>
    <w:rsid w:val="66714455"/>
    <w:rsid w:val="6685358B"/>
    <w:rsid w:val="66894119"/>
    <w:rsid w:val="66930C02"/>
    <w:rsid w:val="66F61DA0"/>
    <w:rsid w:val="67012BE5"/>
    <w:rsid w:val="670C2A50"/>
    <w:rsid w:val="679B7968"/>
    <w:rsid w:val="67B80612"/>
    <w:rsid w:val="67C63F62"/>
    <w:rsid w:val="67CE0908"/>
    <w:rsid w:val="68376625"/>
    <w:rsid w:val="685D2DD5"/>
    <w:rsid w:val="68605CCF"/>
    <w:rsid w:val="68C660B3"/>
    <w:rsid w:val="68EC6BCD"/>
    <w:rsid w:val="696F556A"/>
    <w:rsid w:val="69E40BB3"/>
    <w:rsid w:val="6A0F3DD8"/>
    <w:rsid w:val="6A3127BA"/>
    <w:rsid w:val="6A3318A7"/>
    <w:rsid w:val="6AA52718"/>
    <w:rsid w:val="6AD55DE7"/>
    <w:rsid w:val="6AE47331"/>
    <w:rsid w:val="6B103098"/>
    <w:rsid w:val="6B560E7C"/>
    <w:rsid w:val="6B733C89"/>
    <w:rsid w:val="6B815014"/>
    <w:rsid w:val="6B9A5430"/>
    <w:rsid w:val="6BE2023C"/>
    <w:rsid w:val="6C390D93"/>
    <w:rsid w:val="6C5C55B0"/>
    <w:rsid w:val="6C866D4D"/>
    <w:rsid w:val="6CA04BA2"/>
    <w:rsid w:val="6CA65E87"/>
    <w:rsid w:val="6CAD0D8B"/>
    <w:rsid w:val="6CBD4CD6"/>
    <w:rsid w:val="6D75051B"/>
    <w:rsid w:val="6D7E59ED"/>
    <w:rsid w:val="6D96361B"/>
    <w:rsid w:val="6DAF0E7B"/>
    <w:rsid w:val="6DF47575"/>
    <w:rsid w:val="6E203D78"/>
    <w:rsid w:val="6E4D62AB"/>
    <w:rsid w:val="6E7351CC"/>
    <w:rsid w:val="6E8A2052"/>
    <w:rsid w:val="6E99310A"/>
    <w:rsid w:val="6EF05D89"/>
    <w:rsid w:val="6F077525"/>
    <w:rsid w:val="6F9F30B0"/>
    <w:rsid w:val="6FE41EAB"/>
    <w:rsid w:val="70A4791E"/>
    <w:rsid w:val="70D736E4"/>
    <w:rsid w:val="710C4A46"/>
    <w:rsid w:val="7185359C"/>
    <w:rsid w:val="71857F3D"/>
    <w:rsid w:val="71CD7FCC"/>
    <w:rsid w:val="728F5E9C"/>
    <w:rsid w:val="72C50341"/>
    <w:rsid w:val="730735B3"/>
    <w:rsid w:val="732628E3"/>
    <w:rsid w:val="733A3562"/>
    <w:rsid w:val="73784618"/>
    <w:rsid w:val="73845BDB"/>
    <w:rsid w:val="73B42067"/>
    <w:rsid w:val="73F25620"/>
    <w:rsid w:val="748E4D9F"/>
    <w:rsid w:val="74C834CC"/>
    <w:rsid w:val="74ED13E5"/>
    <w:rsid w:val="74F261BD"/>
    <w:rsid w:val="75215CB1"/>
    <w:rsid w:val="75557DCD"/>
    <w:rsid w:val="75A30103"/>
    <w:rsid w:val="75F71366"/>
    <w:rsid w:val="771A3591"/>
    <w:rsid w:val="773D1AF2"/>
    <w:rsid w:val="77B25643"/>
    <w:rsid w:val="787C3C6A"/>
    <w:rsid w:val="78810C15"/>
    <w:rsid w:val="789102F6"/>
    <w:rsid w:val="78E119B2"/>
    <w:rsid w:val="799F5697"/>
    <w:rsid w:val="79B57143"/>
    <w:rsid w:val="79EA280A"/>
    <w:rsid w:val="7A343819"/>
    <w:rsid w:val="7A384934"/>
    <w:rsid w:val="7A5C393B"/>
    <w:rsid w:val="7B30295E"/>
    <w:rsid w:val="7B3E100A"/>
    <w:rsid w:val="7B4210B1"/>
    <w:rsid w:val="7C3960EF"/>
    <w:rsid w:val="7C7E20FF"/>
    <w:rsid w:val="7CD200F7"/>
    <w:rsid w:val="7D3D571D"/>
    <w:rsid w:val="7D9F6497"/>
    <w:rsid w:val="7D9F6D68"/>
    <w:rsid w:val="7DFB7D41"/>
    <w:rsid w:val="7E473189"/>
    <w:rsid w:val="7E491356"/>
    <w:rsid w:val="7E531FC9"/>
    <w:rsid w:val="7EB73853"/>
    <w:rsid w:val="7EC4632E"/>
    <w:rsid w:val="7F220116"/>
    <w:rsid w:val="7F2C2539"/>
    <w:rsid w:val="7F2F6CC1"/>
    <w:rsid w:val="7F7A396A"/>
    <w:rsid w:val="7F846625"/>
    <w:rsid w:val="7FDC2FF7"/>
    <w:rsid w:val="7FF8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2" w:semiHidden="0" w:name="heading 3"/>
    <w:lsdException w:qFormat="1" w:unhideWhenUsed="0" w:uiPriority="3"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iPriority="99"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qFormat="1" w:unhideWhenUsed="0"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3">
    <w:name w:val="heading 1"/>
    <w:basedOn w:val="1"/>
    <w:next w:val="1"/>
    <w:link w:val="34"/>
    <w:qFormat/>
    <w:uiPriority w:val="0"/>
    <w:pPr>
      <w:numPr>
        <w:ilvl w:val="0"/>
        <w:numId w:val="1"/>
      </w:numPr>
      <w:spacing w:before="120" w:after="60"/>
      <w:ind w:left="0" w:firstLine="200"/>
      <w:jc w:val="left"/>
      <w:outlineLvl w:val="0"/>
    </w:pPr>
    <w:rPr>
      <w:rFonts w:eastAsia="黑体"/>
      <w:bCs/>
      <w:kern w:val="44"/>
      <w:sz w:val="32"/>
      <w:szCs w:val="44"/>
    </w:rPr>
  </w:style>
  <w:style w:type="paragraph" w:styleId="4">
    <w:name w:val="heading 2"/>
    <w:basedOn w:val="1"/>
    <w:next w:val="1"/>
    <w:link w:val="35"/>
    <w:qFormat/>
    <w:uiPriority w:val="1"/>
    <w:pPr>
      <w:keepNext/>
      <w:keepLines/>
      <w:numPr>
        <w:ilvl w:val="1"/>
        <w:numId w:val="1"/>
      </w:numPr>
      <w:spacing w:before="120" w:after="60"/>
      <w:ind w:firstLine="0" w:firstLineChars="0"/>
      <w:outlineLvl w:val="1"/>
    </w:pPr>
    <w:rPr>
      <w:rFonts w:asciiTheme="minorHAnsi" w:hAnsiTheme="minorHAnsi" w:cstheme="majorBidi"/>
      <w:b/>
      <w:bCs/>
      <w:szCs w:val="32"/>
    </w:rPr>
  </w:style>
  <w:style w:type="paragraph" w:styleId="5">
    <w:name w:val="heading 3"/>
    <w:basedOn w:val="1"/>
    <w:next w:val="1"/>
    <w:link w:val="33"/>
    <w:qFormat/>
    <w:uiPriority w:val="2"/>
    <w:pPr>
      <w:keepNext/>
      <w:keepLines/>
      <w:numPr>
        <w:ilvl w:val="2"/>
        <w:numId w:val="1"/>
      </w:numPr>
      <w:spacing w:before="120" w:after="60" w:line="500" w:lineRule="exact"/>
      <w:ind w:left="0" w:firstLine="420" w:firstLineChars="200"/>
      <w:outlineLvl w:val="2"/>
    </w:pPr>
    <w:rPr>
      <w:rFonts w:eastAsia="仿宋_GB2312"/>
      <w:b/>
      <w:bCs/>
      <w:sz w:val="28"/>
      <w:szCs w:val="32"/>
    </w:rPr>
  </w:style>
  <w:style w:type="paragraph" w:styleId="6">
    <w:name w:val="heading 4"/>
    <w:basedOn w:val="7"/>
    <w:next w:val="1"/>
    <w:link w:val="36"/>
    <w:qFormat/>
    <w:uiPriority w:val="3"/>
    <w:pPr>
      <w:keepNext/>
      <w:keepLines/>
      <w:numPr>
        <w:ilvl w:val="3"/>
        <w:numId w:val="1"/>
      </w:numPr>
      <w:spacing w:before="120" w:after="60"/>
      <w:ind w:left="0" w:firstLine="200"/>
      <w:outlineLvl w:val="3"/>
    </w:pPr>
    <w:rPr>
      <w:rFonts w:cstheme="majorBidi"/>
      <w:b/>
      <w:bCs/>
    </w:rPr>
  </w:style>
  <w:style w:type="paragraph" w:styleId="8">
    <w:name w:val="heading 5"/>
    <w:basedOn w:val="7"/>
    <w:next w:val="7"/>
    <w:link w:val="37"/>
    <w:unhideWhenUsed/>
    <w:qFormat/>
    <w:uiPriority w:val="9"/>
    <w:pPr>
      <w:keepNext/>
      <w:keepLines/>
      <w:numPr>
        <w:ilvl w:val="4"/>
        <w:numId w:val="1"/>
      </w:numPr>
      <w:spacing w:before="120" w:after="60"/>
      <w:ind w:firstLine="0" w:firstLineChars="0"/>
      <w:outlineLvl w:val="4"/>
    </w:pPr>
    <w:rPr>
      <w:b/>
      <w:bCs/>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left"/>
      <w:outlineLvl w:val="0"/>
    </w:pPr>
    <w:rPr>
      <w:rFonts w:ascii="等线 Light" w:hAnsi="等线 Light" w:eastAsia="仿宋"/>
      <w:b/>
      <w:bCs/>
      <w:szCs w:val="32"/>
    </w:rPr>
  </w:style>
  <w:style w:type="paragraph" w:customStyle="1" w:styleId="7">
    <w:name w:val="闻政正文"/>
    <w:basedOn w:val="1"/>
    <w:link w:val="45"/>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paragraph" w:styleId="9">
    <w:name w:val="Normal Indent"/>
    <w:basedOn w:val="1"/>
    <w:qFormat/>
    <w:uiPriority w:val="0"/>
    <w:pPr>
      <w:ind w:firstLine="420"/>
    </w:pPr>
    <w:rPr>
      <w:sz w:val="14"/>
    </w:rPr>
  </w:style>
  <w:style w:type="paragraph" w:styleId="10">
    <w:name w:val="caption"/>
    <w:basedOn w:val="1"/>
    <w:next w:val="1"/>
    <w:unhideWhenUsed/>
    <w:qFormat/>
    <w:uiPriority w:val="35"/>
    <w:rPr>
      <w:rFonts w:eastAsia="黑体" w:asciiTheme="majorHAnsi" w:hAnsiTheme="majorHAnsi" w:cstheme="majorBidi"/>
      <w:sz w:val="20"/>
      <w:szCs w:val="20"/>
    </w:rPr>
  </w:style>
  <w:style w:type="paragraph" w:styleId="11">
    <w:name w:val="annotation text"/>
    <w:basedOn w:val="1"/>
    <w:link w:val="67"/>
    <w:unhideWhenUsed/>
    <w:qFormat/>
    <w:uiPriority w:val="99"/>
    <w:pPr>
      <w:jc w:val="left"/>
    </w:pPr>
  </w:style>
  <w:style w:type="paragraph" w:styleId="12">
    <w:name w:val="Body Text"/>
    <w:basedOn w:val="1"/>
    <w:next w:val="9"/>
    <w:qFormat/>
    <w:uiPriority w:val="1"/>
    <w:rPr>
      <w:rFonts w:ascii="仿宋_GB2312" w:hAnsi="仿宋_GB2312" w:eastAsia="仿宋_GB2312" w:cs="仿宋_GB2312"/>
      <w:sz w:val="32"/>
      <w:szCs w:val="32"/>
      <w:lang w:val="zh-CN" w:bidi="zh-CN"/>
    </w:rPr>
  </w:style>
  <w:style w:type="paragraph" w:styleId="13">
    <w:name w:val="Body Text Indent"/>
    <w:basedOn w:val="1"/>
    <w:next w:val="1"/>
    <w:semiHidden/>
    <w:unhideWhenUsed/>
    <w:qFormat/>
    <w:uiPriority w:val="99"/>
    <w:pPr>
      <w:spacing w:after="120" w:afterLines="0" w:afterAutospacing="0"/>
      <w:ind w:left="420" w:leftChars="200"/>
    </w:pPr>
  </w:style>
  <w:style w:type="paragraph" w:styleId="14">
    <w:name w:val="toc 3"/>
    <w:basedOn w:val="1"/>
    <w:next w:val="1"/>
    <w:unhideWhenUsed/>
    <w:qFormat/>
    <w:uiPriority w:val="39"/>
    <w:pPr>
      <w:ind w:left="840" w:leftChars="400"/>
    </w:pPr>
  </w:style>
  <w:style w:type="paragraph" w:styleId="15">
    <w:name w:val="endnote text"/>
    <w:basedOn w:val="1"/>
    <w:link w:val="91"/>
    <w:semiHidden/>
    <w:unhideWhenUsed/>
    <w:qFormat/>
    <w:uiPriority w:val="99"/>
    <w:pPr>
      <w:snapToGrid w:val="0"/>
      <w:jc w:val="left"/>
    </w:pPr>
  </w:style>
  <w:style w:type="paragraph" w:styleId="16">
    <w:name w:val="Balloon Text"/>
    <w:basedOn w:val="1"/>
    <w:link w:val="39"/>
    <w:semiHidden/>
    <w:unhideWhenUsed/>
    <w:qFormat/>
    <w:uiPriority w:val="99"/>
    <w:rPr>
      <w:sz w:val="18"/>
      <w:szCs w:val="18"/>
    </w:rPr>
  </w:style>
  <w:style w:type="paragraph" w:styleId="17">
    <w:name w:val="footer"/>
    <w:basedOn w:val="1"/>
    <w:link w:val="40"/>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18">
    <w:name w:val="header"/>
    <w:basedOn w:val="1"/>
    <w:link w:val="6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7"/>
    <w:next w:val="7"/>
    <w:unhideWhenUsed/>
    <w:qFormat/>
    <w:uiPriority w:val="39"/>
    <w:pPr>
      <w:tabs>
        <w:tab w:val="right" w:leader="dot" w:pos="8296"/>
      </w:tabs>
      <w:spacing w:line="460" w:lineRule="exact"/>
      <w:ind w:firstLine="0" w:firstLineChars="0"/>
    </w:pPr>
    <w:rPr>
      <w:b/>
    </w:rPr>
  </w:style>
  <w:style w:type="paragraph" w:styleId="20">
    <w:name w:val="footnote text"/>
    <w:basedOn w:val="1"/>
    <w:link w:val="59"/>
    <w:qFormat/>
    <w:uiPriority w:val="0"/>
    <w:pPr>
      <w:snapToGrid w:val="0"/>
      <w:jc w:val="left"/>
    </w:pPr>
    <w:rPr>
      <w:rFonts w:ascii="Times New Roman" w:hAnsi="Times New Roman" w:eastAsia="仿宋_GB2312"/>
      <w:sz w:val="18"/>
      <w:szCs w:val="18"/>
    </w:rPr>
  </w:style>
  <w:style w:type="paragraph" w:styleId="21">
    <w:name w:val="toc 2"/>
    <w:basedOn w:val="7"/>
    <w:next w:val="7"/>
    <w:unhideWhenUsed/>
    <w:qFormat/>
    <w:uiPriority w:val="39"/>
    <w:pPr>
      <w:tabs>
        <w:tab w:val="right" w:leader="dot" w:pos="8296"/>
      </w:tabs>
      <w:spacing w:line="460" w:lineRule="exact"/>
      <w:ind w:left="200" w:leftChars="200" w:firstLine="0" w:firstLineChars="0"/>
    </w:pPr>
  </w:style>
  <w:style w:type="paragraph" w:styleId="22">
    <w:name w:val="annotation subject"/>
    <w:basedOn w:val="11"/>
    <w:next w:val="11"/>
    <w:link w:val="68"/>
    <w:semiHidden/>
    <w:unhideWhenUsed/>
    <w:qFormat/>
    <w:uiPriority w:val="99"/>
    <w:rPr>
      <w:b/>
      <w:bCs/>
    </w:rPr>
  </w:style>
  <w:style w:type="paragraph" w:styleId="23">
    <w:name w:val="Body Text First Indent"/>
    <w:basedOn w:val="12"/>
    <w:next w:val="24"/>
    <w:qFormat/>
    <w:uiPriority w:val="99"/>
    <w:pPr>
      <w:spacing w:line="360" w:lineRule="auto"/>
      <w:ind w:firstLine="420" w:firstLineChars="100"/>
      <w:jc w:val="left"/>
    </w:pPr>
    <w:rPr>
      <w:b/>
      <w:sz w:val="32"/>
    </w:rPr>
  </w:style>
  <w:style w:type="paragraph" w:styleId="24">
    <w:name w:val="Body Text First Indent 2"/>
    <w:basedOn w:val="13"/>
    <w:next w:val="23"/>
    <w:semiHidden/>
    <w:unhideWhenUsed/>
    <w:qFormat/>
    <w:uiPriority w:val="99"/>
    <w:pPr>
      <w:ind w:firstLine="420" w:firstLineChars="200"/>
    </w:pPr>
  </w:style>
  <w:style w:type="table" w:styleId="26">
    <w:name w:val="Table Grid"/>
    <w:basedOn w:val="25"/>
    <w:qFormat/>
    <w:uiPriority w:val="99"/>
    <w:pPr>
      <w:spacing w:line="300" w:lineRule="exact"/>
      <w:jc w:val="center"/>
    </w:pPr>
    <w:rPr>
      <w:rFonts w:eastAsia="仿宋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styleId="28">
    <w:name w:val="endnote reference"/>
    <w:basedOn w:val="27"/>
    <w:semiHidden/>
    <w:unhideWhenUsed/>
    <w:qFormat/>
    <w:uiPriority w:val="99"/>
    <w:rPr>
      <w:vertAlign w:val="superscript"/>
    </w:rPr>
  </w:style>
  <w:style w:type="character" w:styleId="29">
    <w:name w:val="page number"/>
    <w:unhideWhenUsed/>
    <w:qFormat/>
    <w:uiPriority w:val="99"/>
  </w:style>
  <w:style w:type="character" w:styleId="30">
    <w:name w:val="Hyperlink"/>
    <w:basedOn w:val="27"/>
    <w:unhideWhenUsed/>
    <w:qFormat/>
    <w:uiPriority w:val="99"/>
    <w:rPr>
      <w:color w:val="0563C1" w:themeColor="hyperlink"/>
      <w:u w:val="single"/>
      <w14:textFill>
        <w14:solidFill>
          <w14:schemeClr w14:val="hlink"/>
        </w14:solidFill>
      </w14:textFill>
    </w:rPr>
  </w:style>
  <w:style w:type="character" w:styleId="31">
    <w:name w:val="annotation reference"/>
    <w:basedOn w:val="27"/>
    <w:semiHidden/>
    <w:unhideWhenUsed/>
    <w:qFormat/>
    <w:uiPriority w:val="99"/>
    <w:rPr>
      <w:sz w:val="21"/>
      <w:szCs w:val="21"/>
    </w:rPr>
  </w:style>
  <w:style w:type="character" w:styleId="32">
    <w:name w:val="footnote reference"/>
    <w:qFormat/>
    <w:uiPriority w:val="0"/>
    <w:rPr>
      <w:vertAlign w:val="superscript"/>
    </w:rPr>
  </w:style>
  <w:style w:type="character" w:customStyle="1" w:styleId="33">
    <w:name w:val="标题 3 字符"/>
    <w:basedOn w:val="27"/>
    <w:link w:val="5"/>
    <w:qFormat/>
    <w:uiPriority w:val="2"/>
    <w:rPr>
      <w:rFonts w:eastAsia="仿宋_GB2312" w:cs="Times New Roman" w:asciiTheme="minorHAnsi" w:hAnsiTheme="minorHAnsi"/>
      <w:b/>
      <w:bCs/>
      <w:kern w:val="0"/>
      <w:sz w:val="28"/>
      <w:szCs w:val="32"/>
      <w:lang w:val="zh-CN" w:eastAsia="zh-CN"/>
    </w:rPr>
  </w:style>
  <w:style w:type="character" w:customStyle="1" w:styleId="34">
    <w:name w:val="标题 1 字符"/>
    <w:basedOn w:val="27"/>
    <w:link w:val="3"/>
    <w:qFormat/>
    <w:uiPriority w:val="0"/>
    <w:rPr>
      <w:rFonts w:ascii="Times New Roman" w:hAnsi="Times New Roman" w:eastAsia="黑体" w:cs="Times New Roman"/>
      <w:bCs/>
      <w:kern w:val="44"/>
      <w:sz w:val="32"/>
      <w:szCs w:val="44"/>
      <w:lang w:val="zh-CN" w:eastAsia="zh-CN"/>
    </w:rPr>
  </w:style>
  <w:style w:type="character" w:customStyle="1" w:styleId="35">
    <w:name w:val="标题 2 字符"/>
    <w:basedOn w:val="27"/>
    <w:link w:val="4"/>
    <w:qFormat/>
    <w:uiPriority w:val="1"/>
    <w:rPr>
      <w:rFonts w:eastAsia="仿宋_GB2312" w:asciiTheme="minorHAnsi" w:hAnsiTheme="minorHAnsi" w:cstheme="majorBidi"/>
      <w:b/>
      <w:bCs/>
      <w:kern w:val="0"/>
      <w:sz w:val="28"/>
      <w:szCs w:val="32"/>
      <w:lang w:val="zh-CN" w:eastAsia="zh-CN"/>
    </w:rPr>
  </w:style>
  <w:style w:type="character" w:customStyle="1" w:styleId="36">
    <w:name w:val="标题 4 字符"/>
    <w:basedOn w:val="27"/>
    <w:link w:val="6"/>
    <w:qFormat/>
    <w:uiPriority w:val="3"/>
    <w:rPr>
      <w:rFonts w:ascii="Times New Roman" w:hAnsi="Times New Roman" w:eastAsia="仿宋_GB2312" w:cstheme="majorBidi"/>
      <w:b/>
      <w:bCs/>
      <w:kern w:val="0"/>
      <w:sz w:val="28"/>
      <w:szCs w:val="28"/>
      <w:lang w:val="zh-CN" w:eastAsia="zh-CN"/>
    </w:rPr>
  </w:style>
  <w:style w:type="character" w:customStyle="1" w:styleId="37">
    <w:name w:val="标题 5 字符"/>
    <w:basedOn w:val="27"/>
    <w:link w:val="8"/>
    <w:qFormat/>
    <w:uiPriority w:val="9"/>
    <w:rPr>
      <w:rFonts w:ascii="Times New Roman" w:hAnsi="Times New Roman" w:eastAsia="仿宋_GB2312" w:cs="Times New Roman"/>
      <w:b/>
      <w:bCs/>
      <w:kern w:val="0"/>
      <w:sz w:val="28"/>
      <w:szCs w:val="28"/>
      <w:lang w:val="zh-CN" w:eastAsia="zh-CN"/>
    </w:rPr>
  </w:style>
  <w:style w:type="paragraph" w:customStyle="1" w:styleId="38">
    <w:name w:val="TOC 标题1"/>
    <w:basedOn w:val="3"/>
    <w:next w:val="1"/>
    <w:unhideWhenUsed/>
    <w:qFormat/>
    <w:uiPriority w:val="39"/>
    <w:pPr>
      <w:widowControl/>
      <w:numPr>
        <w:numId w:val="0"/>
      </w:numPr>
      <w:spacing w:before="240" w:after="0" w:line="259" w:lineRule="auto"/>
      <w:outlineLvl w:val="9"/>
    </w:pPr>
    <w:rPr>
      <w:rFonts w:asciiTheme="majorHAnsi" w:hAnsiTheme="majorHAnsi" w:eastAsiaTheme="majorEastAsia" w:cstheme="majorBidi"/>
      <w:b/>
      <w:bCs w:val="0"/>
      <w:color w:val="2F5597" w:themeColor="accent1" w:themeShade="BF"/>
      <w:kern w:val="0"/>
      <w:szCs w:val="32"/>
    </w:rPr>
  </w:style>
  <w:style w:type="character" w:customStyle="1" w:styleId="39">
    <w:name w:val="批注框文本 字符"/>
    <w:basedOn w:val="27"/>
    <w:link w:val="16"/>
    <w:semiHidden/>
    <w:qFormat/>
    <w:uiPriority w:val="99"/>
    <w:rPr>
      <w:sz w:val="18"/>
      <w:szCs w:val="18"/>
    </w:rPr>
  </w:style>
  <w:style w:type="character" w:customStyle="1" w:styleId="40">
    <w:name w:val="页脚 字符"/>
    <w:basedOn w:val="27"/>
    <w:link w:val="17"/>
    <w:qFormat/>
    <w:uiPriority w:val="99"/>
    <w:rPr>
      <w:rFonts w:ascii="Calibri" w:hAnsi="Calibri" w:eastAsia="宋体" w:cs="Times New Roman"/>
      <w:sz w:val="18"/>
      <w:szCs w:val="18"/>
    </w:rPr>
  </w:style>
  <w:style w:type="paragraph" w:customStyle="1" w:styleId="41">
    <w:name w:val="闻政封面标题"/>
    <w:basedOn w:val="1"/>
    <w:next w:val="42"/>
    <w:qFormat/>
    <w:uiPriority w:val="0"/>
    <w:pPr>
      <w:spacing w:before="480" w:after="360"/>
      <w:jc w:val="center"/>
    </w:pPr>
    <w:rPr>
      <w:rFonts w:ascii="Times New Roman" w:hAnsi="Times New Roman" w:eastAsia="黑体" w:cs="Times New Roman"/>
      <w:b/>
      <w:snapToGrid w:val="0"/>
      <w:sz w:val="32"/>
      <w:szCs w:val="24"/>
    </w:rPr>
  </w:style>
  <w:style w:type="paragraph" w:customStyle="1" w:styleId="42">
    <w:name w:val="闻政封面项目信息"/>
    <w:basedOn w:val="1"/>
    <w:next w:val="43"/>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3">
    <w:name w:val="闻政封面完成时间"/>
    <w:basedOn w:val="42"/>
    <w:qFormat/>
    <w:uiPriority w:val="0"/>
    <w:pPr>
      <w:ind w:left="0" w:leftChars="0"/>
      <w:jc w:val="center"/>
    </w:pPr>
    <w:rPr>
      <w:b/>
    </w:rPr>
  </w:style>
  <w:style w:type="paragraph" w:customStyle="1" w:styleId="44">
    <w:name w:val="闻政页码"/>
    <w:qFormat/>
    <w:uiPriority w:val="6"/>
    <w:pPr>
      <w:jc w:val="center"/>
    </w:pPr>
    <w:rPr>
      <w:rFonts w:ascii="Times New Roman" w:hAnsi="Times New Roman" w:eastAsia="Times New Roman" w:cs="Times New Roman"/>
      <w:sz w:val="21"/>
      <w:szCs w:val="28"/>
      <w:lang w:val="en-US" w:eastAsia="zh-CN" w:bidi="ar-SA"/>
    </w:rPr>
  </w:style>
  <w:style w:type="character" w:customStyle="1" w:styleId="45">
    <w:name w:val="闻政正文 Char"/>
    <w:link w:val="7"/>
    <w:qFormat/>
    <w:uiPriority w:val="3"/>
    <w:rPr>
      <w:rFonts w:ascii="Times New Roman" w:hAnsi="Times New Roman" w:eastAsia="仿宋_GB2312" w:cs="Times New Roman"/>
      <w:kern w:val="0"/>
      <w:sz w:val="28"/>
      <w:szCs w:val="28"/>
      <w:lang w:val="zh-CN" w:eastAsia="zh-CN"/>
    </w:rPr>
  </w:style>
  <w:style w:type="paragraph" w:customStyle="1" w:styleId="46">
    <w:name w:val="闻政摘要标题"/>
    <w:basedOn w:val="1"/>
    <w:qFormat/>
    <w:uiPriority w:val="2"/>
    <w:pPr>
      <w:spacing w:before="480" w:after="360"/>
      <w:jc w:val="center"/>
      <w:outlineLvl w:val="0"/>
    </w:pPr>
    <w:rPr>
      <w:rFonts w:ascii="Times New Roman" w:hAnsi="Times New Roman" w:eastAsia="黑体" w:cs="Times New Roman"/>
      <w:b/>
      <w:snapToGrid w:val="0"/>
      <w:sz w:val="32"/>
      <w:szCs w:val="24"/>
    </w:rPr>
  </w:style>
  <w:style w:type="paragraph" w:customStyle="1" w:styleId="47">
    <w:name w:val="闻政图（表）注"/>
    <w:basedOn w:val="1"/>
    <w:link w:val="48"/>
    <w:qFormat/>
    <w:uiPriority w:val="5"/>
    <w:pPr>
      <w:spacing w:before="120"/>
    </w:pPr>
    <w:rPr>
      <w:rFonts w:ascii="Times New Roman" w:hAnsi="Times New Roman" w:eastAsia="仿宋_GB2312" w:cs="Arial"/>
      <w:kern w:val="0"/>
    </w:rPr>
  </w:style>
  <w:style w:type="character" w:customStyle="1" w:styleId="48">
    <w:name w:val="闻政图（表）注 Char"/>
    <w:link w:val="47"/>
    <w:qFormat/>
    <w:uiPriority w:val="5"/>
    <w:rPr>
      <w:rFonts w:ascii="Times New Roman" w:hAnsi="Times New Roman" w:eastAsia="仿宋_GB2312" w:cs="Arial"/>
      <w:kern w:val="0"/>
    </w:rPr>
  </w:style>
  <w:style w:type="paragraph" w:customStyle="1" w:styleId="49">
    <w:name w:val="闻政图表名"/>
    <w:basedOn w:val="1"/>
    <w:link w:val="50"/>
    <w:qFormat/>
    <w:uiPriority w:val="4"/>
    <w:pPr>
      <w:spacing w:before="60" w:after="60"/>
      <w:jc w:val="center"/>
    </w:pPr>
    <w:rPr>
      <w:rFonts w:ascii="Times New Roman" w:hAnsi="Times New Roman" w:eastAsia="仿宋_GB2312" w:cs="Times New Roman"/>
      <w:b/>
      <w:kern w:val="0"/>
      <w:sz w:val="24"/>
      <w:szCs w:val="28"/>
    </w:rPr>
  </w:style>
  <w:style w:type="character" w:customStyle="1" w:styleId="50">
    <w:name w:val="闻政图表名 字符"/>
    <w:link w:val="49"/>
    <w:qFormat/>
    <w:uiPriority w:val="4"/>
    <w:rPr>
      <w:rFonts w:ascii="Times New Roman" w:hAnsi="Times New Roman" w:eastAsia="仿宋_GB2312" w:cs="Times New Roman"/>
      <w:b/>
      <w:kern w:val="0"/>
      <w:sz w:val="24"/>
      <w:szCs w:val="28"/>
    </w:rPr>
  </w:style>
  <w:style w:type="paragraph" w:customStyle="1" w:styleId="51">
    <w:name w:val="闻政备注类"/>
    <w:basedOn w:val="7"/>
    <w:qFormat/>
    <w:uiPriority w:val="5"/>
    <w:pPr>
      <w:spacing w:line="240" w:lineRule="auto"/>
      <w:jc w:val="left"/>
    </w:pPr>
    <w:rPr>
      <w:rFonts w:cs="宋体"/>
      <w:sz w:val="21"/>
    </w:rPr>
  </w:style>
  <w:style w:type="paragraph" w:customStyle="1" w:styleId="52">
    <w:name w:val="闻政附件标题"/>
    <w:basedOn w:val="7"/>
    <w:qFormat/>
    <w:uiPriority w:val="6"/>
    <w:pPr>
      <w:numPr>
        <w:ilvl w:val="5"/>
        <w:numId w:val="1"/>
      </w:numPr>
      <w:spacing w:before="120" w:after="60" w:line="240" w:lineRule="auto"/>
      <w:ind w:firstLineChars="0"/>
      <w:outlineLvl w:val="0"/>
    </w:pPr>
    <w:rPr>
      <w:rFonts w:eastAsia="黑体"/>
      <w:b/>
      <w:sz w:val="32"/>
    </w:rPr>
  </w:style>
  <w:style w:type="paragraph" w:customStyle="1" w:styleId="53">
    <w:name w:val="闻政附件正文"/>
    <w:basedOn w:val="7"/>
    <w:qFormat/>
    <w:uiPriority w:val="6"/>
    <w:rPr>
      <w:sz w:val="24"/>
    </w:rPr>
  </w:style>
  <w:style w:type="paragraph" w:customStyle="1" w:styleId="54">
    <w:name w:val="闻政附件报告名"/>
    <w:basedOn w:val="7"/>
    <w:qFormat/>
    <w:uiPriority w:val="9"/>
    <w:pPr>
      <w:spacing w:before="120" w:after="60"/>
      <w:ind w:firstLine="0" w:firstLineChars="0"/>
      <w:jc w:val="center"/>
    </w:pPr>
    <w:rPr>
      <w:b/>
    </w:rPr>
  </w:style>
  <w:style w:type="paragraph" w:customStyle="1" w:styleId="55">
    <w:name w:val="闻政附件一级标题"/>
    <w:basedOn w:val="54"/>
    <w:next w:val="53"/>
    <w:qFormat/>
    <w:uiPriority w:val="6"/>
    <w:pPr>
      <w:ind w:firstLine="200" w:firstLineChars="200"/>
      <w:jc w:val="left"/>
    </w:pPr>
    <w:rPr>
      <w:rFonts w:cs="宋体"/>
    </w:rPr>
  </w:style>
  <w:style w:type="paragraph" w:customStyle="1" w:styleId="56">
    <w:name w:val="闻政附件二级标题"/>
    <w:basedOn w:val="55"/>
    <w:qFormat/>
    <w:uiPriority w:val="8"/>
    <w:rPr>
      <w:rFonts w:ascii="宋体" w:hAnsi="宋体" w:eastAsia="宋体"/>
    </w:rPr>
  </w:style>
  <w:style w:type="paragraph" w:customStyle="1" w:styleId="57">
    <w:name w:val="闻政附件三级标题"/>
    <w:basedOn w:val="56"/>
    <w:qFormat/>
    <w:uiPriority w:val="8"/>
    <w:rPr>
      <w:rFonts w:ascii="Times New Roman" w:hAnsi="Times New Roman" w:eastAsia="仿宋_GB2312"/>
    </w:rPr>
  </w:style>
  <w:style w:type="paragraph" w:customStyle="1" w:styleId="58">
    <w:name w:val="闻政附件四级标题"/>
    <w:basedOn w:val="57"/>
    <w:qFormat/>
    <w:uiPriority w:val="9"/>
    <w:pPr>
      <w:spacing w:before="0" w:after="0"/>
    </w:pPr>
  </w:style>
  <w:style w:type="character" w:customStyle="1" w:styleId="59">
    <w:name w:val="脚注文本 字符"/>
    <w:basedOn w:val="27"/>
    <w:link w:val="20"/>
    <w:qFormat/>
    <w:uiPriority w:val="0"/>
    <w:rPr>
      <w:rFonts w:ascii="Times New Roman" w:hAnsi="Times New Roman" w:eastAsia="仿宋_GB2312"/>
      <w:sz w:val="18"/>
      <w:szCs w:val="18"/>
    </w:rPr>
  </w:style>
  <w:style w:type="paragraph" w:customStyle="1" w:styleId="60">
    <w:name w:val="闻政脚注"/>
    <w:basedOn w:val="7"/>
    <w:link w:val="89"/>
    <w:qFormat/>
    <w:uiPriority w:val="9"/>
    <w:pPr>
      <w:spacing w:line="400" w:lineRule="exact"/>
      <w:ind w:firstLine="0" w:firstLineChars="0"/>
    </w:pPr>
    <w:rPr>
      <w:sz w:val="18"/>
    </w:rPr>
  </w:style>
  <w:style w:type="paragraph" w:customStyle="1" w:styleId="61">
    <w:name w:val="闻政目录标题"/>
    <w:basedOn w:val="41"/>
    <w:qFormat/>
    <w:uiPriority w:val="1"/>
  </w:style>
  <w:style w:type="character" w:customStyle="1" w:styleId="62">
    <w:name w:val="页眉 字符"/>
    <w:basedOn w:val="27"/>
    <w:link w:val="18"/>
    <w:qFormat/>
    <w:uiPriority w:val="99"/>
    <w:rPr>
      <w:sz w:val="18"/>
      <w:szCs w:val="18"/>
    </w:rPr>
  </w:style>
  <w:style w:type="table" w:customStyle="1" w:styleId="63">
    <w:name w:val="网格型浅色1"/>
    <w:basedOn w:val="2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64">
    <w:name w:val="无格式表格 1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65">
    <w:name w:val="闻政表文字"/>
    <w:basedOn w:val="7"/>
    <w:link w:val="66"/>
    <w:qFormat/>
    <w:uiPriority w:val="5"/>
    <w:pPr>
      <w:widowControl/>
      <w:spacing w:line="320" w:lineRule="exact"/>
      <w:ind w:firstLine="0" w:firstLineChars="0"/>
      <w:jc w:val="center"/>
    </w:pPr>
    <w:rPr>
      <w:rFonts w:cs="宋体"/>
      <w:bCs/>
      <w:color w:val="000000"/>
      <w:sz w:val="22"/>
      <w:szCs w:val="22"/>
    </w:rPr>
  </w:style>
  <w:style w:type="character" w:customStyle="1" w:styleId="66">
    <w:name w:val="闻政表文字 字符"/>
    <w:basedOn w:val="45"/>
    <w:link w:val="65"/>
    <w:qFormat/>
    <w:uiPriority w:val="5"/>
    <w:rPr>
      <w:rFonts w:ascii="Times New Roman" w:hAnsi="Times New Roman" w:eastAsia="仿宋_GB2312" w:cs="宋体"/>
      <w:bCs/>
      <w:color w:val="000000"/>
      <w:kern w:val="0"/>
      <w:sz w:val="22"/>
      <w:szCs w:val="22"/>
      <w:lang w:val="zh-CN" w:eastAsia="zh-CN"/>
    </w:rPr>
  </w:style>
  <w:style w:type="character" w:customStyle="1" w:styleId="67">
    <w:name w:val="批注文字 字符"/>
    <w:basedOn w:val="27"/>
    <w:link w:val="11"/>
    <w:qFormat/>
    <w:uiPriority w:val="99"/>
  </w:style>
  <w:style w:type="character" w:customStyle="1" w:styleId="68">
    <w:name w:val="批注主题 字符"/>
    <w:basedOn w:val="67"/>
    <w:link w:val="22"/>
    <w:semiHidden/>
    <w:qFormat/>
    <w:uiPriority w:val="99"/>
    <w:rPr>
      <w:b/>
      <w:bCs/>
    </w:rPr>
  </w:style>
  <w:style w:type="paragraph" w:customStyle="1" w:styleId="69">
    <w:name w:val="p0"/>
    <w:basedOn w:val="1"/>
    <w:qFormat/>
    <w:uiPriority w:val="0"/>
    <w:rPr>
      <w:rFonts w:ascii="Calibri" w:hAnsi="Calibri"/>
    </w:rPr>
  </w:style>
  <w:style w:type="paragraph" w:customStyle="1" w:styleId="70">
    <w:name w:val="报告正文"/>
    <w:basedOn w:val="1"/>
    <w:qFormat/>
    <w:uiPriority w:val="0"/>
    <w:rPr>
      <w:rFonts w:ascii="Times New Roman" w:hAnsi="Times New Roman"/>
    </w:rPr>
  </w:style>
  <w:style w:type="character" w:customStyle="1" w:styleId="71">
    <w:name w:val="font41"/>
    <w:qFormat/>
    <w:uiPriority w:val="0"/>
    <w:rPr>
      <w:rFonts w:hint="eastAsia" w:ascii="仿宋_GB2312" w:eastAsia="仿宋_GB2312" w:cs="仿宋_GB2312"/>
      <w:color w:val="000000"/>
      <w:sz w:val="22"/>
      <w:szCs w:val="22"/>
      <w:u w:val="none"/>
    </w:rPr>
  </w:style>
  <w:style w:type="paragraph" w:customStyle="1" w:styleId="72">
    <w:name w:val="正文格式"/>
    <w:basedOn w:val="1"/>
    <w:qFormat/>
    <w:uiPriority w:val="0"/>
    <w:pPr>
      <w:spacing w:line="264" w:lineRule="auto"/>
      <w:ind w:firstLine="200" w:firstLineChars="200"/>
    </w:pPr>
    <w:rPr>
      <w:rFonts w:ascii="Times New Roman" w:hAnsi="Times New Roman" w:eastAsia="宋体"/>
      <w:sz w:val="22"/>
      <w:szCs w:val="28"/>
    </w:rPr>
  </w:style>
  <w:style w:type="character" w:customStyle="1" w:styleId="73">
    <w:name w:val="font31"/>
    <w:basedOn w:val="27"/>
    <w:qFormat/>
    <w:uiPriority w:val="0"/>
    <w:rPr>
      <w:rFonts w:ascii="仿宋_GB2312" w:eastAsia="仿宋_GB2312" w:cs="仿宋_GB2312"/>
      <w:b/>
      <w:bCs/>
      <w:color w:val="000000"/>
      <w:sz w:val="22"/>
      <w:szCs w:val="22"/>
      <w:u w:val="none"/>
    </w:rPr>
  </w:style>
  <w:style w:type="character" w:customStyle="1" w:styleId="74">
    <w:name w:val="font11"/>
    <w:basedOn w:val="27"/>
    <w:qFormat/>
    <w:uiPriority w:val="0"/>
    <w:rPr>
      <w:rFonts w:hint="eastAsia" w:ascii="仿宋_GB2312" w:eastAsia="仿宋_GB2312" w:cs="仿宋_GB2312"/>
      <w:color w:val="000000"/>
      <w:sz w:val="22"/>
      <w:szCs w:val="22"/>
      <w:u w:val="none"/>
    </w:rPr>
  </w:style>
  <w:style w:type="character" w:customStyle="1" w:styleId="75">
    <w:name w:val="font51"/>
    <w:basedOn w:val="27"/>
    <w:qFormat/>
    <w:uiPriority w:val="0"/>
    <w:rPr>
      <w:rFonts w:hint="default" w:ascii="Times New Roman" w:hAnsi="Times New Roman" w:cs="Times New Roman"/>
      <w:color w:val="000000"/>
      <w:sz w:val="22"/>
      <w:szCs w:val="22"/>
      <w:u w:val="none"/>
    </w:rPr>
  </w:style>
  <w:style w:type="character" w:customStyle="1" w:styleId="76">
    <w:name w:val="font81"/>
    <w:basedOn w:val="27"/>
    <w:qFormat/>
    <w:uiPriority w:val="0"/>
    <w:rPr>
      <w:rFonts w:ascii="仿宋_GB2312" w:eastAsia="仿宋_GB2312" w:cs="仿宋_GB2312"/>
      <w:b/>
      <w:bCs/>
      <w:color w:val="000000"/>
      <w:sz w:val="22"/>
      <w:szCs w:val="22"/>
      <w:u w:val="none"/>
    </w:rPr>
  </w:style>
  <w:style w:type="character" w:customStyle="1" w:styleId="77">
    <w:name w:val="font91"/>
    <w:basedOn w:val="27"/>
    <w:qFormat/>
    <w:uiPriority w:val="0"/>
    <w:rPr>
      <w:rFonts w:hint="eastAsia" w:ascii="仿宋_GB2312" w:eastAsia="仿宋_GB2312" w:cs="仿宋_GB2312"/>
      <w:b/>
      <w:bCs/>
      <w:color w:val="000000"/>
      <w:sz w:val="22"/>
      <w:szCs w:val="22"/>
      <w:u w:val="none"/>
    </w:rPr>
  </w:style>
  <w:style w:type="character" w:customStyle="1" w:styleId="78">
    <w:name w:val="font101"/>
    <w:basedOn w:val="27"/>
    <w:qFormat/>
    <w:uiPriority w:val="0"/>
    <w:rPr>
      <w:rFonts w:hint="eastAsia" w:ascii="仿宋_GB2312" w:eastAsia="仿宋_GB2312" w:cs="仿宋_GB2312"/>
      <w:color w:val="000000"/>
      <w:sz w:val="22"/>
      <w:szCs w:val="22"/>
      <w:u w:val="none"/>
    </w:rPr>
  </w:style>
  <w:style w:type="character" w:customStyle="1" w:styleId="79">
    <w:name w:val="font112"/>
    <w:basedOn w:val="27"/>
    <w:qFormat/>
    <w:uiPriority w:val="0"/>
    <w:rPr>
      <w:rFonts w:hint="eastAsia" w:ascii="仿宋_GB2312" w:eastAsia="仿宋_GB2312" w:cs="仿宋_GB2312"/>
      <w:color w:val="000000"/>
      <w:sz w:val="22"/>
      <w:szCs w:val="22"/>
      <w:u w:val="none"/>
    </w:rPr>
  </w:style>
  <w:style w:type="character" w:customStyle="1" w:styleId="80">
    <w:name w:val="font21"/>
    <w:basedOn w:val="27"/>
    <w:qFormat/>
    <w:uiPriority w:val="0"/>
    <w:rPr>
      <w:rFonts w:ascii="仿宋_GB2312" w:eastAsia="仿宋_GB2312" w:cs="仿宋_GB2312"/>
      <w:b/>
      <w:bCs/>
      <w:color w:val="000000"/>
      <w:sz w:val="22"/>
      <w:szCs w:val="22"/>
      <w:u w:val="none"/>
    </w:rPr>
  </w:style>
  <w:style w:type="character" w:customStyle="1" w:styleId="81">
    <w:name w:val="font01"/>
    <w:basedOn w:val="27"/>
    <w:qFormat/>
    <w:uiPriority w:val="0"/>
    <w:rPr>
      <w:rFonts w:ascii="仿宋_GB2312" w:eastAsia="仿宋_GB2312" w:cs="仿宋_GB2312"/>
      <w:b/>
      <w:bCs/>
      <w:color w:val="000000"/>
      <w:sz w:val="22"/>
      <w:szCs w:val="22"/>
      <w:u w:val="none"/>
    </w:rPr>
  </w:style>
  <w:style w:type="paragraph" w:customStyle="1" w:styleId="82">
    <w:name w:val="六级标题"/>
    <w:basedOn w:val="83"/>
    <w:next w:val="72"/>
    <w:qFormat/>
    <w:uiPriority w:val="0"/>
    <w:pPr>
      <w:spacing w:before="50" w:after="50"/>
      <w:outlineLvl w:val="5"/>
    </w:pPr>
    <w:rPr>
      <w:rFonts w:hAnsi="Times New Roman"/>
    </w:rPr>
  </w:style>
  <w:style w:type="paragraph" w:customStyle="1" w:styleId="83">
    <w:name w:val="五级标题"/>
    <w:basedOn w:val="84"/>
    <w:next w:val="72"/>
    <w:qFormat/>
    <w:uiPriority w:val="0"/>
    <w:pPr>
      <w:numPr>
        <w:ilvl w:val="4"/>
      </w:numPr>
      <w:outlineLvl w:val="4"/>
    </w:pPr>
    <w:rPr>
      <w:rFonts w:hAnsi="宋体"/>
    </w:rPr>
  </w:style>
  <w:style w:type="paragraph" w:customStyle="1" w:styleId="84">
    <w:name w:val="四级标题"/>
    <w:basedOn w:val="85"/>
    <w:next w:val="72"/>
    <w:qFormat/>
    <w:uiPriority w:val="0"/>
    <w:pPr>
      <w:numPr>
        <w:ilvl w:val="3"/>
      </w:numPr>
      <w:outlineLvl w:val="3"/>
    </w:pPr>
    <w:rPr>
      <w:sz w:val="22"/>
    </w:rPr>
  </w:style>
  <w:style w:type="paragraph" w:customStyle="1" w:styleId="85">
    <w:name w:val="三级标题"/>
    <w:basedOn w:val="86"/>
    <w:next w:val="72"/>
    <w:qFormat/>
    <w:uiPriority w:val="0"/>
    <w:pPr>
      <w:numPr>
        <w:ilvl w:val="2"/>
      </w:numPr>
      <w:outlineLvl w:val="2"/>
    </w:pPr>
    <w:rPr>
      <w:lang w:val="zh-CN"/>
    </w:rPr>
  </w:style>
  <w:style w:type="paragraph" w:customStyle="1" w:styleId="86">
    <w:name w:val="二级标题"/>
    <w:basedOn w:val="87"/>
    <w:next w:val="72"/>
    <w:qFormat/>
    <w:uiPriority w:val="0"/>
    <w:pPr>
      <w:numPr>
        <w:ilvl w:val="1"/>
      </w:numPr>
      <w:spacing w:before="156" w:after="156"/>
      <w:jc w:val="left"/>
      <w:outlineLvl w:val="1"/>
    </w:pPr>
  </w:style>
  <w:style w:type="paragraph" w:customStyle="1" w:styleId="87">
    <w:name w:val="一级标题"/>
    <w:basedOn w:val="72"/>
    <w:next w:val="72"/>
    <w:qFormat/>
    <w:uiPriority w:val="0"/>
    <w:pPr>
      <w:numPr>
        <w:ilvl w:val="0"/>
        <w:numId w:val="2"/>
      </w:numPr>
      <w:spacing w:before="50" w:beforeLines="50" w:after="50" w:afterLines="50" w:line="240" w:lineRule="auto"/>
      <w:ind w:firstLineChars="0"/>
      <w:jc w:val="center"/>
      <w:outlineLvl w:val="0"/>
    </w:pPr>
    <w:rPr>
      <w:rFonts w:cs="Times New Roman"/>
      <w:b/>
      <w:sz w:val="24"/>
    </w:rPr>
  </w:style>
  <w:style w:type="character" w:customStyle="1" w:styleId="88">
    <w:name w:val="font61"/>
    <w:basedOn w:val="27"/>
    <w:qFormat/>
    <w:uiPriority w:val="0"/>
    <w:rPr>
      <w:rFonts w:hint="eastAsia" w:ascii="仿宋_GB2312" w:eastAsia="仿宋_GB2312" w:cs="仿宋_GB2312"/>
      <w:color w:val="000000"/>
      <w:sz w:val="22"/>
      <w:szCs w:val="22"/>
      <w:u w:val="none"/>
    </w:rPr>
  </w:style>
  <w:style w:type="character" w:customStyle="1" w:styleId="89">
    <w:name w:val="闻政脚注 Char"/>
    <w:link w:val="60"/>
    <w:qFormat/>
    <w:uiPriority w:val="9"/>
    <w:rPr>
      <w:sz w:val="18"/>
    </w:rPr>
  </w:style>
  <w:style w:type="paragraph" w:customStyle="1" w:styleId="90">
    <w:name w:val="修订1"/>
    <w:hidden/>
    <w:unhideWhenUsed/>
    <w:qFormat/>
    <w:uiPriority w:val="99"/>
    <w:rPr>
      <w:rFonts w:asciiTheme="minorHAnsi" w:hAnsiTheme="minorHAnsi" w:eastAsiaTheme="minorEastAsia" w:cstheme="minorBidi"/>
      <w:kern w:val="2"/>
      <w:sz w:val="21"/>
      <w:szCs w:val="21"/>
      <w:lang w:val="en-US" w:eastAsia="zh-CN" w:bidi="ar-SA"/>
    </w:rPr>
  </w:style>
  <w:style w:type="character" w:customStyle="1" w:styleId="91">
    <w:name w:val="尾注文本 字符"/>
    <w:basedOn w:val="27"/>
    <w:link w:val="15"/>
    <w:semiHidden/>
    <w:qFormat/>
    <w:uiPriority w:val="99"/>
    <w:rPr>
      <w:rFonts w:asciiTheme="minorHAnsi" w:hAnsiTheme="minorHAnsi" w:eastAsiaTheme="minorEastAsia" w:cstheme="minorBidi"/>
      <w:kern w:val="2"/>
      <w:sz w:val="21"/>
      <w:szCs w:val="21"/>
    </w:rPr>
  </w:style>
  <w:style w:type="paragraph" w:customStyle="1" w:styleId="92">
    <w:name w:val="修订2"/>
    <w:hidden/>
    <w:unhideWhenUsed/>
    <w:qFormat/>
    <w:uiPriority w:val="99"/>
    <w:rPr>
      <w:rFonts w:asciiTheme="minorHAnsi" w:hAnsiTheme="minorHAnsi" w:eastAsiaTheme="minorEastAsia" w:cstheme="minorBidi"/>
      <w:kern w:val="2"/>
      <w:sz w:val="21"/>
      <w:szCs w:val="21"/>
      <w:lang w:val="en-US" w:eastAsia="zh-CN" w:bidi="ar-SA"/>
    </w:rPr>
  </w:style>
  <w:style w:type="paragraph" w:customStyle="1" w:styleId="93">
    <w:name w:val="Revision"/>
    <w:hidden/>
    <w:semiHidden/>
    <w:qFormat/>
    <w:uiPriority w:val="99"/>
    <w:rPr>
      <w:rFonts w:asciiTheme="minorHAnsi" w:hAnsiTheme="minorHAnsi" w:eastAsiaTheme="minorEastAsia" w:cstheme="minorBid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5614\Documents\Tencent%20Files\656147200\FileRecv\MobileFile\04-&#38395;&#25919;-&#26684;&#24335;&#27169;&#26495;-20190219-&#26356;&#26032;-v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FF8C-C958-461E-82C3-6D57C4E01190}">
  <ds:schemaRefs/>
</ds:datastoreItem>
</file>

<file path=docProps/app.xml><?xml version="1.0" encoding="utf-8"?>
<Properties xmlns="http://schemas.openxmlformats.org/officeDocument/2006/extended-properties" xmlns:vt="http://schemas.openxmlformats.org/officeDocument/2006/docPropsVTypes">
  <Template>04-闻政-格式模板-20190219-更新-v3.dotm</Template>
  <Pages>15</Pages>
  <Words>5879</Words>
  <Characters>6034</Characters>
  <Lines>293</Lines>
  <Paragraphs>82</Paragraphs>
  <TotalTime>18</TotalTime>
  <ScaleCrop>false</ScaleCrop>
  <LinksUpToDate>false</LinksUpToDate>
  <CharactersWithSpaces>6118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2021-06-17T05:24:00Z</dcterms:created>
  <dc:creator>ps</dc:creator>
  <cp:lastModifiedBy>F</cp:lastModifiedBy>
  <cp:lastPrinted>2022-07-01T03:17:00Z</cp:lastPrinted>
  <dcterms:modified xsi:type="dcterms:W3CDTF">2024-07-09T01:19:20Z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624C98677A2D4936A4451C11317DFD12</vt:lpwstr>
  </property>
</Properties>
</file>