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0"/>
        <w:jc w:val="center"/>
        <w:rPr>
          <w:rFonts w:eastAsia="方正小标宋简体"/>
          <w:b w:val="0"/>
          <w:bCs w:val="0"/>
          <w:sz w:val="32"/>
          <w:szCs w:val="32"/>
        </w:rPr>
      </w:pPr>
      <w:bookmarkStart w:id="0" w:name="_Hlk109120616"/>
      <w:bookmarkEnd w:id="0"/>
      <w:bookmarkStart w:id="1" w:name="_Toc396293518"/>
      <w:r>
        <w:rPr>
          <w:rFonts w:hint="eastAsia" w:eastAsia="方正小标宋简体"/>
          <w:b w:val="0"/>
          <w:bCs w:val="0"/>
          <w:sz w:val="32"/>
          <w:szCs w:val="32"/>
        </w:rPr>
        <w:t xml:space="preserve"> </w:t>
      </w:r>
    </w:p>
    <w:p>
      <w:pPr>
        <w:ind w:firstLine="640"/>
        <w:jc w:val="center"/>
        <w:rPr>
          <w:rFonts w:eastAsia="方正小标宋简体" w:cs="方正小标宋简体"/>
          <w:b w:val="0"/>
          <w:bCs w:val="0"/>
          <w:sz w:val="32"/>
          <w:szCs w:val="32"/>
        </w:rPr>
      </w:pPr>
    </w:p>
    <w:p>
      <w:pPr>
        <w:pStyle w:val="2"/>
        <w:ind w:left="560"/>
        <w:rPr>
          <w:rFonts w:hint="default"/>
          <w:b w:val="0"/>
          <w:bCs w:val="0"/>
        </w:rPr>
      </w:pPr>
    </w:p>
    <w:p>
      <w:pPr>
        <w:pStyle w:val="2"/>
        <w:ind w:left="560"/>
        <w:rPr>
          <w:rFonts w:hint="default"/>
          <w:b w:val="0"/>
          <w:bCs w:val="0"/>
        </w:rPr>
      </w:pPr>
    </w:p>
    <w:p>
      <w:pPr>
        <w:pStyle w:val="2"/>
        <w:ind w:left="560"/>
        <w:rPr>
          <w:rFonts w:hint="default"/>
          <w:b w:val="0"/>
          <w:bCs w:val="0"/>
        </w:rPr>
      </w:pPr>
    </w:p>
    <w:p>
      <w:pPr>
        <w:pStyle w:val="2"/>
        <w:ind w:left="560"/>
        <w:rPr>
          <w:rFonts w:hint="default"/>
          <w:b w:val="0"/>
          <w:bCs w:val="0"/>
        </w:rPr>
      </w:pPr>
    </w:p>
    <w:p>
      <w:pPr>
        <w:pStyle w:val="2"/>
        <w:ind w:left="560"/>
        <w:rPr>
          <w:rFonts w:hint="default"/>
          <w:b w:val="0"/>
          <w:bCs w:val="0"/>
        </w:rPr>
      </w:pPr>
    </w:p>
    <w:p>
      <w:pPr>
        <w:ind w:firstLine="0" w:firstLineChars="0"/>
        <w:jc w:val="center"/>
        <w:rPr>
          <w:rFonts w:ascii="方正小标宋简体" w:eastAsia="方正小标宋简体" w:cs="方正小标宋简体"/>
          <w:b w:val="0"/>
          <w:bCs w:val="0"/>
          <w:sz w:val="52"/>
          <w:szCs w:val="52"/>
        </w:rPr>
      </w:pPr>
      <w:r>
        <w:rPr>
          <w:rFonts w:hint="eastAsia" w:ascii="方正小标宋简体" w:hAnsi="华文中宋" w:eastAsia="方正小标宋简体" w:cs="华文中宋"/>
          <w:b w:val="0"/>
          <w:bCs w:val="0"/>
          <w:sz w:val="52"/>
          <w:szCs w:val="52"/>
          <w:lang w:eastAsia="zh-Hans"/>
        </w:rPr>
        <w:t>菏泽市“人才新政</w:t>
      </w:r>
      <w:r>
        <w:rPr>
          <w:rFonts w:hint="eastAsia" w:ascii="方正小标宋简体" w:hAnsi="华文中宋" w:eastAsia="方正小标宋简体" w:cs="华文中宋"/>
          <w:b w:val="0"/>
          <w:bCs w:val="0"/>
          <w:sz w:val="52"/>
          <w:szCs w:val="52"/>
        </w:rPr>
        <w:t>30</w:t>
      </w:r>
      <w:r>
        <w:rPr>
          <w:rFonts w:hint="eastAsia" w:ascii="方正小标宋简体" w:hAnsi="华文中宋" w:eastAsia="方正小标宋简体" w:cs="华文中宋"/>
          <w:b w:val="0"/>
          <w:bCs w:val="0"/>
          <w:sz w:val="52"/>
          <w:szCs w:val="52"/>
          <w:lang w:eastAsia="zh-Hans"/>
        </w:rPr>
        <w:t>条”政策</w:t>
      </w:r>
      <w:r>
        <w:rPr>
          <w:rFonts w:hint="eastAsia" w:ascii="方正小标宋简体" w:hAnsi="华文中宋" w:eastAsia="方正小标宋简体" w:cs="华文中宋"/>
          <w:b w:val="0"/>
          <w:bCs w:val="0"/>
          <w:sz w:val="52"/>
          <w:szCs w:val="52"/>
          <w:lang w:val="en-US" w:eastAsia="zh-CN"/>
        </w:rPr>
        <w:t>兑现项目支出</w:t>
      </w:r>
      <w:r>
        <w:rPr>
          <w:rFonts w:hint="eastAsia" w:ascii="方正小标宋简体" w:hAnsi="华文中宋" w:eastAsia="方正小标宋简体" w:cs="华文中宋"/>
          <w:b w:val="0"/>
          <w:bCs w:val="0"/>
          <w:sz w:val="52"/>
          <w:szCs w:val="52"/>
          <w:lang w:eastAsia="zh-Hans"/>
        </w:rPr>
        <w:t>绩效评价报告</w:t>
      </w:r>
      <w:bookmarkEnd w:id="1"/>
    </w:p>
    <w:p>
      <w:pPr>
        <w:ind w:firstLine="0" w:firstLineChars="0"/>
        <w:jc w:val="center"/>
        <w:rPr>
          <w:rFonts w:eastAsia="方正小标宋简体" w:cs="方正小标宋简体"/>
          <w:b w:val="0"/>
          <w:bCs w:val="0"/>
          <w:sz w:val="44"/>
          <w:szCs w:val="44"/>
        </w:rPr>
      </w:pPr>
    </w:p>
    <w:p>
      <w:pPr>
        <w:ind w:firstLine="0" w:firstLineChars="0"/>
        <w:jc w:val="center"/>
        <w:rPr>
          <w:rFonts w:eastAsia="方正小标宋简体" w:cs="方正小标宋简体"/>
          <w:b w:val="0"/>
          <w:bCs w:val="0"/>
          <w:sz w:val="44"/>
          <w:szCs w:val="44"/>
        </w:rPr>
      </w:pPr>
    </w:p>
    <w:p>
      <w:pPr>
        <w:ind w:firstLine="0" w:firstLineChars="0"/>
        <w:jc w:val="center"/>
        <w:rPr>
          <w:rFonts w:eastAsia="方正小标宋简体" w:cs="方正小标宋简体"/>
          <w:b w:val="0"/>
          <w:bCs w:val="0"/>
          <w:sz w:val="44"/>
          <w:szCs w:val="44"/>
        </w:rPr>
      </w:pPr>
    </w:p>
    <w:p>
      <w:pPr>
        <w:ind w:firstLine="0" w:firstLineChars="0"/>
        <w:jc w:val="center"/>
        <w:rPr>
          <w:rFonts w:eastAsia="方正小标宋简体" w:cs="方正小标宋简体"/>
          <w:b w:val="0"/>
          <w:bCs w:val="0"/>
          <w:sz w:val="44"/>
          <w:szCs w:val="44"/>
        </w:rPr>
      </w:pPr>
    </w:p>
    <w:p>
      <w:pPr>
        <w:ind w:firstLine="0" w:firstLineChars="0"/>
        <w:jc w:val="center"/>
        <w:rPr>
          <w:rFonts w:eastAsia="方正小标宋简体" w:cs="方正小标宋简体"/>
          <w:b w:val="0"/>
          <w:bCs w:val="0"/>
          <w:sz w:val="44"/>
          <w:szCs w:val="44"/>
        </w:rPr>
      </w:pPr>
    </w:p>
    <w:p>
      <w:pPr>
        <w:pStyle w:val="2"/>
        <w:ind w:left="560"/>
        <w:rPr>
          <w:rFonts w:hint="default"/>
          <w:b w:val="0"/>
          <w:bCs w:val="0"/>
        </w:rPr>
      </w:pPr>
    </w:p>
    <w:p>
      <w:pPr>
        <w:pStyle w:val="2"/>
        <w:ind w:left="560"/>
        <w:rPr>
          <w:rFonts w:hint="default"/>
          <w:b w:val="0"/>
          <w:bCs w:val="0"/>
        </w:rPr>
      </w:pPr>
    </w:p>
    <w:p>
      <w:pPr>
        <w:pStyle w:val="2"/>
        <w:ind w:left="560"/>
        <w:rPr>
          <w:rFonts w:hint="default"/>
          <w:b w:val="0"/>
          <w:bCs w:val="0"/>
        </w:rPr>
      </w:pPr>
    </w:p>
    <w:p>
      <w:pPr>
        <w:pStyle w:val="2"/>
        <w:ind w:left="560"/>
        <w:rPr>
          <w:rFonts w:hint="default"/>
          <w:b w:val="0"/>
          <w:bCs w:val="0"/>
        </w:rPr>
      </w:pPr>
    </w:p>
    <w:p>
      <w:pPr>
        <w:pStyle w:val="2"/>
        <w:ind w:left="560"/>
        <w:rPr>
          <w:rFonts w:hint="default"/>
          <w:b w:val="0"/>
          <w:bCs w:val="0"/>
        </w:rPr>
      </w:pPr>
    </w:p>
    <w:p>
      <w:pPr>
        <w:pStyle w:val="2"/>
        <w:ind w:left="560"/>
        <w:rPr>
          <w:rFonts w:hint="default"/>
          <w:b w:val="0"/>
          <w:bCs w:val="0"/>
        </w:rPr>
      </w:pPr>
    </w:p>
    <w:p>
      <w:pPr>
        <w:ind w:firstLine="640"/>
        <w:jc w:val="left"/>
        <w:rPr>
          <w:rFonts w:ascii="方正小标宋简体" w:hAnsi="华文中宋" w:eastAsia="方正小标宋简体" w:cs="华文中宋"/>
          <w:b w:val="0"/>
          <w:bCs w:val="0"/>
          <w:sz w:val="32"/>
          <w:szCs w:val="32"/>
        </w:rPr>
      </w:pPr>
    </w:p>
    <w:p>
      <w:pPr>
        <w:pStyle w:val="2"/>
        <w:ind w:left="560"/>
        <w:rPr>
          <w:rFonts w:hint="default"/>
          <w:b w:val="0"/>
          <w:bCs w:val="0"/>
        </w:rPr>
      </w:pPr>
    </w:p>
    <w:p>
      <w:pPr>
        <w:widowControl/>
        <w:spacing w:line="600" w:lineRule="exact"/>
        <w:ind w:firstLine="640"/>
        <w:jc w:val="left"/>
        <w:rPr>
          <w:rFonts w:ascii="方正小标宋简体" w:hAnsi="黑体" w:eastAsia="方正小标宋简体"/>
          <w:b w:val="0"/>
          <w:bCs w:val="0"/>
          <w:sz w:val="32"/>
          <w:szCs w:val="32"/>
        </w:rPr>
      </w:pPr>
    </w:p>
    <w:p>
      <w:pPr>
        <w:widowControl/>
        <w:spacing w:line="600" w:lineRule="exact"/>
        <w:ind w:firstLine="272" w:firstLineChars="62"/>
        <w:jc w:val="center"/>
        <w:rPr>
          <w:rFonts w:ascii="方正小标宋简体" w:hAnsi="华文中宋" w:eastAsia="方正小标宋简体" w:cs="华文中宋"/>
          <w:b w:val="0"/>
          <w:bCs w:val="0"/>
          <w:sz w:val="44"/>
          <w:szCs w:val="44"/>
        </w:rPr>
      </w:pPr>
      <w:r>
        <w:rPr>
          <w:rFonts w:hint="eastAsia" w:ascii="方正小标宋简体" w:hAnsi="华文中宋" w:eastAsia="方正小标宋简体" w:cs="华文中宋"/>
          <w:b w:val="0"/>
          <w:bCs w:val="0"/>
          <w:sz w:val="44"/>
          <w:szCs w:val="44"/>
        </w:rPr>
        <w:t>2022年8月</w:t>
      </w:r>
    </w:p>
    <w:p>
      <w:pPr>
        <w:ind w:firstLine="562"/>
        <w:rPr>
          <w:b w:val="0"/>
          <w:bCs w:val="0"/>
        </w:rPr>
      </w:pPr>
      <w:r>
        <w:rPr>
          <w:b w:val="0"/>
          <w:bCs w:val="0"/>
        </w:rPr>
        <w:br w:type="page"/>
      </w:r>
    </w:p>
    <w:p>
      <w:pPr>
        <w:widowControl/>
        <w:ind w:firstLine="0" w:firstLineChars="0"/>
        <w:jc w:val="center"/>
        <w:rPr>
          <w:rFonts w:ascii="方正小标宋简体" w:eastAsia="方正小标宋简体" w:hAnsiTheme="majorEastAsia" w:cstheme="majorEastAsia"/>
          <w:b w:val="0"/>
          <w:bCs w:val="0"/>
          <w:sz w:val="44"/>
          <w:szCs w:val="44"/>
        </w:rPr>
      </w:pPr>
      <w:bookmarkStart w:id="2" w:name="_Toc27491"/>
      <w:bookmarkStart w:id="3" w:name="_Toc45628961"/>
      <w:r>
        <w:rPr>
          <w:rFonts w:hint="eastAsia" w:ascii="方正小标宋简体" w:eastAsia="方正小标宋简体" w:hAnsiTheme="majorEastAsia" w:cstheme="majorEastAsia"/>
          <w:b w:val="0"/>
          <w:bCs w:val="0"/>
          <w:sz w:val="44"/>
          <w:szCs w:val="44"/>
        </w:rPr>
        <w:t>目 录</w:t>
      </w:r>
    </w:p>
    <w:p>
      <w:pPr>
        <w:pStyle w:val="14"/>
        <w:tabs>
          <w:tab w:val="right" w:leader="dot" w:pos="8834"/>
        </w:tabs>
        <w:spacing w:line="580" w:lineRule="exact"/>
        <w:ind w:firstLine="198" w:firstLineChars="62"/>
        <w:rPr>
          <w:rFonts w:asciiTheme="minorHAnsi" w:hAnsiTheme="minorHAnsi" w:eastAsiaTheme="minorEastAsia" w:cstheme="minorBidi"/>
          <w:b w:val="0"/>
          <w:bCs w:val="0"/>
          <w:sz w:val="21"/>
        </w:rPr>
      </w:pPr>
      <w:r>
        <w:rPr>
          <w:b w:val="0"/>
          <w:bCs w:val="0"/>
          <w:sz w:val="32"/>
          <w:szCs w:val="32"/>
        </w:rPr>
        <w:fldChar w:fldCharType="begin"/>
      </w:r>
      <w:r>
        <w:rPr>
          <w:b w:val="0"/>
          <w:bCs w:val="0"/>
          <w:sz w:val="32"/>
          <w:szCs w:val="32"/>
        </w:rPr>
        <w:instrText xml:space="preserve"> TOC \o "1-3" \h \z \u </w:instrText>
      </w:r>
      <w:r>
        <w:rPr>
          <w:b w:val="0"/>
          <w:bCs w:val="0"/>
          <w:sz w:val="32"/>
          <w:szCs w:val="32"/>
        </w:rPr>
        <w:fldChar w:fldCharType="separate"/>
      </w:r>
    </w:p>
    <w:p>
      <w:pPr>
        <w:pStyle w:val="14"/>
        <w:tabs>
          <w:tab w:val="right" w:leader="dot" w:pos="8834"/>
        </w:tabs>
        <w:spacing w:line="580" w:lineRule="exact"/>
        <w:ind w:firstLine="198" w:firstLineChars="71"/>
        <w:rPr>
          <w:rFonts w:asciiTheme="minorHAnsi" w:hAnsiTheme="minorHAnsi" w:eastAsiaTheme="minorEastAsia" w:cstheme="minorBidi"/>
          <w:b w:val="0"/>
          <w:bCs w:val="0"/>
          <w:sz w:val="21"/>
        </w:rPr>
      </w:pPr>
      <w:r>
        <w:rPr>
          <w:b w:val="0"/>
          <w:bCs w:val="0"/>
        </w:rPr>
        <w:fldChar w:fldCharType="begin"/>
      </w:r>
      <w:r>
        <w:rPr>
          <w:b w:val="0"/>
          <w:bCs w:val="0"/>
        </w:rPr>
        <w:instrText xml:space="preserve"> HYPERLINK \l "_Toc114320448" </w:instrText>
      </w:r>
      <w:r>
        <w:rPr>
          <w:b w:val="0"/>
          <w:bCs w:val="0"/>
        </w:rPr>
        <w:fldChar w:fldCharType="separate"/>
      </w:r>
      <w:r>
        <w:rPr>
          <w:rStyle w:val="24"/>
          <w:rFonts w:eastAsia="黑体"/>
          <w:b w:val="0"/>
          <w:bCs w:val="0"/>
        </w:rPr>
        <w:t>一、基本情况</w:t>
      </w:r>
      <w:r>
        <w:rPr>
          <w:b w:val="0"/>
          <w:bCs w:val="0"/>
        </w:rPr>
        <w:tab/>
      </w:r>
      <w:r>
        <w:rPr>
          <w:b w:val="0"/>
          <w:bCs w:val="0"/>
        </w:rPr>
        <w:fldChar w:fldCharType="begin"/>
      </w:r>
      <w:r>
        <w:rPr>
          <w:b w:val="0"/>
          <w:bCs w:val="0"/>
        </w:rPr>
        <w:instrText xml:space="preserve"> PAGEREF _Toc114320448 \h </w:instrText>
      </w:r>
      <w:r>
        <w:rPr>
          <w:b w:val="0"/>
          <w:bCs w:val="0"/>
        </w:rPr>
        <w:fldChar w:fldCharType="separate"/>
      </w:r>
      <w:r>
        <w:rPr>
          <w:b w:val="0"/>
          <w:bCs w:val="0"/>
        </w:rPr>
        <w:t>1</w:t>
      </w:r>
      <w:r>
        <w:rPr>
          <w:b w:val="0"/>
          <w:bCs w:val="0"/>
        </w:rPr>
        <w:fldChar w:fldCharType="end"/>
      </w:r>
      <w:r>
        <w:rPr>
          <w:b w:val="0"/>
          <w:bCs w:val="0"/>
        </w:rPr>
        <w:fldChar w:fldCharType="end"/>
      </w:r>
    </w:p>
    <w:p>
      <w:pPr>
        <w:pStyle w:val="15"/>
        <w:tabs>
          <w:tab w:val="right" w:leader="dot" w:pos="8834"/>
        </w:tabs>
        <w:spacing w:line="580" w:lineRule="exact"/>
        <w:ind w:leftChars="150" w:firstLine="198" w:firstLineChars="71"/>
        <w:rPr>
          <w:b w:val="0"/>
          <w:bCs w:val="0"/>
        </w:rPr>
      </w:pPr>
      <w:r>
        <w:rPr>
          <w:b w:val="0"/>
          <w:bCs w:val="0"/>
        </w:rPr>
        <w:fldChar w:fldCharType="begin"/>
      </w:r>
      <w:r>
        <w:rPr>
          <w:b w:val="0"/>
          <w:bCs w:val="0"/>
        </w:rPr>
        <w:instrText xml:space="preserve"> HYPERLINK \l "_Toc114320449" </w:instrText>
      </w:r>
      <w:r>
        <w:rPr>
          <w:b w:val="0"/>
          <w:bCs w:val="0"/>
        </w:rPr>
        <w:fldChar w:fldCharType="separate"/>
      </w:r>
      <w:r>
        <w:rPr>
          <w:b w:val="0"/>
          <w:bCs w:val="0"/>
        </w:rPr>
        <w:t>（一）政策概况</w:t>
      </w:r>
      <w:r>
        <w:rPr>
          <w:b w:val="0"/>
          <w:bCs w:val="0"/>
        </w:rPr>
        <w:tab/>
      </w:r>
      <w:r>
        <w:rPr>
          <w:b w:val="0"/>
          <w:bCs w:val="0"/>
        </w:rPr>
        <w:fldChar w:fldCharType="begin"/>
      </w:r>
      <w:r>
        <w:rPr>
          <w:b w:val="0"/>
          <w:bCs w:val="0"/>
        </w:rPr>
        <w:instrText xml:space="preserve"> PAGEREF _Toc114320449 \h </w:instrText>
      </w:r>
      <w:r>
        <w:rPr>
          <w:b w:val="0"/>
          <w:bCs w:val="0"/>
        </w:rPr>
        <w:fldChar w:fldCharType="separate"/>
      </w:r>
      <w:r>
        <w:rPr>
          <w:b w:val="0"/>
          <w:bCs w:val="0"/>
        </w:rPr>
        <w:t>1</w:t>
      </w:r>
      <w:r>
        <w:rPr>
          <w:b w:val="0"/>
          <w:bCs w:val="0"/>
        </w:rPr>
        <w:fldChar w:fldCharType="end"/>
      </w:r>
      <w:r>
        <w:rPr>
          <w:b w:val="0"/>
          <w:bCs w:val="0"/>
        </w:rPr>
        <w:fldChar w:fldCharType="end"/>
      </w:r>
    </w:p>
    <w:p>
      <w:pPr>
        <w:pStyle w:val="15"/>
        <w:tabs>
          <w:tab w:val="right" w:leader="dot" w:pos="8834"/>
        </w:tabs>
        <w:spacing w:line="580" w:lineRule="exact"/>
        <w:ind w:leftChars="150" w:firstLine="198" w:firstLineChars="71"/>
        <w:rPr>
          <w:b w:val="0"/>
          <w:bCs w:val="0"/>
        </w:rPr>
      </w:pPr>
      <w:r>
        <w:rPr>
          <w:b w:val="0"/>
          <w:bCs w:val="0"/>
        </w:rPr>
        <w:fldChar w:fldCharType="begin"/>
      </w:r>
      <w:r>
        <w:rPr>
          <w:b w:val="0"/>
          <w:bCs w:val="0"/>
        </w:rPr>
        <w:instrText xml:space="preserve"> HYPERLINK \l "_Toc114320450" </w:instrText>
      </w:r>
      <w:r>
        <w:rPr>
          <w:b w:val="0"/>
          <w:bCs w:val="0"/>
        </w:rPr>
        <w:fldChar w:fldCharType="separate"/>
      </w:r>
      <w:r>
        <w:rPr>
          <w:b w:val="0"/>
          <w:bCs w:val="0"/>
        </w:rPr>
        <w:t>（二）政策预算及支出情况</w:t>
      </w:r>
      <w:r>
        <w:rPr>
          <w:b w:val="0"/>
          <w:bCs w:val="0"/>
        </w:rPr>
        <w:tab/>
      </w:r>
      <w:r>
        <w:rPr>
          <w:b w:val="0"/>
          <w:bCs w:val="0"/>
        </w:rPr>
        <w:fldChar w:fldCharType="begin"/>
      </w:r>
      <w:r>
        <w:rPr>
          <w:b w:val="0"/>
          <w:bCs w:val="0"/>
        </w:rPr>
        <w:instrText xml:space="preserve"> PAGEREF _Toc114320450 \h </w:instrText>
      </w:r>
      <w:r>
        <w:rPr>
          <w:b w:val="0"/>
          <w:bCs w:val="0"/>
        </w:rPr>
        <w:fldChar w:fldCharType="separate"/>
      </w:r>
      <w:r>
        <w:rPr>
          <w:b w:val="0"/>
          <w:bCs w:val="0"/>
        </w:rPr>
        <w:t>1</w:t>
      </w:r>
      <w:r>
        <w:rPr>
          <w:b w:val="0"/>
          <w:bCs w:val="0"/>
        </w:rPr>
        <w:fldChar w:fldCharType="end"/>
      </w:r>
      <w:r>
        <w:rPr>
          <w:b w:val="0"/>
          <w:bCs w:val="0"/>
        </w:rPr>
        <w:fldChar w:fldCharType="end"/>
      </w:r>
    </w:p>
    <w:p>
      <w:pPr>
        <w:pStyle w:val="15"/>
        <w:tabs>
          <w:tab w:val="right" w:leader="dot" w:pos="8834"/>
        </w:tabs>
        <w:spacing w:line="580" w:lineRule="exact"/>
        <w:ind w:leftChars="150" w:firstLine="198" w:firstLineChars="71"/>
        <w:rPr>
          <w:b w:val="0"/>
          <w:bCs w:val="0"/>
        </w:rPr>
      </w:pPr>
      <w:r>
        <w:rPr>
          <w:b w:val="0"/>
          <w:bCs w:val="0"/>
        </w:rPr>
        <w:fldChar w:fldCharType="begin"/>
      </w:r>
      <w:r>
        <w:rPr>
          <w:b w:val="0"/>
          <w:bCs w:val="0"/>
        </w:rPr>
        <w:instrText xml:space="preserve"> HYPERLINK \l "_Toc114320451" </w:instrText>
      </w:r>
      <w:r>
        <w:rPr>
          <w:b w:val="0"/>
          <w:bCs w:val="0"/>
        </w:rPr>
        <w:fldChar w:fldCharType="separate"/>
      </w:r>
      <w:r>
        <w:rPr>
          <w:b w:val="0"/>
          <w:bCs w:val="0"/>
        </w:rPr>
        <w:t>（三）政策内容</w:t>
      </w:r>
      <w:r>
        <w:rPr>
          <w:b w:val="0"/>
          <w:bCs w:val="0"/>
        </w:rPr>
        <w:tab/>
      </w:r>
      <w:r>
        <w:rPr>
          <w:b w:val="0"/>
          <w:bCs w:val="0"/>
        </w:rPr>
        <w:fldChar w:fldCharType="begin"/>
      </w:r>
      <w:r>
        <w:rPr>
          <w:b w:val="0"/>
          <w:bCs w:val="0"/>
        </w:rPr>
        <w:instrText xml:space="preserve"> PAGEREF _Toc114320451 \h </w:instrText>
      </w:r>
      <w:r>
        <w:rPr>
          <w:b w:val="0"/>
          <w:bCs w:val="0"/>
        </w:rPr>
        <w:fldChar w:fldCharType="separate"/>
      </w:r>
      <w:r>
        <w:rPr>
          <w:b w:val="0"/>
          <w:bCs w:val="0"/>
        </w:rPr>
        <w:t>1</w:t>
      </w:r>
      <w:r>
        <w:rPr>
          <w:b w:val="0"/>
          <w:bCs w:val="0"/>
        </w:rPr>
        <w:fldChar w:fldCharType="end"/>
      </w:r>
      <w:r>
        <w:rPr>
          <w:b w:val="0"/>
          <w:bCs w:val="0"/>
        </w:rPr>
        <w:fldChar w:fldCharType="end"/>
      </w:r>
    </w:p>
    <w:p>
      <w:pPr>
        <w:pStyle w:val="15"/>
        <w:tabs>
          <w:tab w:val="right" w:leader="dot" w:pos="8834"/>
        </w:tabs>
        <w:spacing w:line="580" w:lineRule="exact"/>
        <w:ind w:leftChars="150" w:firstLine="198" w:firstLineChars="71"/>
        <w:rPr>
          <w:b w:val="0"/>
          <w:bCs w:val="0"/>
        </w:rPr>
      </w:pPr>
      <w:r>
        <w:rPr>
          <w:b w:val="0"/>
          <w:bCs w:val="0"/>
        </w:rPr>
        <w:fldChar w:fldCharType="begin"/>
      </w:r>
      <w:r>
        <w:rPr>
          <w:b w:val="0"/>
          <w:bCs w:val="0"/>
        </w:rPr>
        <w:instrText xml:space="preserve"> HYPERLINK \l "_Toc114320452" </w:instrText>
      </w:r>
      <w:r>
        <w:rPr>
          <w:b w:val="0"/>
          <w:bCs w:val="0"/>
        </w:rPr>
        <w:fldChar w:fldCharType="separate"/>
      </w:r>
      <w:r>
        <w:rPr>
          <w:b w:val="0"/>
          <w:bCs w:val="0"/>
        </w:rPr>
        <w:t>（四）组织管理</w:t>
      </w:r>
      <w:r>
        <w:rPr>
          <w:b w:val="0"/>
          <w:bCs w:val="0"/>
        </w:rPr>
        <w:tab/>
      </w:r>
      <w:r>
        <w:rPr>
          <w:b w:val="0"/>
          <w:bCs w:val="0"/>
        </w:rPr>
        <w:fldChar w:fldCharType="begin"/>
      </w:r>
      <w:r>
        <w:rPr>
          <w:b w:val="0"/>
          <w:bCs w:val="0"/>
        </w:rPr>
        <w:instrText xml:space="preserve"> PAGEREF _Toc114320452 \h </w:instrText>
      </w:r>
      <w:r>
        <w:rPr>
          <w:b w:val="0"/>
          <w:bCs w:val="0"/>
        </w:rPr>
        <w:fldChar w:fldCharType="separate"/>
      </w:r>
      <w:r>
        <w:rPr>
          <w:b w:val="0"/>
          <w:bCs w:val="0"/>
        </w:rPr>
        <w:t>2</w:t>
      </w:r>
      <w:r>
        <w:rPr>
          <w:b w:val="0"/>
          <w:bCs w:val="0"/>
        </w:rPr>
        <w:fldChar w:fldCharType="end"/>
      </w:r>
      <w:r>
        <w:rPr>
          <w:b w:val="0"/>
          <w:bCs w:val="0"/>
        </w:rPr>
        <w:fldChar w:fldCharType="end"/>
      </w:r>
    </w:p>
    <w:p>
      <w:pPr>
        <w:pStyle w:val="14"/>
        <w:tabs>
          <w:tab w:val="right" w:leader="dot" w:pos="8834"/>
        </w:tabs>
        <w:spacing w:line="580" w:lineRule="exact"/>
        <w:ind w:firstLine="198" w:firstLineChars="71"/>
        <w:rPr>
          <w:rFonts w:asciiTheme="minorHAnsi" w:hAnsiTheme="minorHAnsi" w:eastAsiaTheme="minorEastAsia" w:cstheme="minorBidi"/>
          <w:b w:val="0"/>
          <w:bCs w:val="0"/>
          <w:sz w:val="21"/>
        </w:rPr>
      </w:pPr>
      <w:r>
        <w:rPr>
          <w:b w:val="0"/>
          <w:bCs w:val="0"/>
        </w:rPr>
        <w:fldChar w:fldCharType="begin"/>
      </w:r>
      <w:r>
        <w:rPr>
          <w:b w:val="0"/>
          <w:bCs w:val="0"/>
        </w:rPr>
        <w:instrText xml:space="preserve"> HYPERLINK \l "_Toc114320453" </w:instrText>
      </w:r>
      <w:r>
        <w:rPr>
          <w:b w:val="0"/>
          <w:bCs w:val="0"/>
        </w:rPr>
        <w:fldChar w:fldCharType="separate"/>
      </w:r>
      <w:r>
        <w:rPr>
          <w:rStyle w:val="24"/>
          <w:rFonts w:ascii="楷体_GB2312" w:eastAsia="楷体_GB2312"/>
          <w:b w:val="0"/>
          <w:bCs w:val="0"/>
          <w:lang w:eastAsia="zh-Hans"/>
        </w:rPr>
        <w:t>二、政策目标</w:t>
      </w:r>
      <w:r>
        <w:rPr>
          <w:b w:val="0"/>
          <w:bCs w:val="0"/>
        </w:rPr>
        <w:tab/>
      </w:r>
      <w:r>
        <w:rPr>
          <w:b w:val="0"/>
          <w:bCs w:val="0"/>
        </w:rPr>
        <w:fldChar w:fldCharType="begin"/>
      </w:r>
      <w:r>
        <w:rPr>
          <w:b w:val="0"/>
          <w:bCs w:val="0"/>
        </w:rPr>
        <w:instrText xml:space="preserve"> PAGEREF _Toc114320453 \h </w:instrText>
      </w:r>
      <w:r>
        <w:rPr>
          <w:b w:val="0"/>
          <w:bCs w:val="0"/>
        </w:rPr>
        <w:fldChar w:fldCharType="separate"/>
      </w:r>
      <w:r>
        <w:rPr>
          <w:b w:val="0"/>
          <w:bCs w:val="0"/>
        </w:rPr>
        <w:t>2</w:t>
      </w:r>
      <w:r>
        <w:rPr>
          <w:b w:val="0"/>
          <w:bCs w:val="0"/>
        </w:rPr>
        <w:fldChar w:fldCharType="end"/>
      </w:r>
      <w:r>
        <w:rPr>
          <w:b w:val="0"/>
          <w:bCs w:val="0"/>
        </w:rPr>
        <w:fldChar w:fldCharType="end"/>
      </w:r>
    </w:p>
    <w:p>
      <w:pPr>
        <w:pStyle w:val="14"/>
        <w:tabs>
          <w:tab w:val="right" w:leader="dot" w:pos="8834"/>
        </w:tabs>
        <w:spacing w:line="580" w:lineRule="exact"/>
        <w:ind w:firstLine="198" w:firstLineChars="71"/>
        <w:rPr>
          <w:rFonts w:asciiTheme="minorHAnsi" w:hAnsiTheme="minorHAnsi" w:eastAsiaTheme="minorEastAsia" w:cstheme="minorBidi"/>
          <w:b w:val="0"/>
          <w:bCs w:val="0"/>
          <w:sz w:val="21"/>
        </w:rPr>
      </w:pPr>
      <w:r>
        <w:rPr>
          <w:b w:val="0"/>
          <w:bCs w:val="0"/>
        </w:rPr>
        <w:fldChar w:fldCharType="begin"/>
      </w:r>
      <w:r>
        <w:rPr>
          <w:b w:val="0"/>
          <w:bCs w:val="0"/>
        </w:rPr>
        <w:instrText xml:space="preserve"> HYPERLINK \l "_Toc114320454" </w:instrText>
      </w:r>
      <w:r>
        <w:rPr>
          <w:b w:val="0"/>
          <w:bCs w:val="0"/>
        </w:rPr>
        <w:fldChar w:fldCharType="separate"/>
      </w:r>
      <w:r>
        <w:rPr>
          <w:rStyle w:val="24"/>
          <w:rFonts w:ascii="黑体" w:hAnsi="黑体" w:eastAsia="黑体" w:cs="黑体"/>
          <w:b w:val="0"/>
          <w:bCs w:val="0"/>
          <w:lang w:eastAsia="zh-Hans"/>
        </w:rPr>
        <w:t>三、评价基本情况</w:t>
      </w:r>
      <w:r>
        <w:rPr>
          <w:b w:val="0"/>
          <w:bCs w:val="0"/>
        </w:rPr>
        <w:tab/>
      </w:r>
      <w:r>
        <w:rPr>
          <w:b w:val="0"/>
          <w:bCs w:val="0"/>
        </w:rPr>
        <w:fldChar w:fldCharType="begin"/>
      </w:r>
      <w:r>
        <w:rPr>
          <w:b w:val="0"/>
          <w:bCs w:val="0"/>
        </w:rPr>
        <w:instrText xml:space="preserve"> PAGEREF _Toc114320454 \h </w:instrText>
      </w:r>
      <w:r>
        <w:rPr>
          <w:b w:val="0"/>
          <w:bCs w:val="0"/>
        </w:rPr>
        <w:fldChar w:fldCharType="separate"/>
      </w:r>
      <w:r>
        <w:rPr>
          <w:b w:val="0"/>
          <w:bCs w:val="0"/>
        </w:rPr>
        <w:t>2</w:t>
      </w:r>
      <w:r>
        <w:rPr>
          <w:b w:val="0"/>
          <w:bCs w:val="0"/>
        </w:rPr>
        <w:fldChar w:fldCharType="end"/>
      </w:r>
      <w:r>
        <w:rPr>
          <w:b w:val="0"/>
          <w:bCs w:val="0"/>
        </w:rPr>
        <w:fldChar w:fldCharType="end"/>
      </w:r>
    </w:p>
    <w:p>
      <w:pPr>
        <w:pStyle w:val="15"/>
        <w:tabs>
          <w:tab w:val="right" w:leader="dot" w:pos="8834"/>
        </w:tabs>
        <w:spacing w:line="580" w:lineRule="exact"/>
        <w:ind w:leftChars="150" w:firstLine="198" w:firstLineChars="71"/>
        <w:rPr>
          <w:b w:val="0"/>
          <w:bCs w:val="0"/>
        </w:rPr>
      </w:pPr>
      <w:r>
        <w:rPr>
          <w:b w:val="0"/>
          <w:bCs w:val="0"/>
        </w:rPr>
        <w:fldChar w:fldCharType="begin"/>
      </w:r>
      <w:r>
        <w:rPr>
          <w:b w:val="0"/>
          <w:bCs w:val="0"/>
        </w:rPr>
        <w:instrText xml:space="preserve"> HYPERLINK \l "_Toc114320455" </w:instrText>
      </w:r>
      <w:r>
        <w:rPr>
          <w:b w:val="0"/>
          <w:bCs w:val="0"/>
        </w:rPr>
        <w:fldChar w:fldCharType="separate"/>
      </w:r>
      <w:r>
        <w:rPr>
          <w:b w:val="0"/>
          <w:bCs w:val="0"/>
        </w:rPr>
        <w:t>（一）评价目的</w:t>
      </w:r>
      <w:r>
        <w:rPr>
          <w:b w:val="0"/>
          <w:bCs w:val="0"/>
        </w:rPr>
        <w:tab/>
      </w:r>
      <w:r>
        <w:rPr>
          <w:b w:val="0"/>
          <w:bCs w:val="0"/>
        </w:rPr>
        <w:fldChar w:fldCharType="begin"/>
      </w:r>
      <w:r>
        <w:rPr>
          <w:b w:val="0"/>
          <w:bCs w:val="0"/>
        </w:rPr>
        <w:instrText xml:space="preserve"> PAGEREF _Toc114320455 \h </w:instrText>
      </w:r>
      <w:r>
        <w:rPr>
          <w:b w:val="0"/>
          <w:bCs w:val="0"/>
        </w:rPr>
        <w:fldChar w:fldCharType="separate"/>
      </w:r>
      <w:r>
        <w:rPr>
          <w:b w:val="0"/>
          <w:bCs w:val="0"/>
        </w:rPr>
        <w:t>2</w:t>
      </w:r>
      <w:r>
        <w:rPr>
          <w:b w:val="0"/>
          <w:bCs w:val="0"/>
        </w:rPr>
        <w:fldChar w:fldCharType="end"/>
      </w:r>
      <w:r>
        <w:rPr>
          <w:b w:val="0"/>
          <w:bCs w:val="0"/>
        </w:rPr>
        <w:fldChar w:fldCharType="end"/>
      </w:r>
    </w:p>
    <w:p>
      <w:pPr>
        <w:pStyle w:val="15"/>
        <w:tabs>
          <w:tab w:val="right" w:leader="dot" w:pos="8834"/>
        </w:tabs>
        <w:spacing w:line="580" w:lineRule="exact"/>
        <w:ind w:leftChars="150" w:firstLine="198" w:firstLineChars="71"/>
        <w:rPr>
          <w:b w:val="0"/>
          <w:bCs w:val="0"/>
        </w:rPr>
      </w:pPr>
      <w:r>
        <w:rPr>
          <w:b w:val="0"/>
          <w:bCs w:val="0"/>
        </w:rPr>
        <w:fldChar w:fldCharType="begin"/>
      </w:r>
      <w:r>
        <w:rPr>
          <w:b w:val="0"/>
          <w:bCs w:val="0"/>
        </w:rPr>
        <w:instrText xml:space="preserve"> HYPERLINK \l "_Toc114320456" </w:instrText>
      </w:r>
      <w:r>
        <w:rPr>
          <w:b w:val="0"/>
          <w:bCs w:val="0"/>
        </w:rPr>
        <w:fldChar w:fldCharType="separate"/>
      </w:r>
      <w:r>
        <w:rPr>
          <w:b w:val="0"/>
          <w:bCs w:val="0"/>
        </w:rPr>
        <w:t>（二）评价对象与范围</w:t>
      </w:r>
      <w:r>
        <w:rPr>
          <w:b w:val="0"/>
          <w:bCs w:val="0"/>
        </w:rPr>
        <w:tab/>
      </w:r>
      <w:r>
        <w:rPr>
          <w:b w:val="0"/>
          <w:bCs w:val="0"/>
        </w:rPr>
        <w:fldChar w:fldCharType="begin"/>
      </w:r>
      <w:r>
        <w:rPr>
          <w:b w:val="0"/>
          <w:bCs w:val="0"/>
        </w:rPr>
        <w:instrText xml:space="preserve"> PAGEREF _Toc114320456 \h </w:instrText>
      </w:r>
      <w:r>
        <w:rPr>
          <w:b w:val="0"/>
          <w:bCs w:val="0"/>
        </w:rPr>
        <w:fldChar w:fldCharType="separate"/>
      </w:r>
      <w:r>
        <w:rPr>
          <w:b w:val="0"/>
          <w:bCs w:val="0"/>
        </w:rPr>
        <w:t>2</w:t>
      </w:r>
      <w:r>
        <w:rPr>
          <w:b w:val="0"/>
          <w:bCs w:val="0"/>
        </w:rPr>
        <w:fldChar w:fldCharType="end"/>
      </w:r>
      <w:r>
        <w:rPr>
          <w:b w:val="0"/>
          <w:bCs w:val="0"/>
        </w:rPr>
        <w:fldChar w:fldCharType="end"/>
      </w:r>
    </w:p>
    <w:p>
      <w:pPr>
        <w:pStyle w:val="15"/>
        <w:tabs>
          <w:tab w:val="right" w:leader="dot" w:pos="8834"/>
        </w:tabs>
        <w:spacing w:line="580" w:lineRule="exact"/>
        <w:ind w:leftChars="150" w:firstLine="198" w:firstLineChars="71"/>
        <w:rPr>
          <w:b w:val="0"/>
          <w:bCs w:val="0"/>
        </w:rPr>
      </w:pPr>
      <w:r>
        <w:rPr>
          <w:b w:val="0"/>
          <w:bCs w:val="0"/>
        </w:rPr>
        <w:fldChar w:fldCharType="begin"/>
      </w:r>
      <w:r>
        <w:rPr>
          <w:b w:val="0"/>
          <w:bCs w:val="0"/>
        </w:rPr>
        <w:instrText xml:space="preserve"> HYPERLINK \l "_Toc114320459" </w:instrText>
      </w:r>
      <w:r>
        <w:rPr>
          <w:b w:val="0"/>
          <w:bCs w:val="0"/>
        </w:rPr>
        <w:fldChar w:fldCharType="separate"/>
      </w:r>
      <w:r>
        <w:rPr>
          <w:b w:val="0"/>
          <w:bCs w:val="0"/>
        </w:rPr>
        <w:t>（三）评价依据</w:t>
      </w:r>
      <w:r>
        <w:rPr>
          <w:b w:val="0"/>
          <w:bCs w:val="0"/>
        </w:rPr>
        <w:tab/>
      </w:r>
      <w:r>
        <w:rPr>
          <w:b w:val="0"/>
          <w:bCs w:val="0"/>
        </w:rPr>
        <w:fldChar w:fldCharType="begin"/>
      </w:r>
      <w:r>
        <w:rPr>
          <w:b w:val="0"/>
          <w:bCs w:val="0"/>
        </w:rPr>
        <w:instrText xml:space="preserve"> PAGEREF _Toc114320459 \h </w:instrText>
      </w:r>
      <w:r>
        <w:rPr>
          <w:b w:val="0"/>
          <w:bCs w:val="0"/>
        </w:rPr>
        <w:fldChar w:fldCharType="separate"/>
      </w:r>
      <w:r>
        <w:rPr>
          <w:b w:val="0"/>
          <w:bCs w:val="0"/>
        </w:rPr>
        <w:t>3</w:t>
      </w:r>
      <w:r>
        <w:rPr>
          <w:b w:val="0"/>
          <w:bCs w:val="0"/>
        </w:rPr>
        <w:fldChar w:fldCharType="end"/>
      </w:r>
      <w:r>
        <w:rPr>
          <w:b w:val="0"/>
          <w:bCs w:val="0"/>
        </w:rPr>
        <w:fldChar w:fldCharType="end"/>
      </w:r>
    </w:p>
    <w:p>
      <w:pPr>
        <w:pStyle w:val="15"/>
        <w:tabs>
          <w:tab w:val="right" w:leader="dot" w:pos="8834"/>
        </w:tabs>
        <w:spacing w:line="580" w:lineRule="exact"/>
        <w:ind w:leftChars="150" w:firstLine="198" w:firstLineChars="71"/>
        <w:rPr>
          <w:b w:val="0"/>
          <w:bCs w:val="0"/>
        </w:rPr>
      </w:pPr>
      <w:r>
        <w:rPr>
          <w:b w:val="0"/>
          <w:bCs w:val="0"/>
        </w:rPr>
        <w:fldChar w:fldCharType="begin"/>
      </w:r>
      <w:r>
        <w:rPr>
          <w:b w:val="0"/>
          <w:bCs w:val="0"/>
        </w:rPr>
        <w:instrText xml:space="preserve"> HYPERLINK \l "_Toc114320460" </w:instrText>
      </w:r>
      <w:r>
        <w:rPr>
          <w:b w:val="0"/>
          <w:bCs w:val="0"/>
        </w:rPr>
        <w:fldChar w:fldCharType="separate"/>
      </w:r>
      <w:r>
        <w:rPr>
          <w:b w:val="0"/>
          <w:bCs w:val="0"/>
        </w:rPr>
        <w:t>（四）评价原则及方法</w:t>
      </w:r>
      <w:r>
        <w:rPr>
          <w:b w:val="0"/>
          <w:bCs w:val="0"/>
        </w:rPr>
        <w:tab/>
      </w:r>
      <w:r>
        <w:rPr>
          <w:b w:val="0"/>
          <w:bCs w:val="0"/>
        </w:rPr>
        <w:fldChar w:fldCharType="begin"/>
      </w:r>
      <w:r>
        <w:rPr>
          <w:b w:val="0"/>
          <w:bCs w:val="0"/>
        </w:rPr>
        <w:instrText xml:space="preserve"> PAGEREF _Toc114320460 \h </w:instrText>
      </w:r>
      <w:r>
        <w:rPr>
          <w:b w:val="0"/>
          <w:bCs w:val="0"/>
        </w:rPr>
        <w:fldChar w:fldCharType="separate"/>
      </w:r>
      <w:r>
        <w:rPr>
          <w:b w:val="0"/>
          <w:bCs w:val="0"/>
        </w:rPr>
        <w:t>3</w:t>
      </w:r>
      <w:r>
        <w:rPr>
          <w:b w:val="0"/>
          <w:bCs w:val="0"/>
        </w:rPr>
        <w:fldChar w:fldCharType="end"/>
      </w:r>
      <w:r>
        <w:rPr>
          <w:b w:val="0"/>
          <w:bCs w:val="0"/>
        </w:rPr>
        <w:fldChar w:fldCharType="end"/>
      </w:r>
    </w:p>
    <w:p>
      <w:pPr>
        <w:pStyle w:val="15"/>
        <w:tabs>
          <w:tab w:val="right" w:leader="dot" w:pos="8834"/>
        </w:tabs>
        <w:spacing w:line="580" w:lineRule="exact"/>
        <w:ind w:leftChars="150" w:firstLine="198" w:firstLineChars="71"/>
        <w:rPr>
          <w:b w:val="0"/>
          <w:bCs w:val="0"/>
        </w:rPr>
      </w:pPr>
      <w:r>
        <w:rPr>
          <w:b w:val="0"/>
          <w:bCs w:val="0"/>
        </w:rPr>
        <w:fldChar w:fldCharType="begin"/>
      </w:r>
      <w:r>
        <w:rPr>
          <w:b w:val="0"/>
          <w:bCs w:val="0"/>
        </w:rPr>
        <w:instrText xml:space="preserve"> HYPERLINK \l "_Toc114320463" </w:instrText>
      </w:r>
      <w:r>
        <w:rPr>
          <w:b w:val="0"/>
          <w:bCs w:val="0"/>
        </w:rPr>
        <w:fldChar w:fldCharType="separate"/>
      </w:r>
      <w:r>
        <w:rPr>
          <w:b w:val="0"/>
          <w:bCs w:val="0"/>
        </w:rPr>
        <w:t>（五）绩效评价指标体系</w:t>
      </w:r>
      <w:r>
        <w:rPr>
          <w:b w:val="0"/>
          <w:bCs w:val="0"/>
        </w:rPr>
        <w:tab/>
      </w:r>
      <w:r>
        <w:rPr>
          <w:b w:val="0"/>
          <w:bCs w:val="0"/>
        </w:rPr>
        <w:fldChar w:fldCharType="begin"/>
      </w:r>
      <w:r>
        <w:rPr>
          <w:b w:val="0"/>
          <w:bCs w:val="0"/>
        </w:rPr>
        <w:instrText xml:space="preserve"> PAGEREF _Toc114320463 \h </w:instrText>
      </w:r>
      <w:r>
        <w:rPr>
          <w:b w:val="0"/>
          <w:bCs w:val="0"/>
        </w:rPr>
        <w:fldChar w:fldCharType="separate"/>
      </w:r>
      <w:r>
        <w:rPr>
          <w:b w:val="0"/>
          <w:bCs w:val="0"/>
        </w:rPr>
        <w:t>3</w:t>
      </w:r>
      <w:r>
        <w:rPr>
          <w:b w:val="0"/>
          <w:bCs w:val="0"/>
        </w:rPr>
        <w:fldChar w:fldCharType="end"/>
      </w:r>
      <w:r>
        <w:rPr>
          <w:b w:val="0"/>
          <w:bCs w:val="0"/>
        </w:rPr>
        <w:fldChar w:fldCharType="end"/>
      </w:r>
    </w:p>
    <w:p>
      <w:pPr>
        <w:pStyle w:val="15"/>
        <w:tabs>
          <w:tab w:val="right" w:leader="dot" w:pos="8834"/>
        </w:tabs>
        <w:spacing w:line="580" w:lineRule="exact"/>
        <w:ind w:leftChars="150" w:firstLine="198" w:firstLineChars="71"/>
        <w:rPr>
          <w:rStyle w:val="24"/>
          <w:rFonts w:ascii="楷体_GB2312" w:hAnsi="楷体_GB2312" w:eastAsia="楷体_GB2312" w:cs="楷体_GB2312"/>
          <w:b w:val="0"/>
          <w:bCs w:val="0"/>
        </w:rPr>
      </w:pPr>
      <w:r>
        <w:rPr>
          <w:b w:val="0"/>
          <w:bCs w:val="0"/>
        </w:rPr>
        <w:fldChar w:fldCharType="begin"/>
      </w:r>
      <w:r>
        <w:rPr>
          <w:b w:val="0"/>
          <w:bCs w:val="0"/>
        </w:rPr>
        <w:instrText xml:space="preserve"> HYPERLINK \l "_Toc114320464" </w:instrText>
      </w:r>
      <w:r>
        <w:rPr>
          <w:b w:val="0"/>
          <w:bCs w:val="0"/>
        </w:rPr>
        <w:fldChar w:fldCharType="separate"/>
      </w:r>
      <w:r>
        <w:rPr>
          <w:b w:val="0"/>
          <w:bCs w:val="0"/>
        </w:rPr>
        <w:t>（六）评价人员组成</w:t>
      </w:r>
      <w:r>
        <w:rPr>
          <w:b w:val="0"/>
          <w:bCs w:val="0"/>
        </w:rPr>
        <w:tab/>
      </w:r>
      <w:r>
        <w:rPr>
          <w:b w:val="0"/>
          <w:bCs w:val="0"/>
        </w:rPr>
        <w:fldChar w:fldCharType="begin"/>
      </w:r>
      <w:r>
        <w:rPr>
          <w:b w:val="0"/>
          <w:bCs w:val="0"/>
        </w:rPr>
        <w:instrText xml:space="preserve"> PAGEREF _Toc114320464 \h </w:instrText>
      </w:r>
      <w:r>
        <w:rPr>
          <w:b w:val="0"/>
          <w:bCs w:val="0"/>
        </w:rPr>
        <w:fldChar w:fldCharType="separate"/>
      </w:r>
      <w:r>
        <w:rPr>
          <w:b w:val="0"/>
          <w:bCs w:val="0"/>
        </w:rPr>
        <w:t>4</w:t>
      </w:r>
      <w:r>
        <w:rPr>
          <w:b w:val="0"/>
          <w:bCs w:val="0"/>
        </w:rPr>
        <w:fldChar w:fldCharType="end"/>
      </w:r>
      <w:r>
        <w:rPr>
          <w:b w:val="0"/>
          <w:bCs w:val="0"/>
        </w:rPr>
        <w:fldChar w:fldCharType="end"/>
      </w:r>
    </w:p>
    <w:p>
      <w:pPr>
        <w:pStyle w:val="14"/>
        <w:tabs>
          <w:tab w:val="right" w:leader="dot" w:pos="8834"/>
        </w:tabs>
        <w:spacing w:line="580" w:lineRule="exact"/>
        <w:ind w:firstLine="198" w:firstLineChars="71"/>
        <w:rPr>
          <w:rFonts w:asciiTheme="minorHAnsi" w:hAnsiTheme="minorHAnsi" w:eastAsiaTheme="minorEastAsia" w:cstheme="minorBidi"/>
          <w:b w:val="0"/>
          <w:bCs w:val="0"/>
          <w:sz w:val="21"/>
        </w:rPr>
      </w:pPr>
      <w:r>
        <w:rPr>
          <w:b w:val="0"/>
          <w:bCs w:val="0"/>
        </w:rPr>
        <w:fldChar w:fldCharType="begin"/>
      </w:r>
      <w:r>
        <w:rPr>
          <w:b w:val="0"/>
          <w:bCs w:val="0"/>
        </w:rPr>
        <w:instrText xml:space="preserve"> HYPERLINK \l "_Toc114320468" </w:instrText>
      </w:r>
      <w:r>
        <w:rPr>
          <w:b w:val="0"/>
          <w:bCs w:val="0"/>
        </w:rPr>
        <w:fldChar w:fldCharType="separate"/>
      </w:r>
      <w:r>
        <w:rPr>
          <w:rStyle w:val="24"/>
          <w:rFonts w:eastAsia="黑体"/>
          <w:b w:val="0"/>
          <w:bCs w:val="0"/>
          <w:kern w:val="0"/>
          <w:lang w:eastAsia="zh-Hans"/>
        </w:rPr>
        <w:t>四、评价结论与分析</w:t>
      </w:r>
      <w:r>
        <w:rPr>
          <w:b w:val="0"/>
          <w:bCs w:val="0"/>
        </w:rPr>
        <w:tab/>
      </w:r>
      <w:r>
        <w:rPr>
          <w:b w:val="0"/>
          <w:bCs w:val="0"/>
        </w:rPr>
        <w:fldChar w:fldCharType="begin"/>
      </w:r>
      <w:r>
        <w:rPr>
          <w:b w:val="0"/>
          <w:bCs w:val="0"/>
        </w:rPr>
        <w:instrText xml:space="preserve"> PAGEREF _Toc114320468 \h </w:instrText>
      </w:r>
      <w:r>
        <w:rPr>
          <w:b w:val="0"/>
          <w:bCs w:val="0"/>
        </w:rPr>
        <w:fldChar w:fldCharType="separate"/>
      </w:r>
      <w:r>
        <w:rPr>
          <w:b w:val="0"/>
          <w:bCs w:val="0"/>
        </w:rPr>
        <w:t>5</w:t>
      </w:r>
      <w:r>
        <w:rPr>
          <w:b w:val="0"/>
          <w:bCs w:val="0"/>
        </w:rPr>
        <w:fldChar w:fldCharType="end"/>
      </w:r>
      <w:r>
        <w:rPr>
          <w:b w:val="0"/>
          <w:bCs w:val="0"/>
        </w:rPr>
        <w:fldChar w:fldCharType="end"/>
      </w:r>
    </w:p>
    <w:p>
      <w:pPr>
        <w:pStyle w:val="15"/>
        <w:tabs>
          <w:tab w:val="right" w:leader="dot" w:pos="8834"/>
        </w:tabs>
        <w:spacing w:line="580" w:lineRule="exact"/>
        <w:ind w:leftChars="150" w:firstLine="198" w:firstLineChars="71"/>
        <w:rPr>
          <w:b w:val="0"/>
          <w:bCs w:val="0"/>
        </w:rPr>
      </w:pPr>
      <w:r>
        <w:rPr>
          <w:b w:val="0"/>
          <w:bCs w:val="0"/>
        </w:rPr>
        <w:fldChar w:fldCharType="begin"/>
      </w:r>
      <w:r>
        <w:rPr>
          <w:b w:val="0"/>
          <w:bCs w:val="0"/>
        </w:rPr>
        <w:instrText xml:space="preserve"> HYPERLINK \l "_Toc114320469" </w:instrText>
      </w:r>
      <w:r>
        <w:rPr>
          <w:b w:val="0"/>
          <w:bCs w:val="0"/>
        </w:rPr>
        <w:fldChar w:fldCharType="separate"/>
      </w:r>
      <w:r>
        <w:rPr>
          <w:b w:val="0"/>
          <w:bCs w:val="0"/>
        </w:rPr>
        <w:t>（一）综合评价结论</w:t>
      </w:r>
      <w:r>
        <w:rPr>
          <w:b w:val="0"/>
          <w:bCs w:val="0"/>
        </w:rPr>
        <w:tab/>
      </w:r>
      <w:r>
        <w:rPr>
          <w:b w:val="0"/>
          <w:bCs w:val="0"/>
        </w:rPr>
        <w:fldChar w:fldCharType="begin"/>
      </w:r>
      <w:r>
        <w:rPr>
          <w:b w:val="0"/>
          <w:bCs w:val="0"/>
        </w:rPr>
        <w:instrText xml:space="preserve"> PAGEREF _Toc114320469 \h </w:instrText>
      </w:r>
      <w:r>
        <w:rPr>
          <w:b w:val="0"/>
          <w:bCs w:val="0"/>
        </w:rPr>
        <w:fldChar w:fldCharType="separate"/>
      </w:r>
      <w:r>
        <w:rPr>
          <w:b w:val="0"/>
          <w:bCs w:val="0"/>
        </w:rPr>
        <w:t>5</w:t>
      </w:r>
      <w:r>
        <w:rPr>
          <w:b w:val="0"/>
          <w:bCs w:val="0"/>
        </w:rPr>
        <w:fldChar w:fldCharType="end"/>
      </w:r>
      <w:r>
        <w:rPr>
          <w:b w:val="0"/>
          <w:bCs w:val="0"/>
        </w:rPr>
        <w:fldChar w:fldCharType="end"/>
      </w:r>
    </w:p>
    <w:p>
      <w:pPr>
        <w:pStyle w:val="15"/>
        <w:tabs>
          <w:tab w:val="right" w:leader="dot" w:pos="8834"/>
        </w:tabs>
        <w:spacing w:line="580" w:lineRule="exact"/>
        <w:ind w:leftChars="150" w:firstLine="198" w:firstLineChars="71"/>
        <w:rPr>
          <w:b w:val="0"/>
          <w:bCs w:val="0"/>
        </w:rPr>
      </w:pPr>
      <w:r>
        <w:rPr>
          <w:b w:val="0"/>
          <w:bCs w:val="0"/>
        </w:rPr>
        <w:fldChar w:fldCharType="begin"/>
      </w:r>
      <w:r>
        <w:rPr>
          <w:b w:val="0"/>
          <w:bCs w:val="0"/>
        </w:rPr>
        <w:instrText xml:space="preserve"> HYPERLINK \l "_Toc114320470" </w:instrText>
      </w:r>
      <w:r>
        <w:rPr>
          <w:b w:val="0"/>
          <w:bCs w:val="0"/>
        </w:rPr>
        <w:fldChar w:fldCharType="separate"/>
      </w:r>
      <w:r>
        <w:rPr>
          <w:b w:val="0"/>
          <w:bCs w:val="0"/>
        </w:rPr>
        <w:t>（二）绩效综合分析</w:t>
      </w:r>
      <w:r>
        <w:rPr>
          <w:b w:val="0"/>
          <w:bCs w:val="0"/>
        </w:rPr>
        <w:tab/>
      </w:r>
      <w:r>
        <w:rPr>
          <w:b w:val="0"/>
          <w:bCs w:val="0"/>
        </w:rPr>
        <w:fldChar w:fldCharType="begin"/>
      </w:r>
      <w:r>
        <w:rPr>
          <w:b w:val="0"/>
          <w:bCs w:val="0"/>
        </w:rPr>
        <w:instrText xml:space="preserve"> PAGEREF _Toc114320470 \h </w:instrText>
      </w:r>
      <w:r>
        <w:rPr>
          <w:b w:val="0"/>
          <w:bCs w:val="0"/>
        </w:rPr>
        <w:fldChar w:fldCharType="separate"/>
      </w:r>
      <w:r>
        <w:rPr>
          <w:b w:val="0"/>
          <w:bCs w:val="0"/>
        </w:rPr>
        <w:t>5</w:t>
      </w:r>
      <w:r>
        <w:rPr>
          <w:b w:val="0"/>
          <w:bCs w:val="0"/>
        </w:rPr>
        <w:fldChar w:fldCharType="end"/>
      </w:r>
      <w:r>
        <w:rPr>
          <w:b w:val="0"/>
          <w:bCs w:val="0"/>
        </w:rPr>
        <w:fldChar w:fldCharType="end"/>
      </w:r>
    </w:p>
    <w:p>
      <w:pPr>
        <w:pStyle w:val="14"/>
        <w:tabs>
          <w:tab w:val="right" w:leader="dot" w:pos="8834"/>
        </w:tabs>
        <w:spacing w:line="580" w:lineRule="exact"/>
        <w:ind w:firstLine="198" w:firstLineChars="71"/>
        <w:rPr>
          <w:rFonts w:asciiTheme="minorHAnsi" w:hAnsiTheme="minorHAnsi" w:eastAsiaTheme="minorEastAsia" w:cstheme="minorBidi"/>
          <w:b w:val="0"/>
          <w:bCs w:val="0"/>
          <w:sz w:val="21"/>
        </w:rPr>
      </w:pPr>
      <w:r>
        <w:rPr>
          <w:b w:val="0"/>
          <w:bCs w:val="0"/>
        </w:rPr>
        <w:fldChar w:fldCharType="begin"/>
      </w:r>
      <w:r>
        <w:rPr>
          <w:b w:val="0"/>
          <w:bCs w:val="0"/>
        </w:rPr>
        <w:instrText xml:space="preserve"> HYPERLINK \l "_Toc114320471" </w:instrText>
      </w:r>
      <w:r>
        <w:rPr>
          <w:b w:val="0"/>
          <w:bCs w:val="0"/>
        </w:rPr>
        <w:fldChar w:fldCharType="separate"/>
      </w:r>
      <w:r>
        <w:rPr>
          <w:rStyle w:val="24"/>
          <w:rFonts w:eastAsia="黑体"/>
          <w:b w:val="0"/>
          <w:bCs w:val="0"/>
          <w:kern w:val="0"/>
          <w:lang w:eastAsia="zh-Hans"/>
        </w:rPr>
        <w:t>五、成效和主要经验做法</w:t>
      </w:r>
      <w:r>
        <w:rPr>
          <w:b w:val="0"/>
          <w:bCs w:val="0"/>
        </w:rPr>
        <w:tab/>
      </w:r>
      <w:r>
        <w:rPr>
          <w:b w:val="0"/>
          <w:bCs w:val="0"/>
        </w:rPr>
        <w:fldChar w:fldCharType="begin"/>
      </w:r>
      <w:r>
        <w:rPr>
          <w:b w:val="0"/>
          <w:bCs w:val="0"/>
        </w:rPr>
        <w:instrText xml:space="preserve"> PAGEREF _Toc114320471 \h </w:instrText>
      </w:r>
      <w:r>
        <w:rPr>
          <w:b w:val="0"/>
          <w:bCs w:val="0"/>
        </w:rPr>
        <w:fldChar w:fldCharType="separate"/>
      </w:r>
      <w:r>
        <w:rPr>
          <w:b w:val="0"/>
          <w:bCs w:val="0"/>
        </w:rPr>
        <w:t>7</w:t>
      </w:r>
      <w:r>
        <w:rPr>
          <w:b w:val="0"/>
          <w:bCs w:val="0"/>
        </w:rPr>
        <w:fldChar w:fldCharType="end"/>
      </w:r>
      <w:r>
        <w:rPr>
          <w:b w:val="0"/>
          <w:bCs w:val="0"/>
        </w:rPr>
        <w:fldChar w:fldCharType="end"/>
      </w:r>
    </w:p>
    <w:p>
      <w:pPr>
        <w:pStyle w:val="15"/>
        <w:tabs>
          <w:tab w:val="right" w:leader="dot" w:pos="8834"/>
        </w:tabs>
        <w:spacing w:line="580" w:lineRule="exact"/>
        <w:ind w:leftChars="150" w:firstLine="198" w:firstLineChars="71"/>
        <w:rPr>
          <w:b w:val="0"/>
          <w:bCs w:val="0"/>
        </w:rPr>
      </w:pPr>
      <w:r>
        <w:rPr>
          <w:b w:val="0"/>
          <w:bCs w:val="0"/>
        </w:rPr>
        <w:fldChar w:fldCharType="begin"/>
      </w:r>
      <w:r>
        <w:rPr>
          <w:b w:val="0"/>
          <w:bCs w:val="0"/>
        </w:rPr>
        <w:instrText xml:space="preserve"> HYPERLINK \l "_Toc114320472" </w:instrText>
      </w:r>
      <w:r>
        <w:rPr>
          <w:b w:val="0"/>
          <w:bCs w:val="0"/>
        </w:rPr>
        <w:fldChar w:fldCharType="separate"/>
      </w:r>
      <w:r>
        <w:rPr>
          <w:b w:val="0"/>
          <w:bCs w:val="0"/>
        </w:rPr>
        <w:t>（一）完善政策体系，狠抓政策落实</w:t>
      </w:r>
      <w:r>
        <w:rPr>
          <w:b w:val="0"/>
          <w:bCs w:val="0"/>
        </w:rPr>
        <w:tab/>
      </w:r>
      <w:r>
        <w:rPr>
          <w:b w:val="0"/>
          <w:bCs w:val="0"/>
        </w:rPr>
        <w:fldChar w:fldCharType="begin"/>
      </w:r>
      <w:r>
        <w:rPr>
          <w:b w:val="0"/>
          <w:bCs w:val="0"/>
        </w:rPr>
        <w:instrText xml:space="preserve"> PAGEREF _Toc114320472 \h </w:instrText>
      </w:r>
      <w:r>
        <w:rPr>
          <w:b w:val="0"/>
          <w:bCs w:val="0"/>
        </w:rPr>
        <w:fldChar w:fldCharType="separate"/>
      </w:r>
      <w:r>
        <w:rPr>
          <w:b w:val="0"/>
          <w:bCs w:val="0"/>
        </w:rPr>
        <w:t>7</w:t>
      </w:r>
      <w:r>
        <w:rPr>
          <w:b w:val="0"/>
          <w:bCs w:val="0"/>
        </w:rPr>
        <w:fldChar w:fldCharType="end"/>
      </w:r>
      <w:r>
        <w:rPr>
          <w:b w:val="0"/>
          <w:bCs w:val="0"/>
        </w:rPr>
        <w:fldChar w:fldCharType="end"/>
      </w:r>
    </w:p>
    <w:p>
      <w:pPr>
        <w:pStyle w:val="15"/>
        <w:tabs>
          <w:tab w:val="right" w:leader="dot" w:pos="8834"/>
        </w:tabs>
        <w:spacing w:line="580" w:lineRule="exact"/>
        <w:ind w:leftChars="150" w:firstLine="198" w:firstLineChars="71"/>
        <w:rPr>
          <w:b w:val="0"/>
          <w:bCs w:val="0"/>
        </w:rPr>
      </w:pPr>
      <w:r>
        <w:rPr>
          <w:b w:val="0"/>
          <w:bCs w:val="0"/>
        </w:rPr>
        <w:fldChar w:fldCharType="begin"/>
      </w:r>
      <w:r>
        <w:rPr>
          <w:b w:val="0"/>
          <w:bCs w:val="0"/>
        </w:rPr>
        <w:instrText xml:space="preserve"> HYPERLINK \l "_Toc114320473" </w:instrText>
      </w:r>
      <w:r>
        <w:rPr>
          <w:b w:val="0"/>
          <w:bCs w:val="0"/>
        </w:rPr>
        <w:fldChar w:fldCharType="separate"/>
      </w:r>
      <w:r>
        <w:rPr>
          <w:b w:val="0"/>
          <w:bCs w:val="0"/>
        </w:rPr>
        <w:t>（二）重基础保障，抓高端引领</w:t>
      </w:r>
      <w:r>
        <w:rPr>
          <w:b w:val="0"/>
          <w:bCs w:val="0"/>
        </w:rPr>
        <w:tab/>
      </w:r>
      <w:r>
        <w:rPr>
          <w:b w:val="0"/>
          <w:bCs w:val="0"/>
        </w:rPr>
        <w:fldChar w:fldCharType="begin"/>
      </w:r>
      <w:r>
        <w:rPr>
          <w:b w:val="0"/>
          <w:bCs w:val="0"/>
        </w:rPr>
        <w:instrText xml:space="preserve"> PAGEREF _Toc114320473 \h </w:instrText>
      </w:r>
      <w:r>
        <w:rPr>
          <w:b w:val="0"/>
          <w:bCs w:val="0"/>
        </w:rPr>
        <w:fldChar w:fldCharType="separate"/>
      </w:r>
      <w:r>
        <w:rPr>
          <w:b w:val="0"/>
          <w:bCs w:val="0"/>
        </w:rPr>
        <w:t>8</w:t>
      </w:r>
      <w:r>
        <w:rPr>
          <w:b w:val="0"/>
          <w:bCs w:val="0"/>
        </w:rPr>
        <w:fldChar w:fldCharType="end"/>
      </w:r>
      <w:r>
        <w:rPr>
          <w:b w:val="0"/>
          <w:bCs w:val="0"/>
        </w:rPr>
        <w:fldChar w:fldCharType="end"/>
      </w:r>
    </w:p>
    <w:p>
      <w:pPr>
        <w:pStyle w:val="15"/>
        <w:tabs>
          <w:tab w:val="right" w:leader="dot" w:pos="8834"/>
        </w:tabs>
        <w:spacing w:line="580" w:lineRule="exact"/>
        <w:ind w:leftChars="150" w:firstLine="198" w:firstLineChars="71"/>
        <w:rPr>
          <w:b w:val="0"/>
          <w:bCs w:val="0"/>
        </w:rPr>
      </w:pPr>
      <w:r>
        <w:rPr>
          <w:b w:val="0"/>
          <w:bCs w:val="0"/>
        </w:rPr>
        <w:fldChar w:fldCharType="begin"/>
      </w:r>
      <w:r>
        <w:rPr>
          <w:b w:val="0"/>
          <w:bCs w:val="0"/>
        </w:rPr>
        <w:instrText xml:space="preserve"> HYPERLINK \l "_Toc114320474" </w:instrText>
      </w:r>
      <w:r>
        <w:rPr>
          <w:b w:val="0"/>
          <w:bCs w:val="0"/>
        </w:rPr>
        <w:fldChar w:fldCharType="separate"/>
      </w:r>
      <w:r>
        <w:rPr>
          <w:b w:val="0"/>
          <w:bCs w:val="0"/>
        </w:rPr>
        <w:t>（三）提升承载能力，加快平台建设</w:t>
      </w:r>
      <w:r>
        <w:rPr>
          <w:b w:val="0"/>
          <w:bCs w:val="0"/>
        </w:rPr>
        <w:tab/>
      </w:r>
      <w:r>
        <w:rPr>
          <w:b w:val="0"/>
          <w:bCs w:val="0"/>
        </w:rPr>
        <w:fldChar w:fldCharType="begin"/>
      </w:r>
      <w:r>
        <w:rPr>
          <w:b w:val="0"/>
          <w:bCs w:val="0"/>
        </w:rPr>
        <w:instrText xml:space="preserve"> PAGEREF _Toc114320474 \h </w:instrText>
      </w:r>
      <w:r>
        <w:rPr>
          <w:b w:val="0"/>
          <w:bCs w:val="0"/>
        </w:rPr>
        <w:fldChar w:fldCharType="separate"/>
      </w:r>
      <w:r>
        <w:rPr>
          <w:b w:val="0"/>
          <w:bCs w:val="0"/>
        </w:rPr>
        <w:t>8</w:t>
      </w:r>
      <w:r>
        <w:rPr>
          <w:b w:val="0"/>
          <w:bCs w:val="0"/>
        </w:rPr>
        <w:fldChar w:fldCharType="end"/>
      </w:r>
      <w:r>
        <w:rPr>
          <w:b w:val="0"/>
          <w:bCs w:val="0"/>
        </w:rPr>
        <w:fldChar w:fldCharType="end"/>
      </w:r>
    </w:p>
    <w:p>
      <w:pPr>
        <w:pStyle w:val="15"/>
        <w:tabs>
          <w:tab w:val="right" w:leader="dot" w:pos="8834"/>
        </w:tabs>
        <w:spacing w:line="580" w:lineRule="exact"/>
        <w:ind w:leftChars="150" w:firstLine="198" w:firstLineChars="71"/>
        <w:rPr>
          <w:b w:val="0"/>
          <w:bCs w:val="0"/>
        </w:rPr>
      </w:pPr>
      <w:r>
        <w:rPr>
          <w:b w:val="0"/>
          <w:bCs w:val="0"/>
        </w:rPr>
        <w:fldChar w:fldCharType="begin"/>
      </w:r>
      <w:r>
        <w:rPr>
          <w:b w:val="0"/>
          <w:bCs w:val="0"/>
        </w:rPr>
        <w:instrText xml:space="preserve"> HYPERLINK \l "_Toc114320475" </w:instrText>
      </w:r>
      <w:r>
        <w:rPr>
          <w:b w:val="0"/>
          <w:bCs w:val="0"/>
        </w:rPr>
        <w:fldChar w:fldCharType="separate"/>
      </w:r>
      <w:r>
        <w:rPr>
          <w:b w:val="0"/>
          <w:bCs w:val="0"/>
        </w:rPr>
        <w:t>（四）强化服务保障</w:t>
      </w:r>
      <w:r>
        <w:rPr>
          <w:b w:val="0"/>
          <w:bCs w:val="0"/>
        </w:rPr>
        <w:tab/>
      </w:r>
      <w:r>
        <w:rPr>
          <w:b w:val="0"/>
          <w:bCs w:val="0"/>
        </w:rPr>
        <w:fldChar w:fldCharType="begin"/>
      </w:r>
      <w:r>
        <w:rPr>
          <w:b w:val="0"/>
          <w:bCs w:val="0"/>
        </w:rPr>
        <w:instrText xml:space="preserve"> PAGEREF _Toc114320475 \h </w:instrText>
      </w:r>
      <w:r>
        <w:rPr>
          <w:b w:val="0"/>
          <w:bCs w:val="0"/>
        </w:rPr>
        <w:fldChar w:fldCharType="separate"/>
      </w:r>
      <w:r>
        <w:rPr>
          <w:b w:val="0"/>
          <w:bCs w:val="0"/>
        </w:rPr>
        <w:t>8</w:t>
      </w:r>
      <w:r>
        <w:rPr>
          <w:b w:val="0"/>
          <w:bCs w:val="0"/>
        </w:rPr>
        <w:fldChar w:fldCharType="end"/>
      </w:r>
      <w:r>
        <w:rPr>
          <w:b w:val="0"/>
          <w:bCs w:val="0"/>
        </w:rPr>
        <w:fldChar w:fldCharType="end"/>
      </w:r>
    </w:p>
    <w:p>
      <w:pPr>
        <w:pStyle w:val="14"/>
        <w:tabs>
          <w:tab w:val="right" w:leader="dot" w:pos="8834"/>
        </w:tabs>
        <w:spacing w:line="580" w:lineRule="exact"/>
        <w:ind w:firstLine="198" w:firstLineChars="71"/>
        <w:rPr>
          <w:rStyle w:val="24"/>
          <w:b w:val="0"/>
          <w:bCs w:val="0"/>
        </w:rPr>
      </w:pPr>
      <w:r>
        <w:rPr>
          <w:b w:val="0"/>
          <w:bCs w:val="0"/>
        </w:rPr>
        <w:fldChar w:fldCharType="begin"/>
      </w:r>
      <w:r>
        <w:rPr>
          <w:b w:val="0"/>
          <w:bCs w:val="0"/>
        </w:rPr>
        <w:instrText xml:space="preserve"> HYPERLINK \l "_Toc114320476" </w:instrText>
      </w:r>
      <w:r>
        <w:rPr>
          <w:b w:val="0"/>
          <w:bCs w:val="0"/>
        </w:rPr>
        <w:fldChar w:fldCharType="separate"/>
      </w:r>
      <w:r>
        <w:rPr>
          <w:rStyle w:val="24"/>
          <w:rFonts w:eastAsia="黑体"/>
          <w:b w:val="0"/>
          <w:bCs w:val="0"/>
          <w:kern w:val="0"/>
          <w:lang w:eastAsia="zh-Hans"/>
        </w:rPr>
        <w:t>六、存在的问题及原因分析</w:t>
      </w:r>
      <w:r>
        <w:rPr>
          <w:b w:val="0"/>
          <w:bCs w:val="0"/>
        </w:rPr>
        <w:tab/>
      </w:r>
      <w:r>
        <w:rPr>
          <w:b w:val="0"/>
          <w:bCs w:val="0"/>
        </w:rPr>
        <w:fldChar w:fldCharType="begin"/>
      </w:r>
      <w:r>
        <w:rPr>
          <w:b w:val="0"/>
          <w:bCs w:val="0"/>
        </w:rPr>
        <w:instrText xml:space="preserve"> PAGEREF _Toc114320476 \h </w:instrText>
      </w:r>
      <w:r>
        <w:rPr>
          <w:b w:val="0"/>
          <w:bCs w:val="0"/>
        </w:rPr>
        <w:fldChar w:fldCharType="separate"/>
      </w:r>
      <w:r>
        <w:rPr>
          <w:b w:val="0"/>
          <w:bCs w:val="0"/>
        </w:rPr>
        <w:t>9</w:t>
      </w:r>
      <w:r>
        <w:rPr>
          <w:b w:val="0"/>
          <w:bCs w:val="0"/>
        </w:rPr>
        <w:fldChar w:fldCharType="end"/>
      </w:r>
      <w:r>
        <w:rPr>
          <w:b w:val="0"/>
          <w:bCs w:val="0"/>
        </w:rPr>
        <w:fldChar w:fldCharType="end"/>
      </w:r>
    </w:p>
    <w:p>
      <w:pPr>
        <w:pStyle w:val="15"/>
        <w:tabs>
          <w:tab w:val="right" w:leader="dot" w:pos="8834"/>
        </w:tabs>
        <w:spacing w:line="580" w:lineRule="exact"/>
        <w:ind w:leftChars="150" w:firstLine="198" w:firstLineChars="71"/>
        <w:rPr>
          <w:b w:val="0"/>
          <w:bCs w:val="0"/>
        </w:rPr>
      </w:pPr>
      <w:r>
        <w:rPr>
          <w:b w:val="0"/>
          <w:bCs w:val="0"/>
        </w:rPr>
        <w:fldChar w:fldCharType="begin"/>
      </w:r>
      <w:r>
        <w:rPr>
          <w:b w:val="0"/>
          <w:bCs w:val="0"/>
        </w:rPr>
        <w:instrText xml:space="preserve"> HYPERLINK \l "_Toc114320480" </w:instrText>
      </w:r>
      <w:r>
        <w:rPr>
          <w:b w:val="0"/>
          <w:bCs w:val="0"/>
        </w:rPr>
        <w:fldChar w:fldCharType="separate"/>
      </w:r>
      <w:r>
        <w:rPr>
          <w:b w:val="0"/>
          <w:bCs w:val="0"/>
        </w:rPr>
        <w:t>（</w:t>
      </w:r>
      <w:r>
        <w:rPr>
          <w:rFonts w:hint="eastAsia"/>
          <w:b w:val="0"/>
          <w:bCs w:val="0"/>
        </w:rPr>
        <w:t>一</w:t>
      </w:r>
      <w:r>
        <w:rPr>
          <w:b w:val="0"/>
          <w:bCs w:val="0"/>
        </w:rPr>
        <w:t>）政策</w:t>
      </w:r>
      <w:r>
        <w:rPr>
          <w:rFonts w:hint="eastAsia"/>
          <w:b w:val="0"/>
          <w:bCs w:val="0"/>
        </w:rPr>
        <w:t>制定</w:t>
      </w:r>
      <w:r>
        <w:rPr>
          <w:b w:val="0"/>
          <w:bCs w:val="0"/>
        </w:rPr>
        <w:t>方面</w:t>
      </w:r>
      <w:r>
        <w:rPr>
          <w:b w:val="0"/>
          <w:bCs w:val="0"/>
        </w:rPr>
        <w:tab/>
      </w:r>
      <w:r>
        <w:rPr>
          <w:b w:val="0"/>
          <w:bCs w:val="0"/>
        </w:rPr>
        <w:fldChar w:fldCharType="begin"/>
      </w:r>
      <w:r>
        <w:rPr>
          <w:b w:val="0"/>
          <w:bCs w:val="0"/>
        </w:rPr>
        <w:instrText xml:space="preserve"> PAGEREF _Toc114320480 \h </w:instrText>
      </w:r>
      <w:r>
        <w:rPr>
          <w:b w:val="0"/>
          <w:bCs w:val="0"/>
        </w:rPr>
        <w:fldChar w:fldCharType="separate"/>
      </w:r>
      <w:r>
        <w:rPr>
          <w:b w:val="0"/>
          <w:bCs w:val="0"/>
        </w:rPr>
        <w:t>9</w:t>
      </w:r>
      <w:r>
        <w:rPr>
          <w:b w:val="0"/>
          <w:bCs w:val="0"/>
        </w:rPr>
        <w:fldChar w:fldCharType="end"/>
      </w:r>
      <w:r>
        <w:rPr>
          <w:b w:val="0"/>
          <w:bCs w:val="0"/>
        </w:rPr>
        <w:fldChar w:fldCharType="end"/>
      </w:r>
    </w:p>
    <w:p>
      <w:pPr>
        <w:pStyle w:val="15"/>
        <w:tabs>
          <w:tab w:val="right" w:leader="dot" w:pos="8834"/>
        </w:tabs>
        <w:spacing w:line="580" w:lineRule="exact"/>
        <w:ind w:leftChars="150" w:firstLine="198" w:firstLineChars="71"/>
        <w:rPr>
          <w:b w:val="0"/>
          <w:bCs w:val="0"/>
        </w:rPr>
      </w:pPr>
      <w:r>
        <w:rPr>
          <w:b w:val="0"/>
          <w:bCs w:val="0"/>
        </w:rPr>
        <w:fldChar w:fldCharType="begin"/>
      </w:r>
      <w:r>
        <w:rPr>
          <w:b w:val="0"/>
          <w:bCs w:val="0"/>
        </w:rPr>
        <w:instrText xml:space="preserve"> HYPERLINK \l "_Toc114320480" </w:instrText>
      </w:r>
      <w:r>
        <w:rPr>
          <w:b w:val="0"/>
          <w:bCs w:val="0"/>
        </w:rPr>
        <w:fldChar w:fldCharType="separate"/>
      </w:r>
      <w:r>
        <w:rPr>
          <w:b w:val="0"/>
          <w:bCs w:val="0"/>
        </w:rPr>
        <w:t>（二）政策产出方面</w:t>
      </w:r>
      <w:r>
        <w:rPr>
          <w:b w:val="0"/>
          <w:bCs w:val="0"/>
        </w:rPr>
        <w:tab/>
      </w:r>
      <w:r>
        <w:rPr>
          <w:b w:val="0"/>
          <w:bCs w:val="0"/>
        </w:rPr>
        <w:fldChar w:fldCharType="begin"/>
      </w:r>
      <w:r>
        <w:rPr>
          <w:b w:val="0"/>
          <w:bCs w:val="0"/>
        </w:rPr>
        <w:instrText xml:space="preserve"> PAGEREF _Toc114320480 \h </w:instrText>
      </w:r>
      <w:r>
        <w:rPr>
          <w:b w:val="0"/>
          <w:bCs w:val="0"/>
        </w:rPr>
        <w:fldChar w:fldCharType="separate"/>
      </w:r>
      <w:r>
        <w:rPr>
          <w:b w:val="0"/>
          <w:bCs w:val="0"/>
        </w:rPr>
        <w:t>9</w:t>
      </w:r>
      <w:r>
        <w:rPr>
          <w:b w:val="0"/>
          <w:bCs w:val="0"/>
        </w:rPr>
        <w:fldChar w:fldCharType="end"/>
      </w:r>
      <w:r>
        <w:rPr>
          <w:b w:val="0"/>
          <w:bCs w:val="0"/>
        </w:rPr>
        <w:fldChar w:fldCharType="end"/>
      </w:r>
    </w:p>
    <w:p>
      <w:pPr>
        <w:pStyle w:val="15"/>
        <w:tabs>
          <w:tab w:val="right" w:leader="dot" w:pos="8834"/>
        </w:tabs>
        <w:spacing w:line="580" w:lineRule="exact"/>
        <w:ind w:leftChars="150" w:firstLine="198" w:firstLineChars="71"/>
        <w:rPr>
          <w:rFonts w:asciiTheme="minorHAnsi" w:hAnsiTheme="minorHAnsi" w:eastAsiaTheme="minorEastAsia" w:cstheme="minorBidi"/>
          <w:b w:val="0"/>
          <w:bCs w:val="0"/>
          <w:sz w:val="21"/>
        </w:rPr>
      </w:pPr>
      <w:r>
        <w:rPr>
          <w:b w:val="0"/>
          <w:bCs w:val="0"/>
        </w:rPr>
        <w:fldChar w:fldCharType="begin"/>
      </w:r>
      <w:r>
        <w:rPr>
          <w:b w:val="0"/>
          <w:bCs w:val="0"/>
        </w:rPr>
        <w:instrText xml:space="preserve"> HYPERLINK \l "_Toc114320482" </w:instrText>
      </w:r>
      <w:r>
        <w:rPr>
          <w:b w:val="0"/>
          <w:bCs w:val="0"/>
        </w:rPr>
        <w:fldChar w:fldCharType="separate"/>
      </w:r>
      <w:r>
        <w:rPr>
          <w:b w:val="0"/>
          <w:bCs w:val="0"/>
        </w:rPr>
        <w:t>（三）政策效果方面</w:t>
      </w:r>
      <w:r>
        <w:rPr>
          <w:b w:val="0"/>
          <w:bCs w:val="0"/>
        </w:rPr>
        <w:tab/>
      </w:r>
      <w:r>
        <w:rPr>
          <w:b w:val="0"/>
          <w:bCs w:val="0"/>
        </w:rPr>
        <w:fldChar w:fldCharType="begin"/>
      </w:r>
      <w:r>
        <w:rPr>
          <w:b w:val="0"/>
          <w:bCs w:val="0"/>
        </w:rPr>
        <w:instrText xml:space="preserve"> PAGEREF _Toc114320482 \h </w:instrText>
      </w:r>
      <w:r>
        <w:rPr>
          <w:b w:val="0"/>
          <w:bCs w:val="0"/>
        </w:rPr>
        <w:fldChar w:fldCharType="separate"/>
      </w:r>
      <w:r>
        <w:rPr>
          <w:b w:val="0"/>
          <w:bCs w:val="0"/>
        </w:rPr>
        <w:t>11</w:t>
      </w:r>
      <w:r>
        <w:rPr>
          <w:b w:val="0"/>
          <w:bCs w:val="0"/>
        </w:rPr>
        <w:fldChar w:fldCharType="end"/>
      </w:r>
      <w:r>
        <w:rPr>
          <w:b w:val="0"/>
          <w:bCs w:val="0"/>
        </w:rPr>
        <w:fldChar w:fldCharType="end"/>
      </w:r>
    </w:p>
    <w:p>
      <w:pPr>
        <w:pStyle w:val="14"/>
        <w:tabs>
          <w:tab w:val="right" w:leader="dot" w:pos="8834"/>
        </w:tabs>
        <w:spacing w:line="580" w:lineRule="exact"/>
        <w:ind w:firstLine="198" w:firstLineChars="71"/>
        <w:rPr>
          <w:rFonts w:asciiTheme="minorHAnsi" w:hAnsiTheme="minorHAnsi" w:eastAsiaTheme="minorEastAsia" w:cstheme="minorBidi"/>
          <w:b w:val="0"/>
          <w:bCs w:val="0"/>
          <w:sz w:val="21"/>
        </w:rPr>
      </w:pPr>
      <w:r>
        <w:rPr>
          <w:b w:val="0"/>
          <w:bCs w:val="0"/>
        </w:rPr>
        <w:fldChar w:fldCharType="begin"/>
      </w:r>
      <w:r>
        <w:rPr>
          <w:b w:val="0"/>
          <w:bCs w:val="0"/>
        </w:rPr>
        <w:instrText xml:space="preserve"> HYPERLINK \l "_Toc114320486" </w:instrText>
      </w:r>
      <w:r>
        <w:rPr>
          <w:b w:val="0"/>
          <w:bCs w:val="0"/>
        </w:rPr>
        <w:fldChar w:fldCharType="separate"/>
      </w:r>
      <w:r>
        <w:rPr>
          <w:rStyle w:val="24"/>
          <w:rFonts w:eastAsia="黑体"/>
          <w:b w:val="0"/>
          <w:bCs w:val="0"/>
          <w:kern w:val="0"/>
        </w:rPr>
        <w:t>七</w:t>
      </w:r>
      <w:r>
        <w:rPr>
          <w:rStyle w:val="24"/>
          <w:rFonts w:eastAsia="黑体"/>
          <w:b w:val="0"/>
          <w:bCs w:val="0"/>
          <w:kern w:val="0"/>
          <w:lang w:eastAsia="zh-Hans"/>
        </w:rPr>
        <w:t>、相关建议</w:t>
      </w:r>
      <w:r>
        <w:rPr>
          <w:b w:val="0"/>
          <w:bCs w:val="0"/>
        </w:rPr>
        <w:tab/>
      </w:r>
      <w:r>
        <w:rPr>
          <w:b w:val="0"/>
          <w:bCs w:val="0"/>
        </w:rPr>
        <w:fldChar w:fldCharType="begin"/>
      </w:r>
      <w:r>
        <w:rPr>
          <w:b w:val="0"/>
          <w:bCs w:val="0"/>
        </w:rPr>
        <w:instrText xml:space="preserve"> PAGEREF _Toc114320486 \h </w:instrText>
      </w:r>
      <w:r>
        <w:rPr>
          <w:b w:val="0"/>
          <w:bCs w:val="0"/>
        </w:rPr>
        <w:fldChar w:fldCharType="separate"/>
      </w:r>
      <w:r>
        <w:rPr>
          <w:b w:val="0"/>
          <w:bCs w:val="0"/>
        </w:rPr>
        <w:t>12</w:t>
      </w:r>
      <w:r>
        <w:rPr>
          <w:b w:val="0"/>
          <w:bCs w:val="0"/>
        </w:rPr>
        <w:fldChar w:fldCharType="end"/>
      </w:r>
      <w:r>
        <w:rPr>
          <w:b w:val="0"/>
          <w:bCs w:val="0"/>
        </w:rPr>
        <w:fldChar w:fldCharType="end"/>
      </w:r>
    </w:p>
    <w:p>
      <w:pPr>
        <w:pStyle w:val="15"/>
        <w:tabs>
          <w:tab w:val="right" w:leader="dot" w:pos="8834"/>
        </w:tabs>
        <w:spacing w:line="580" w:lineRule="exact"/>
        <w:ind w:leftChars="150" w:firstLine="198" w:firstLineChars="71"/>
        <w:rPr>
          <w:b w:val="0"/>
          <w:bCs w:val="0"/>
        </w:rPr>
      </w:pPr>
      <w:r>
        <w:rPr>
          <w:b w:val="0"/>
          <w:bCs w:val="0"/>
        </w:rPr>
        <w:fldChar w:fldCharType="begin"/>
      </w:r>
      <w:r>
        <w:rPr>
          <w:b w:val="0"/>
          <w:bCs w:val="0"/>
        </w:rPr>
        <w:instrText xml:space="preserve"> HYPERLINK \l "_Toc114320487" </w:instrText>
      </w:r>
      <w:r>
        <w:rPr>
          <w:b w:val="0"/>
          <w:bCs w:val="0"/>
        </w:rPr>
        <w:fldChar w:fldCharType="separate"/>
      </w:r>
      <w:r>
        <w:rPr>
          <w:b w:val="0"/>
          <w:bCs w:val="0"/>
        </w:rPr>
        <w:t>（一）强化事前绩效评估应用，扎实做好政策制定</w:t>
      </w:r>
      <w:r>
        <w:rPr>
          <w:b w:val="0"/>
          <w:bCs w:val="0"/>
        </w:rPr>
        <w:tab/>
      </w:r>
      <w:r>
        <w:rPr>
          <w:b w:val="0"/>
          <w:bCs w:val="0"/>
        </w:rPr>
        <w:fldChar w:fldCharType="begin"/>
      </w:r>
      <w:r>
        <w:rPr>
          <w:b w:val="0"/>
          <w:bCs w:val="0"/>
        </w:rPr>
        <w:instrText xml:space="preserve"> PAGEREF _Toc114320487 \h </w:instrText>
      </w:r>
      <w:r>
        <w:rPr>
          <w:b w:val="0"/>
          <w:bCs w:val="0"/>
        </w:rPr>
        <w:fldChar w:fldCharType="separate"/>
      </w:r>
      <w:r>
        <w:rPr>
          <w:b w:val="0"/>
          <w:bCs w:val="0"/>
        </w:rPr>
        <w:t>12</w:t>
      </w:r>
      <w:r>
        <w:rPr>
          <w:b w:val="0"/>
          <w:bCs w:val="0"/>
        </w:rPr>
        <w:fldChar w:fldCharType="end"/>
      </w:r>
      <w:r>
        <w:rPr>
          <w:b w:val="0"/>
          <w:bCs w:val="0"/>
        </w:rPr>
        <w:fldChar w:fldCharType="end"/>
      </w:r>
    </w:p>
    <w:p>
      <w:pPr>
        <w:pStyle w:val="15"/>
        <w:tabs>
          <w:tab w:val="right" w:leader="dot" w:pos="8834"/>
        </w:tabs>
        <w:spacing w:line="580" w:lineRule="exact"/>
        <w:ind w:leftChars="150" w:firstLine="198" w:firstLineChars="71"/>
        <w:rPr>
          <w:b w:val="0"/>
          <w:bCs w:val="0"/>
        </w:rPr>
      </w:pPr>
      <w:r>
        <w:rPr>
          <w:b w:val="0"/>
          <w:bCs w:val="0"/>
        </w:rPr>
        <w:fldChar w:fldCharType="begin"/>
      </w:r>
      <w:r>
        <w:rPr>
          <w:b w:val="0"/>
          <w:bCs w:val="0"/>
        </w:rPr>
        <w:instrText xml:space="preserve"> HYPERLINK \l "_Toc114320488" </w:instrText>
      </w:r>
      <w:r>
        <w:rPr>
          <w:b w:val="0"/>
          <w:bCs w:val="0"/>
        </w:rPr>
        <w:fldChar w:fldCharType="separate"/>
      </w:r>
      <w:r>
        <w:rPr>
          <w:b w:val="0"/>
          <w:bCs w:val="0"/>
        </w:rPr>
        <w:t>（二）做好顶层设计，切实保障政策稳步落地</w:t>
      </w:r>
      <w:r>
        <w:rPr>
          <w:b w:val="0"/>
          <w:bCs w:val="0"/>
        </w:rPr>
        <w:tab/>
      </w:r>
      <w:r>
        <w:rPr>
          <w:b w:val="0"/>
          <w:bCs w:val="0"/>
        </w:rPr>
        <w:fldChar w:fldCharType="begin"/>
      </w:r>
      <w:r>
        <w:rPr>
          <w:b w:val="0"/>
          <w:bCs w:val="0"/>
        </w:rPr>
        <w:instrText xml:space="preserve"> PAGEREF _Toc114320488 \h </w:instrText>
      </w:r>
      <w:r>
        <w:rPr>
          <w:b w:val="0"/>
          <w:bCs w:val="0"/>
        </w:rPr>
        <w:fldChar w:fldCharType="separate"/>
      </w:r>
      <w:r>
        <w:rPr>
          <w:b w:val="0"/>
          <w:bCs w:val="0"/>
        </w:rPr>
        <w:t>12</w:t>
      </w:r>
      <w:r>
        <w:rPr>
          <w:b w:val="0"/>
          <w:bCs w:val="0"/>
        </w:rPr>
        <w:fldChar w:fldCharType="end"/>
      </w:r>
      <w:r>
        <w:rPr>
          <w:b w:val="0"/>
          <w:bCs w:val="0"/>
        </w:rPr>
        <w:fldChar w:fldCharType="end"/>
      </w:r>
    </w:p>
    <w:p>
      <w:pPr>
        <w:pStyle w:val="15"/>
        <w:tabs>
          <w:tab w:val="right" w:leader="dot" w:pos="8834"/>
        </w:tabs>
        <w:spacing w:line="580" w:lineRule="exact"/>
        <w:ind w:leftChars="150" w:firstLine="198" w:firstLineChars="71"/>
        <w:rPr>
          <w:b w:val="0"/>
          <w:bCs w:val="0"/>
        </w:rPr>
      </w:pPr>
      <w:r>
        <w:rPr>
          <w:b w:val="0"/>
          <w:bCs w:val="0"/>
        </w:rPr>
        <w:fldChar w:fldCharType="begin"/>
      </w:r>
      <w:r>
        <w:rPr>
          <w:b w:val="0"/>
          <w:bCs w:val="0"/>
        </w:rPr>
        <w:instrText xml:space="preserve"> HYPERLINK \l "_Toc114320489" </w:instrText>
      </w:r>
      <w:r>
        <w:rPr>
          <w:b w:val="0"/>
          <w:bCs w:val="0"/>
        </w:rPr>
        <w:fldChar w:fldCharType="separate"/>
      </w:r>
      <w:r>
        <w:rPr>
          <w:b w:val="0"/>
          <w:bCs w:val="0"/>
        </w:rPr>
        <w:t>（三）以市场需求为导向，优化人才引入方案</w:t>
      </w:r>
      <w:r>
        <w:rPr>
          <w:b w:val="0"/>
          <w:bCs w:val="0"/>
        </w:rPr>
        <w:tab/>
      </w:r>
      <w:r>
        <w:rPr>
          <w:b w:val="0"/>
          <w:bCs w:val="0"/>
        </w:rPr>
        <w:fldChar w:fldCharType="begin"/>
      </w:r>
      <w:r>
        <w:rPr>
          <w:b w:val="0"/>
          <w:bCs w:val="0"/>
        </w:rPr>
        <w:instrText xml:space="preserve"> PAGEREF _Toc114320489 \h </w:instrText>
      </w:r>
      <w:r>
        <w:rPr>
          <w:b w:val="0"/>
          <w:bCs w:val="0"/>
        </w:rPr>
        <w:fldChar w:fldCharType="separate"/>
      </w:r>
      <w:r>
        <w:rPr>
          <w:b w:val="0"/>
          <w:bCs w:val="0"/>
        </w:rPr>
        <w:t>13</w:t>
      </w:r>
      <w:r>
        <w:rPr>
          <w:b w:val="0"/>
          <w:bCs w:val="0"/>
        </w:rPr>
        <w:fldChar w:fldCharType="end"/>
      </w:r>
      <w:r>
        <w:rPr>
          <w:b w:val="0"/>
          <w:bCs w:val="0"/>
        </w:rPr>
        <w:fldChar w:fldCharType="end"/>
      </w:r>
    </w:p>
    <w:p>
      <w:pPr>
        <w:pStyle w:val="15"/>
        <w:tabs>
          <w:tab w:val="right" w:leader="dot" w:pos="8834"/>
        </w:tabs>
        <w:spacing w:line="580" w:lineRule="exact"/>
        <w:ind w:leftChars="150" w:firstLine="198" w:firstLineChars="71"/>
        <w:rPr>
          <w:b w:val="0"/>
          <w:bCs w:val="0"/>
        </w:rPr>
      </w:pPr>
      <w:r>
        <w:rPr>
          <w:b w:val="0"/>
          <w:bCs w:val="0"/>
        </w:rPr>
        <w:fldChar w:fldCharType="begin"/>
      </w:r>
      <w:r>
        <w:rPr>
          <w:b w:val="0"/>
          <w:bCs w:val="0"/>
        </w:rPr>
        <w:instrText xml:space="preserve"> HYPERLINK \l "_Toc114320490" </w:instrText>
      </w:r>
      <w:r>
        <w:rPr>
          <w:b w:val="0"/>
          <w:bCs w:val="0"/>
        </w:rPr>
        <w:fldChar w:fldCharType="separate"/>
      </w:r>
      <w:r>
        <w:rPr>
          <w:b w:val="0"/>
          <w:bCs w:val="0"/>
        </w:rPr>
        <w:t>（四）建立政策反馈机制，统筹管理政策兑现资金</w:t>
      </w:r>
      <w:r>
        <w:rPr>
          <w:b w:val="0"/>
          <w:bCs w:val="0"/>
        </w:rPr>
        <w:tab/>
      </w:r>
      <w:r>
        <w:rPr>
          <w:b w:val="0"/>
          <w:bCs w:val="0"/>
        </w:rPr>
        <w:fldChar w:fldCharType="begin"/>
      </w:r>
      <w:r>
        <w:rPr>
          <w:b w:val="0"/>
          <w:bCs w:val="0"/>
        </w:rPr>
        <w:instrText xml:space="preserve"> PAGEREF _Toc114320490 \h </w:instrText>
      </w:r>
      <w:r>
        <w:rPr>
          <w:b w:val="0"/>
          <w:bCs w:val="0"/>
        </w:rPr>
        <w:fldChar w:fldCharType="separate"/>
      </w:r>
      <w:r>
        <w:rPr>
          <w:b w:val="0"/>
          <w:bCs w:val="0"/>
        </w:rPr>
        <w:t>14</w:t>
      </w:r>
      <w:r>
        <w:rPr>
          <w:b w:val="0"/>
          <w:bCs w:val="0"/>
        </w:rPr>
        <w:fldChar w:fldCharType="end"/>
      </w:r>
      <w:r>
        <w:rPr>
          <w:b w:val="0"/>
          <w:bCs w:val="0"/>
        </w:rPr>
        <w:fldChar w:fldCharType="end"/>
      </w:r>
    </w:p>
    <w:p>
      <w:pPr>
        <w:pStyle w:val="15"/>
        <w:tabs>
          <w:tab w:val="right" w:leader="dot" w:pos="8834"/>
        </w:tabs>
        <w:spacing w:line="580" w:lineRule="exact"/>
        <w:ind w:leftChars="150" w:firstLine="198" w:firstLineChars="71"/>
        <w:rPr>
          <w:b w:val="0"/>
          <w:bCs w:val="0"/>
        </w:rPr>
      </w:pPr>
      <w:r>
        <w:rPr>
          <w:b w:val="0"/>
          <w:bCs w:val="0"/>
        </w:rPr>
        <w:fldChar w:fldCharType="begin"/>
      </w:r>
      <w:r>
        <w:rPr>
          <w:b w:val="0"/>
          <w:bCs w:val="0"/>
        </w:rPr>
        <w:instrText xml:space="preserve"> HYPERLINK \l "_Toc114320491" </w:instrText>
      </w:r>
      <w:r>
        <w:rPr>
          <w:b w:val="0"/>
          <w:bCs w:val="0"/>
        </w:rPr>
        <w:fldChar w:fldCharType="separate"/>
      </w:r>
      <w:r>
        <w:rPr>
          <w:b w:val="0"/>
          <w:bCs w:val="0"/>
        </w:rPr>
        <w:t>（五）优化调整人才政策，增强政策吸引力</w:t>
      </w:r>
      <w:r>
        <w:rPr>
          <w:b w:val="0"/>
          <w:bCs w:val="0"/>
        </w:rPr>
        <w:tab/>
      </w:r>
      <w:r>
        <w:rPr>
          <w:b w:val="0"/>
          <w:bCs w:val="0"/>
        </w:rPr>
        <w:fldChar w:fldCharType="begin"/>
      </w:r>
      <w:r>
        <w:rPr>
          <w:b w:val="0"/>
          <w:bCs w:val="0"/>
        </w:rPr>
        <w:instrText xml:space="preserve"> PAGEREF _Toc114320491 \h </w:instrText>
      </w:r>
      <w:r>
        <w:rPr>
          <w:b w:val="0"/>
          <w:bCs w:val="0"/>
        </w:rPr>
        <w:fldChar w:fldCharType="separate"/>
      </w:r>
      <w:r>
        <w:rPr>
          <w:b w:val="0"/>
          <w:bCs w:val="0"/>
        </w:rPr>
        <w:t>14</w:t>
      </w:r>
      <w:r>
        <w:rPr>
          <w:b w:val="0"/>
          <w:bCs w:val="0"/>
        </w:rPr>
        <w:fldChar w:fldCharType="end"/>
      </w:r>
      <w:r>
        <w:rPr>
          <w:b w:val="0"/>
          <w:bCs w:val="0"/>
        </w:rPr>
        <w:fldChar w:fldCharType="end"/>
      </w:r>
    </w:p>
    <w:p>
      <w:pPr>
        <w:pStyle w:val="15"/>
        <w:tabs>
          <w:tab w:val="right" w:leader="dot" w:pos="8834"/>
        </w:tabs>
        <w:spacing w:line="580" w:lineRule="exact"/>
        <w:ind w:leftChars="150" w:firstLine="198" w:firstLineChars="71"/>
        <w:rPr>
          <w:rFonts w:asciiTheme="minorHAnsi" w:hAnsiTheme="minorHAnsi" w:eastAsiaTheme="minorEastAsia" w:cstheme="minorBidi"/>
          <w:b w:val="0"/>
          <w:bCs w:val="0"/>
          <w:sz w:val="21"/>
        </w:rPr>
      </w:pPr>
      <w:r>
        <w:rPr>
          <w:b w:val="0"/>
          <w:bCs w:val="0"/>
        </w:rPr>
        <w:fldChar w:fldCharType="begin"/>
      </w:r>
      <w:r>
        <w:rPr>
          <w:b w:val="0"/>
          <w:bCs w:val="0"/>
        </w:rPr>
        <w:instrText xml:space="preserve"> HYPERLINK \l "_Toc114320492" </w:instrText>
      </w:r>
      <w:r>
        <w:rPr>
          <w:b w:val="0"/>
          <w:bCs w:val="0"/>
        </w:rPr>
        <w:fldChar w:fldCharType="separate"/>
      </w:r>
      <w:r>
        <w:rPr>
          <w:b w:val="0"/>
          <w:bCs w:val="0"/>
        </w:rPr>
        <w:t>（六）综合结论</w:t>
      </w:r>
      <w:r>
        <w:rPr>
          <w:b w:val="0"/>
          <w:bCs w:val="0"/>
        </w:rPr>
        <w:tab/>
      </w:r>
      <w:r>
        <w:rPr>
          <w:b w:val="0"/>
          <w:bCs w:val="0"/>
        </w:rPr>
        <w:fldChar w:fldCharType="begin"/>
      </w:r>
      <w:r>
        <w:rPr>
          <w:b w:val="0"/>
          <w:bCs w:val="0"/>
        </w:rPr>
        <w:instrText xml:space="preserve"> PAGEREF _Toc114320492 \h </w:instrText>
      </w:r>
      <w:r>
        <w:rPr>
          <w:b w:val="0"/>
          <w:bCs w:val="0"/>
        </w:rPr>
        <w:fldChar w:fldCharType="separate"/>
      </w:r>
      <w:r>
        <w:rPr>
          <w:b w:val="0"/>
          <w:bCs w:val="0"/>
        </w:rPr>
        <w:t>16</w:t>
      </w:r>
      <w:r>
        <w:rPr>
          <w:b w:val="0"/>
          <w:bCs w:val="0"/>
        </w:rPr>
        <w:fldChar w:fldCharType="end"/>
      </w:r>
      <w:r>
        <w:rPr>
          <w:b w:val="0"/>
          <w:bCs w:val="0"/>
        </w:rPr>
        <w:fldChar w:fldCharType="end"/>
      </w:r>
    </w:p>
    <w:p>
      <w:pPr>
        <w:pStyle w:val="14"/>
        <w:tabs>
          <w:tab w:val="right" w:leader="dot" w:pos="8834"/>
        </w:tabs>
        <w:spacing w:line="580" w:lineRule="exact"/>
        <w:ind w:firstLine="198" w:firstLineChars="71"/>
        <w:rPr>
          <w:rFonts w:asciiTheme="minorHAnsi" w:hAnsiTheme="minorHAnsi" w:eastAsiaTheme="minorEastAsia" w:cstheme="minorBidi"/>
          <w:b w:val="0"/>
          <w:bCs w:val="0"/>
          <w:sz w:val="21"/>
        </w:rPr>
      </w:pPr>
      <w:r>
        <w:rPr>
          <w:b w:val="0"/>
          <w:bCs w:val="0"/>
        </w:rPr>
        <w:fldChar w:fldCharType="begin"/>
      </w:r>
      <w:r>
        <w:rPr>
          <w:b w:val="0"/>
          <w:bCs w:val="0"/>
        </w:rPr>
        <w:instrText xml:space="preserve"> HYPERLINK \l "_Toc114320493" </w:instrText>
      </w:r>
      <w:r>
        <w:rPr>
          <w:b w:val="0"/>
          <w:bCs w:val="0"/>
        </w:rPr>
        <w:fldChar w:fldCharType="separate"/>
      </w:r>
      <w:r>
        <w:rPr>
          <w:rStyle w:val="24"/>
          <w:rFonts w:eastAsia="黑体"/>
          <w:b w:val="0"/>
          <w:bCs w:val="0"/>
          <w:kern w:val="0"/>
        </w:rPr>
        <w:t>八、附件</w:t>
      </w:r>
      <w:r>
        <w:rPr>
          <w:b w:val="0"/>
          <w:bCs w:val="0"/>
        </w:rPr>
        <w:tab/>
      </w:r>
      <w:r>
        <w:rPr>
          <w:b w:val="0"/>
          <w:bCs w:val="0"/>
        </w:rPr>
        <w:fldChar w:fldCharType="begin"/>
      </w:r>
      <w:r>
        <w:rPr>
          <w:b w:val="0"/>
          <w:bCs w:val="0"/>
        </w:rPr>
        <w:instrText xml:space="preserve"> PAGEREF _Toc114320493 \h </w:instrText>
      </w:r>
      <w:r>
        <w:rPr>
          <w:b w:val="0"/>
          <w:bCs w:val="0"/>
        </w:rPr>
        <w:fldChar w:fldCharType="separate"/>
      </w:r>
      <w:r>
        <w:rPr>
          <w:b w:val="0"/>
          <w:bCs w:val="0"/>
        </w:rPr>
        <w:t>16</w:t>
      </w:r>
      <w:r>
        <w:rPr>
          <w:b w:val="0"/>
          <w:bCs w:val="0"/>
        </w:rPr>
        <w:fldChar w:fldCharType="end"/>
      </w:r>
      <w:r>
        <w:rPr>
          <w:b w:val="0"/>
          <w:bCs w:val="0"/>
        </w:rPr>
        <w:fldChar w:fldCharType="end"/>
      </w:r>
    </w:p>
    <w:p>
      <w:pPr>
        <w:pStyle w:val="15"/>
        <w:tabs>
          <w:tab w:val="right" w:leader="dot" w:pos="8834"/>
        </w:tabs>
        <w:spacing w:line="580" w:lineRule="exact"/>
        <w:ind w:leftChars="150" w:firstLine="478" w:firstLineChars="171"/>
        <w:rPr>
          <w:rFonts w:asciiTheme="minorHAnsi" w:hAnsiTheme="minorHAnsi" w:eastAsiaTheme="minorEastAsia" w:cstheme="minorBidi"/>
          <w:b w:val="0"/>
          <w:bCs w:val="0"/>
          <w:sz w:val="21"/>
        </w:rPr>
      </w:pPr>
      <w:r>
        <w:rPr>
          <w:b w:val="0"/>
          <w:bCs w:val="0"/>
        </w:rPr>
        <w:fldChar w:fldCharType="begin"/>
      </w:r>
      <w:r>
        <w:rPr>
          <w:b w:val="0"/>
          <w:bCs w:val="0"/>
        </w:rPr>
        <w:instrText xml:space="preserve"> HYPERLINK \l "_Toc114320494" </w:instrText>
      </w:r>
      <w:r>
        <w:rPr>
          <w:b w:val="0"/>
          <w:bCs w:val="0"/>
        </w:rPr>
        <w:fldChar w:fldCharType="separate"/>
      </w:r>
      <w:r>
        <w:rPr>
          <w:rStyle w:val="24"/>
          <w:rFonts w:ascii="黑体" w:hAnsi="黑体" w:eastAsia="黑体" w:cs="仿宋_GB2312"/>
          <w:b w:val="0"/>
          <w:bCs w:val="0"/>
        </w:rPr>
        <w:t>附件1：菏泽市“人才新政30条”政策兑现绩效评价得分表</w:t>
      </w:r>
      <w:r>
        <w:rPr>
          <w:b w:val="0"/>
          <w:bCs w:val="0"/>
        </w:rPr>
        <w:tab/>
      </w:r>
      <w:r>
        <w:rPr>
          <w:b w:val="0"/>
          <w:bCs w:val="0"/>
        </w:rPr>
        <w:fldChar w:fldCharType="begin"/>
      </w:r>
      <w:r>
        <w:rPr>
          <w:b w:val="0"/>
          <w:bCs w:val="0"/>
        </w:rPr>
        <w:instrText xml:space="preserve"> PAGEREF _Toc114320494 \h </w:instrText>
      </w:r>
      <w:r>
        <w:rPr>
          <w:b w:val="0"/>
          <w:bCs w:val="0"/>
        </w:rPr>
        <w:fldChar w:fldCharType="separate"/>
      </w:r>
      <w:r>
        <w:rPr>
          <w:b w:val="0"/>
          <w:bCs w:val="0"/>
        </w:rPr>
        <w:t>17</w:t>
      </w:r>
      <w:r>
        <w:rPr>
          <w:b w:val="0"/>
          <w:bCs w:val="0"/>
        </w:rPr>
        <w:fldChar w:fldCharType="end"/>
      </w:r>
      <w:r>
        <w:rPr>
          <w:b w:val="0"/>
          <w:bCs w:val="0"/>
        </w:rPr>
        <w:fldChar w:fldCharType="end"/>
      </w:r>
    </w:p>
    <w:p>
      <w:pPr>
        <w:pStyle w:val="15"/>
        <w:tabs>
          <w:tab w:val="right" w:leader="dot" w:pos="8834"/>
        </w:tabs>
        <w:spacing w:line="580" w:lineRule="exact"/>
        <w:ind w:leftChars="150" w:firstLine="478" w:firstLineChars="171"/>
        <w:rPr>
          <w:rFonts w:asciiTheme="minorHAnsi" w:hAnsiTheme="minorHAnsi" w:eastAsiaTheme="minorEastAsia" w:cstheme="minorBidi"/>
          <w:b w:val="0"/>
          <w:bCs w:val="0"/>
          <w:sz w:val="21"/>
        </w:rPr>
      </w:pPr>
      <w:r>
        <w:rPr>
          <w:b w:val="0"/>
          <w:bCs w:val="0"/>
        </w:rPr>
        <w:fldChar w:fldCharType="begin"/>
      </w:r>
      <w:r>
        <w:rPr>
          <w:b w:val="0"/>
          <w:bCs w:val="0"/>
        </w:rPr>
        <w:instrText xml:space="preserve"> HYPERLINK \l "_Toc114320495" </w:instrText>
      </w:r>
      <w:r>
        <w:rPr>
          <w:b w:val="0"/>
          <w:bCs w:val="0"/>
        </w:rPr>
        <w:fldChar w:fldCharType="separate"/>
      </w:r>
      <w:r>
        <w:rPr>
          <w:rStyle w:val="24"/>
          <w:rFonts w:ascii="黑体" w:hAnsi="黑体" w:eastAsia="黑体" w:cstheme="minorEastAsia"/>
          <w:b w:val="0"/>
          <w:bCs w:val="0"/>
        </w:rPr>
        <w:t>附件2：问题清单</w:t>
      </w:r>
      <w:r>
        <w:rPr>
          <w:b w:val="0"/>
          <w:bCs w:val="0"/>
        </w:rPr>
        <w:tab/>
      </w:r>
      <w:r>
        <w:rPr>
          <w:b w:val="0"/>
          <w:bCs w:val="0"/>
        </w:rPr>
        <w:fldChar w:fldCharType="begin"/>
      </w:r>
      <w:r>
        <w:rPr>
          <w:b w:val="0"/>
          <w:bCs w:val="0"/>
        </w:rPr>
        <w:instrText xml:space="preserve"> PAGEREF _Toc114320495 \h </w:instrText>
      </w:r>
      <w:r>
        <w:rPr>
          <w:b w:val="0"/>
          <w:bCs w:val="0"/>
        </w:rPr>
        <w:fldChar w:fldCharType="separate"/>
      </w:r>
      <w:r>
        <w:rPr>
          <w:b w:val="0"/>
          <w:bCs w:val="0"/>
        </w:rPr>
        <w:t>26</w:t>
      </w:r>
      <w:r>
        <w:rPr>
          <w:b w:val="0"/>
          <w:bCs w:val="0"/>
        </w:rPr>
        <w:fldChar w:fldCharType="end"/>
      </w:r>
      <w:r>
        <w:rPr>
          <w:b w:val="0"/>
          <w:bCs w:val="0"/>
        </w:rPr>
        <w:fldChar w:fldCharType="end"/>
      </w:r>
    </w:p>
    <w:p>
      <w:pPr>
        <w:pStyle w:val="2"/>
        <w:snapToGrid w:val="0"/>
        <w:spacing w:after="0" w:line="580" w:lineRule="exact"/>
        <w:ind w:left="0" w:leftChars="0" w:firstLine="0" w:firstLineChars="0"/>
        <w:rPr>
          <w:rFonts w:hint="default"/>
          <w:b w:val="0"/>
          <w:bCs w:val="0"/>
        </w:rPr>
        <w:sectPr>
          <w:headerReference r:id="rId7" w:type="first"/>
          <w:footerReference r:id="rId10" w:type="first"/>
          <w:headerReference r:id="rId5" w:type="default"/>
          <w:footerReference r:id="rId8" w:type="default"/>
          <w:headerReference r:id="rId6" w:type="even"/>
          <w:footerReference r:id="rId9" w:type="even"/>
          <w:pgSz w:w="11906" w:h="16838"/>
          <w:pgMar w:top="2155" w:right="1474" w:bottom="1928" w:left="1588" w:header="851" w:footer="992" w:gutter="0"/>
          <w:pgNumType w:start="1"/>
          <w:cols w:space="425" w:num="1"/>
          <w:docGrid w:linePitch="312" w:charSpace="0"/>
        </w:sectPr>
      </w:pPr>
      <w:r>
        <w:rPr>
          <w:rFonts w:hint="default"/>
          <w:b w:val="0"/>
          <w:bCs w:val="0"/>
          <w:sz w:val="32"/>
          <w:szCs w:val="32"/>
        </w:rPr>
        <w:fldChar w:fldCharType="end"/>
      </w:r>
    </w:p>
    <w:bookmarkEnd w:id="2"/>
    <w:bookmarkEnd w:id="3"/>
    <w:p>
      <w:pPr>
        <w:adjustRightInd w:val="0"/>
        <w:snapToGrid w:val="0"/>
        <w:spacing w:line="360" w:lineRule="auto"/>
        <w:ind w:firstLine="198" w:firstLineChars="45"/>
        <w:jc w:val="center"/>
        <w:outlineLvl w:val="0"/>
        <w:rPr>
          <w:rFonts w:ascii="方正小标宋简体" w:hAnsi="黑体" w:eastAsia="方正小标宋简体" w:cs="黑体"/>
          <w:b w:val="0"/>
          <w:bCs w:val="0"/>
          <w:sz w:val="44"/>
          <w:szCs w:val="44"/>
        </w:rPr>
      </w:pPr>
      <w:bookmarkStart w:id="4" w:name="_Toc114320447"/>
      <w:bookmarkStart w:id="5" w:name="_Toc109592014"/>
      <w:bookmarkStart w:id="6" w:name="_Toc85377742"/>
      <w:bookmarkStart w:id="7" w:name="_Toc268005755"/>
      <w:r>
        <w:rPr>
          <w:rFonts w:hint="eastAsia" w:ascii="方正小标宋简体" w:hAnsi="黑体" w:eastAsia="方正小标宋简体" w:cs="黑体"/>
          <w:b w:val="0"/>
          <w:bCs w:val="0"/>
          <w:sz w:val="44"/>
          <w:szCs w:val="44"/>
        </w:rPr>
        <w:t>正</w:t>
      </w:r>
      <w:r>
        <w:rPr>
          <w:rFonts w:hint="eastAsia" w:ascii="方正小标宋简体" w:hAnsi="黑体" w:eastAsia="方正小标宋简体" w:cs="黑体"/>
          <w:b w:val="0"/>
          <w:bCs w:val="0"/>
          <w:sz w:val="44"/>
          <w:szCs w:val="44"/>
          <w:lang w:val="en-US" w:eastAsia="zh-CN"/>
        </w:rPr>
        <w:t xml:space="preserve">  </w:t>
      </w:r>
      <w:r>
        <w:rPr>
          <w:rFonts w:hint="eastAsia" w:ascii="方正小标宋简体" w:hAnsi="黑体" w:eastAsia="方正小标宋简体" w:cs="黑体"/>
          <w:b w:val="0"/>
          <w:bCs w:val="0"/>
          <w:sz w:val="44"/>
          <w:szCs w:val="44"/>
        </w:rPr>
        <w:t>文</w:t>
      </w:r>
      <w:bookmarkEnd w:id="4"/>
      <w:bookmarkEnd w:id="5"/>
      <w:bookmarkEnd w:id="6"/>
    </w:p>
    <w:p>
      <w:pPr>
        <w:pStyle w:val="39"/>
        <w:overflowPunct w:val="0"/>
        <w:adjustRightInd w:val="0"/>
        <w:snapToGrid w:val="0"/>
        <w:spacing w:line="600" w:lineRule="exact"/>
        <w:ind w:firstLine="640"/>
        <w:outlineLvl w:val="0"/>
        <w:rPr>
          <w:rFonts w:eastAsia="黑体"/>
          <w:b w:val="0"/>
          <w:bCs w:val="0"/>
          <w:color w:val="000000"/>
        </w:rPr>
      </w:pPr>
      <w:bookmarkStart w:id="8" w:name="_Toc79052284"/>
      <w:bookmarkStart w:id="9" w:name="_Toc79009213"/>
      <w:bookmarkStart w:id="10" w:name="_Toc109592015"/>
      <w:bookmarkStart w:id="11" w:name="_Toc151091250"/>
      <w:bookmarkStart w:id="12" w:name="_Toc114320448"/>
      <w:r>
        <w:rPr>
          <w:rFonts w:eastAsia="黑体"/>
          <w:b w:val="0"/>
          <w:bCs w:val="0"/>
          <w:color w:val="000000"/>
        </w:rPr>
        <w:t>一、基本情况</w:t>
      </w:r>
      <w:bookmarkEnd w:id="8"/>
      <w:bookmarkEnd w:id="9"/>
      <w:bookmarkEnd w:id="10"/>
      <w:bookmarkEnd w:id="11"/>
      <w:bookmarkEnd w:id="12"/>
    </w:p>
    <w:p>
      <w:pPr>
        <w:adjustRightInd w:val="0"/>
        <w:snapToGrid w:val="0"/>
        <w:spacing w:line="580" w:lineRule="exact"/>
        <w:ind w:firstLine="643"/>
        <w:outlineLvl w:val="1"/>
        <w:rPr>
          <w:rFonts w:ascii="楷体_GB2312" w:eastAsia="楷体_GB2312" w:hAnsiTheme="majorEastAsia" w:cstheme="majorEastAsia"/>
          <w:b w:val="0"/>
          <w:bCs w:val="0"/>
          <w:sz w:val="32"/>
          <w:szCs w:val="32"/>
        </w:rPr>
      </w:pPr>
      <w:bookmarkStart w:id="13" w:name="_Toc1064967996"/>
      <w:bookmarkStart w:id="14" w:name="_Toc79052285"/>
      <w:bookmarkStart w:id="15" w:name="_Toc79009214"/>
      <w:bookmarkStart w:id="16" w:name="_Toc114320449"/>
      <w:bookmarkStart w:id="17" w:name="_Toc109592016"/>
      <w:r>
        <w:rPr>
          <w:rFonts w:hint="eastAsia" w:ascii="楷体_GB2312" w:eastAsia="楷体_GB2312" w:hAnsiTheme="majorEastAsia" w:cstheme="majorEastAsia"/>
          <w:b w:val="0"/>
          <w:bCs w:val="0"/>
          <w:sz w:val="32"/>
          <w:szCs w:val="32"/>
        </w:rPr>
        <w:t>（一）政策</w:t>
      </w:r>
      <w:bookmarkEnd w:id="13"/>
      <w:bookmarkEnd w:id="14"/>
      <w:bookmarkEnd w:id="15"/>
      <w:r>
        <w:rPr>
          <w:rFonts w:hint="eastAsia" w:ascii="楷体_GB2312" w:eastAsia="楷体_GB2312" w:hAnsiTheme="majorEastAsia" w:cstheme="majorEastAsia"/>
          <w:b w:val="0"/>
          <w:bCs w:val="0"/>
          <w:sz w:val="32"/>
          <w:szCs w:val="32"/>
        </w:rPr>
        <w:t>概况</w:t>
      </w:r>
      <w:bookmarkEnd w:id="16"/>
      <w:bookmarkEnd w:id="17"/>
    </w:p>
    <w:p>
      <w:pPr>
        <w:pStyle w:val="17"/>
        <w:shd w:val="clear" w:color="auto" w:fill="FFFFFF"/>
        <w:adjustRightInd w:val="0"/>
        <w:snapToGrid w:val="0"/>
        <w:spacing w:before="0" w:beforeAutospacing="0" w:after="0" w:afterAutospacing="0" w:line="580" w:lineRule="exact"/>
        <w:ind w:firstLine="640" w:firstLineChars="200"/>
        <w:jc w:val="both"/>
        <w:rPr>
          <w:rFonts w:ascii="仿宋_GB2312" w:hAnsi="黑体" w:eastAsia="仿宋_GB2312" w:cstheme="minorBidi"/>
          <w:b w:val="0"/>
          <w:bCs w:val="0"/>
          <w:kern w:val="2"/>
          <w:sz w:val="32"/>
        </w:rPr>
      </w:pPr>
      <w:bookmarkStart w:id="18" w:name="_Toc1788394674"/>
      <w:bookmarkStart w:id="19" w:name="_Toc79052286"/>
      <w:bookmarkStart w:id="20" w:name="_Toc79009215"/>
      <w:bookmarkStart w:id="21" w:name="_Toc79586461"/>
      <w:r>
        <w:rPr>
          <w:rFonts w:hint="eastAsia" w:ascii="仿宋_GB2312" w:hAnsi="黑体" w:eastAsia="仿宋_GB2312" w:cstheme="minorBidi"/>
          <w:b w:val="0"/>
          <w:bCs w:val="0"/>
          <w:kern w:val="2"/>
          <w:sz w:val="32"/>
        </w:rPr>
        <w:t>为对接山东省新旧动能转换“十强”产业及菏泽市的七大主导产业，围绕菏泽市主导产业，整合“牡丹英才”、“菏泽市重点产业领军人才”工程，实施“动能转换领军人才特殊支持计划”，2018年6月菏泽</w:t>
      </w:r>
      <w:r>
        <w:rPr>
          <w:rFonts w:hint="eastAsia" w:ascii="仿宋_GB2312" w:hAnsi="黑体" w:eastAsia="仿宋_GB2312" w:cstheme="minorBidi"/>
          <w:b w:val="0"/>
          <w:bCs w:val="0"/>
          <w:kern w:val="2"/>
          <w:sz w:val="32"/>
          <w:lang w:eastAsia="zh-CN"/>
        </w:rPr>
        <w:t>市委、市政府</w:t>
      </w:r>
      <w:r>
        <w:rPr>
          <w:rFonts w:hint="eastAsia" w:ascii="仿宋_GB2312" w:hAnsi="黑体" w:eastAsia="仿宋_GB2312" w:cstheme="minorBidi"/>
          <w:b w:val="0"/>
          <w:bCs w:val="0"/>
          <w:kern w:val="2"/>
          <w:sz w:val="32"/>
        </w:rPr>
        <w:t>出台《关于印发＜菏泽市人才新政30条＞的通知》（菏发〔2018〕15号）。2019年2月，对《菏泽市人才新政30条》进行了修订。放宽了人才引进条件，加大了人才配套支持力度，使人才政策红利得以更大限度地释放。</w:t>
      </w:r>
    </w:p>
    <w:p>
      <w:pPr>
        <w:adjustRightInd w:val="0"/>
        <w:snapToGrid w:val="0"/>
        <w:spacing w:line="580" w:lineRule="exact"/>
        <w:ind w:firstLine="643"/>
        <w:outlineLvl w:val="1"/>
        <w:rPr>
          <w:rFonts w:ascii="楷体_GB2312" w:eastAsia="楷体_GB2312" w:hAnsiTheme="majorEastAsia" w:cstheme="majorEastAsia"/>
          <w:b w:val="0"/>
          <w:bCs w:val="0"/>
          <w:sz w:val="32"/>
          <w:szCs w:val="32"/>
        </w:rPr>
      </w:pPr>
      <w:bookmarkStart w:id="22" w:name="_Toc109491610"/>
      <w:bookmarkStart w:id="23" w:name="_Toc109210049"/>
      <w:bookmarkStart w:id="24" w:name="_Toc109592019"/>
      <w:bookmarkStart w:id="25" w:name="_Toc114320450"/>
      <w:r>
        <w:rPr>
          <w:rFonts w:hint="eastAsia" w:ascii="楷体_GB2312" w:eastAsia="楷体_GB2312" w:hAnsiTheme="majorEastAsia" w:cstheme="majorEastAsia"/>
          <w:b w:val="0"/>
          <w:bCs w:val="0"/>
          <w:sz w:val="32"/>
          <w:szCs w:val="32"/>
        </w:rPr>
        <w:t>（二）政策预算</w:t>
      </w:r>
      <w:bookmarkEnd w:id="22"/>
      <w:bookmarkEnd w:id="23"/>
      <w:bookmarkEnd w:id="24"/>
      <w:r>
        <w:rPr>
          <w:rFonts w:hint="eastAsia" w:ascii="楷体_GB2312" w:eastAsia="楷体_GB2312" w:hAnsiTheme="majorEastAsia" w:cstheme="majorEastAsia"/>
          <w:b w:val="0"/>
          <w:bCs w:val="0"/>
          <w:sz w:val="32"/>
          <w:szCs w:val="32"/>
        </w:rPr>
        <w:t>及支出情况</w:t>
      </w:r>
      <w:bookmarkEnd w:id="25"/>
    </w:p>
    <w:p>
      <w:pPr>
        <w:adjustRightInd w:val="0"/>
        <w:snapToGrid w:val="0"/>
        <w:spacing w:line="580" w:lineRule="exact"/>
        <w:ind w:firstLine="640"/>
        <w:rPr>
          <w:rFonts w:ascii="黑体" w:hAnsi="黑体" w:eastAsia="黑体"/>
          <w:b w:val="0"/>
          <w:bCs w:val="0"/>
          <w:color w:val="000000" w:themeColor="text1"/>
          <w:sz w:val="24"/>
          <w:szCs w:val="24"/>
          <w14:textFill>
            <w14:solidFill>
              <w14:schemeClr w14:val="tx1"/>
            </w14:solidFill>
          </w14:textFill>
        </w:rPr>
      </w:pPr>
      <w:bookmarkStart w:id="26" w:name="_Toc109592018"/>
      <w:bookmarkStart w:id="27" w:name="_Toc109491609"/>
      <w:r>
        <w:rPr>
          <w:rFonts w:hint="eastAsia" w:ascii="仿宋_GB2312" w:hAnsiTheme="minorEastAsia" w:cstheme="minorEastAsia"/>
          <w:b w:val="0"/>
          <w:bCs w:val="0"/>
          <w:sz w:val="32"/>
          <w:szCs w:val="32"/>
        </w:rPr>
        <w:t>菏泽市“人才新政30条”政策兑现预算资金2271.42万元</w:t>
      </w:r>
      <w:r>
        <w:rPr>
          <w:rFonts w:hint="eastAsia" w:ascii="仿宋_GB2312" w:hAnsiTheme="minorEastAsia" w:cstheme="minorEastAsia"/>
          <w:b w:val="0"/>
          <w:bCs w:val="0"/>
          <w:sz w:val="32"/>
          <w:szCs w:val="32"/>
          <w:lang w:eastAsia="zh-CN"/>
        </w:rPr>
        <w:t>（</w:t>
      </w:r>
      <w:r>
        <w:rPr>
          <w:rFonts w:hint="eastAsia" w:ascii="仿宋_GB2312" w:hAnsiTheme="minorEastAsia" w:cstheme="minorEastAsia"/>
          <w:b w:val="0"/>
          <w:bCs w:val="0"/>
          <w:sz w:val="32"/>
          <w:szCs w:val="32"/>
          <w:lang w:val="en-US" w:eastAsia="zh-CN"/>
        </w:rPr>
        <w:t>2021年预算资金用于兑现2020年政策</w:t>
      </w:r>
      <w:r>
        <w:rPr>
          <w:rFonts w:hint="eastAsia" w:ascii="仿宋_GB2312" w:hAnsiTheme="minorEastAsia" w:cstheme="minorEastAsia"/>
          <w:b w:val="0"/>
          <w:bCs w:val="0"/>
          <w:sz w:val="32"/>
          <w:szCs w:val="32"/>
          <w:lang w:eastAsia="zh-CN"/>
        </w:rPr>
        <w:t>）</w:t>
      </w:r>
      <w:r>
        <w:rPr>
          <w:rFonts w:hint="eastAsia" w:ascii="仿宋_GB2312" w:hAnsiTheme="minorEastAsia" w:cstheme="minorEastAsia"/>
          <w:b w:val="0"/>
          <w:bCs w:val="0"/>
          <w:sz w:val="32"/>
          <w:szCs w:val="32"/>
        </w:rPr>
        <w:t>，</w:t>
      </w:r>
      <w:r>
        <w:rPr>
          <w:rFonts w:hint="eastAsia" w:ascii="仿宋_GB2312" w:hAnsiTheme="minorEastAsia" w:cstheme="minorEastAsia"/>
          <w:b w:val="0"/>
          <w:bCs w:val="0"/>
          <w:sz w:val="32"/>
          <w:szCs w:val="32"/>
          <w:lang w:eastAsia="zh-Hans"/>
        </w:rPr>
        <w:t>实际支出2140.616万元，预算执行率94.24%</w:t>
      </w:r>
      <w:r>
        <w:rPr>
          <w:rFonts w:hint="eastAsia" w:ascii="仿宋_GB2312" w:hAnsiTheme="minorEastAsia" w:cstheme="minorEastAsia"/>
          <w:b w:val="0"/>
          <w:bCs w:val="0"/>
          <w:sz w:val="32"/>
          <w:szCs w:val="32"/>
        </w:rPr>
        <w:t>。</w:t>
      </w:r>
    </w:p>
    <w:p>
      <w:pPr>
        <w:adjustRightInd w:val="0"/>
        <w:snapToGrid w:val="0"/>
        <w:spacing w:line="580" w:lineRule="exact"/>
        <w:ind w:firstLine="643"/>
        <w:outlineLvl w:val="1"/>
        <w:rPr>
          <w:rFonts w:ascii="楷体_GB2312" w:eastAsia="楷体_GB2312" w:hAnsiTheme="majorEastAsia" w:cstheme="majorEastAsia"/>
          <w:b w:val="0"/>
          <w:bCs w:val="0"/>
          <w:sz w:val="32"/>
          <w:szCs w:val="32"/>
        </w:rPr>
      </w:pPr>
      <w:bookmarkStart w:id="28" w:name="_Toc114320451"/>
      <w:r>
        <w:rPr>
          <w:rFonts w:hint="eastAsia" w:ascii="楷体_GB2312" w:eastAsia="楷体_GB2312" w:hAnsiTheme="majorEastAsia" w:cstheme="majorEastAsia"/>
          <w:b w:val="0"/>
          <w:bCs w:val="0"/>
          <w:sz w:val="32"/>
          <w:szCs w:val="32"/>
        </w:rPr>
        <w:t>（三）政策内容</w:t>
      </w:r>
      <w:bookmarkEnd w:id="26"/>
      <w:bookmarkEnd w:id="27"/>
      <w:bookmarkEnd w:id="28"/>
    </w:p>
    <w:p>
      <w:pPr>
        <w:pStyle w:val="17"/>
        <w:shd w:val="clear" w:color="auto" w:fill="FFFFFF"/>
        <w:adjustRightInd w:val="0"/>
        <w:snapToGrid w:val="0"/>
        <w:spacing w:before="0" w:beforeAutospacing="0" w:after="0" w:afterAutospacing="0" w:line="580" w:lineRule="exact"/>
        <w:ind w:firstLine="640" w:firstLineChars="200"/>
        <w:rPr>
          <w:rFonts w:ascii="仿宋_GB2312" w:hAnsi="黑体" w:eastAsia="仿宋_GB2312" w:cstheme="minorBidi"/>
          <w:b w:val="0"/>
          <w:bCs w:val="0"/>
          <w:kern w:val="2"/>
          <w:sz w:val="32"/>
        </w:rPr>
      </w:pPr>
      <w:r>
        <w:rPr>
          <w:rFonts w:ascii="仿宋_GB2312" w:hAnsi="黑体" w:eastAsia="仿宋_GB2312" w:cstheme="minorBidi"/>
          <w:b w:val="0"/>
          <w:bCs w:val="0"/>
          <w:kern w:val="2"/>
          <w:sz w:val="32"/>
        </w:rPr>
        <w:t>菏泽市“人才新政30条”</w:t>
      </w:r>
      <w:r>
        <w:rPr>
          <w:rFonts w:hint="eastAsia" w:ascii="仿宋_GB2312" w:hAnsi="黑体" w:eastAsia="仿宋_GB2312" w:cstheme="minorBidi"/>
          <w:b w:val="0"/>
          <w:bCs w:val="0"/>
          <w:kern w:val="2"/>
          <w:sz w:val="32"/>
        </w:rPr>
        <w:t>修订版（菏发〔2019〕5号）内容涉及实施动能转换领军人才特殊支持计划、加大高端人才支持力度、实施高校毕业生集聚工程、加大技术技能人才培育力度、创优做强人才创新平台、加大人才融资扶持、提高科技人才成果收益、加强人才服务保障、强化政治引领和政治吸纳、打造特色鲜明的引才品牌共计30条政策。</w:t>
      </w:r>
    </w:p>
    <w:bookmarkEnd w:id="18"/>
    <w:bookmarkEnd w:id="19"/>
    <w:bookmarkEnd w:id="20"/>
    <w:bookmarkEnd w:id="21"/>
    <w:p>
      <w:pPr>
        <w:adjustRightInd w:val="0"/>
        <w:snapToGrid w:val="0"/>
        <w:spacing w:line="580" w:lineRule="exact"/>
        <w:ind w:firstLine="640"/>
        <w:outlineLvl w:val="1"/>
        <w:rPr>
          <w:rFonts w:ascii="仿宋_GB2312" w:hAnsi="楷体_GB2312" w:cs="楷体_GB2312"/>
          <w:b w:val="0"/>
          <w:bCs w:val="0"/>
          <w:sz w:val="32"/>
        </w:rPr>
      </w:pPr>
      <w:bookmarkStart w:id="29" w:name="_Toc114320452"/>
      <w:bookmarkStart w:id="30" w:name="_Toc109210050"/>
      <w:bookmarkStart w:id="31" w:name="_Toc109592020"/>
      <w:bookmarkStart w:id="32" w:name="_Toc25985"/>
      <w:bookmarkStart w:id="33" w:name="_Toc106903651"/>
      <w:bookmarkStart w:id="34" w:name="_Toc109491611"/>
      <w:r>
        <w:rPr>
          <w:rFonts w:hint="eastAsia" w:ascii="仿宋_GB2312" w:hAnsi="楷体_GB2312" w:cs="楷体_GB2312"/>
          <w:b w:val="0"/>
          <w:bCs w:val="0"/>
          <w:sz w:val="32"/>
        </w:rPr>
        <w:t>（四）组织管理</w:t>
      </w:r>
      <w:bookmarkEnd w:id="29"/>
      <w:bookmarkEnd w:id="30"/>
      <w:bookmarkEnd w:id="31"/>
      <w:bookmarkEnd w:id="32"/>
      <w:bookmarkEnd w:id="33"/>
      <w:bookmarkEnd w:id="34"/>
    </w:p>
    <w:p>
      <w:pPr>
        <w:pStyle w:val="2"/>
        <w:adjustRightInd w:val="0"/>
        <w:snapToGrid w:val="0"/>
        <w:spacing w:after="0" w:line="580" w:lineRule="exact"/>
        <w:ind w:left="0" w:leftChars="0" w:firstLine="643"/>
        <w:rPr>
          <w:rFonts w:hint="default" w:ascii="仿宋_GB2312" w:eastAsia="仿宋_GB2312" w:hAnsiTheme="minorEastAsia"/>
          <w:b w:val="0"/>
          <w:bCs w:val="0"/>
          <w:color w:val="000000" w:themeColor="text1"/>
          <w:sz w:val="32"/>
          <w:szCs w:val="32"/>
          <w14:textFill>
            <w14:solidFill>
              <w14:schemeClr w14:val="tx1"/>
            </w14:solidFill>
          </w14:textFill>
        </w:rPr>
      </w:pPr>
      <w:r>
        <w:rPr>
          <w:rFonts w:ascii="仿宋_GB2312" w:eastAsia="仿宋_GB2312" w:hAnsiTheme="minorEastAsia"/>
          <w:b w:val="0"/>
          <w:bCs w:val="0"/>
          <w:color w:val="000000" w:themeColor="text1"/>
          <w:sz w:val="32"/>
          <w:szCs w:val="32"/>
          <w14:textFill>
            <w14:solidFill>
              <w14:schemeClr w14:val="tx1"/>
            </w14:solidFill>
          </w14:textFill>
        </w:rPr>
        <w:t>资金管理方面，</w:t>
      </w:r>
      <w:r>
        <w:rPr>
          <w:rFonts w:ascii="仿宋_GB2312" w:eastAsia="仿宋_GB2312" w:hAnsiTheme="minorEastAsia"/>
          <w:b w:val="0"/>
          <w:bCs w:val="0"/>
          <w:color w:val="000000" w:themeColor="text1"/>
          <w:sz w:val="32"/>
          <w:szCs w:val="32"/>
          <w14:textFill>
            <w14:solidFill>
              <w14:schemeClr w14:val="tx1"/>
            </w14:solidFill>
          </w14:textFill>
        </w:rPr>
        <w:t>菏泽市财政局负责资金下发、绩效监控、绩效评价等资金管理；中共菏泽市委组织部、菏泽市招才引智服务中心负责资金预算编制、资金拨付、资金监管等。</w:t>
      </w:r>
    </w:p>
    <w:p>
      <w:pPr>
        <w:pStyle w:val="2"/>
        <w:adjustRightInd w:val="0"/>
        <w:snapToGrid w:val="0"/>
        <w:spacing w:after="0" w:line="580" w:lineRule="exact"/>
        <w:ind w:left="0" w:leftChars="0" w:firstLine="643"/>
        <w:rPr>
          <w:rFonts w:hint="default" w:ascii="仿宋_GB2312" w:hAnsi="黑体" w:eastAsia="仿宋_GB2312"/>
          <w:b w:val="0"/>
          <w:bCs w:val="0"/>
          <w:sz w:val="32"/>
          <w:shd w:val="clear" w:color="auto" w:fill="FF0000"/>
        </w:rPr>
      </w:pPr>
      <w:r>
        <w:rPr>
          <w:rFonts w:ascii="仿宋_GB2312" w:eastAsia="仿宋_GB2312" w:hAnsiTheme="minorEastAsia"/>
          <w:b w:val="0"/>
          <w:bCs w:val="0"/>
          <w:color w:val="000000" w:themeColor="text1"/>
          <w:sz w:val="32"/>
          <w:szCs w:val="32"/>
          <w14:textFill>
            <w14:solidFill>
              <w14:schemeClr w14:val="tx1"/>
            </w14:solidFill>
          </w14:textFill>
        </w:rPr>
        <w:t>项目管理方面，</w:t>
      </w:r>
      <w:r>
        <w:rPr>
          <w:rFonts w:ascii="仿宋_GB2312" w:eastAsia="仿宋_GB2312" w:hAnsiTheme="minorEastAsia"/>
          <w:b w:val="0"/>
          <w:bCs w:val="0"/>
          <w:color w:val="000000" w:themeColor="text1"/>
          <w:sz w:val="32"/>
          <w:szCs w:val="32"/>
          <w14:textFill>
            <w14:solidFill>
              <w14:schemeClr w14:val="tx1"/>
            </w14:solidFill>
          </w14:textFill>
        </w:rPr>
        <w:t>中共菏泽市委组织部、</w:t>
      </w:r>
      <w:r>
        <w:rPr>
          <w:rFonts w:ascii="仿宋_GB2312" w:hAnsi="黑体" w:eastAsia="仿宋_GB2312"/>
          <w:b w:val="0"/>
          <w:bCs w:val="0"/>
          <w:sz w:val="32"/>
        </w:rPr>
        <w:t>菏泽市发展和改革委员会、菏泽市科学技术局、菏泽市人力资源和社会保障局等有关部门负责组织政策相关人才的认定与奖励的申报，并对引进人才进行后续的跟踪管理。</w:t>
      </w:r>
    </w:p>
    <w:p>
      <w:pPr>
        <w:pStyle w:val="39"/>
        <w:overflowPunct w:val="0"/>
        <w:adjustRightInd w:val="0"/>
        <w:snapToGrid w:val="0"/>
        <w:spacing w:line="580" w:lineRule="exact"/>
        <w:ind w:firstLine="643"/>
        <w:outlineLvl w:val="0"/>
        <w:rPr>
          <w:rFonts w:hint="eastAsia" w:ascii="黑体" w:hAnsi="黑体" w:eastAsia="黑体" w:cs="黑体"/>
          <w:b w:val="0"/>
          <w:bCs w:val="0"/>
          <w:color w:val="000000"/>
          <w:lang w:eastAsia="zh-Hans"/>
        </w:rPr>
      </w:pPr>
      <w:bookmarkStart w:id="35" w:name="_Toc76055559"/>
      <w:bookmarkStart w:id="36" w:name="_Toc11597"/>
      <w:bookmarkStart w:id="37" w:name="_Toc45628968"/>
      <w:bookmarkStart w:id="38" w:name="_Toc114320453"/>
      <w:bookmarkStart w:id="39" w:name="_Toc109592021"/>
      <w:r>
        <w:rPr>
          <w:rFonts w:hint="eastAsia" w:ascii="黑体" w:hAnsi="黑体" w:eastAsia="黑体" w:cs="黑体"/>
          <w:b w:val="0"/>
          <w:bCs w:val="0"/>
          <w:color w:val="000000"/>
          <w:lang w:eastAsia="zh-Hans"/>
        </w:rPr>
        <w:t>二、政策目标</w:t>
      </w:r>
      <w:bookmarkEnd w:id="35"/>
      <w:bookmarkEnd w:id="36"/>
      <w:bookmarkEnd w:id="37"/>
      <w:bookmarkEnd w:id="38"/>
      <w:bookmarkEnd w:id="39"/>
    </w:p>
    <w:p>
      <w:pPr>
        <w:snapToGrid w:val="0"/>
        <w:spacing w:line="580" w:lineRule="exact"/>
        <w:ind w:firstLine="640"/>
        <w:rPr>
          <w:rFonts w:ascii="仿宋_GB2312" w:hAnsi="黑体"/>
          <w:b w:val="0"/>
          <w:bCs w:val="0"/>
          <w:sz w:val="32"/>
        </w:rPr>
      </w:pPr>
      <w:bookmarkStart w:id="40" w:name="_Toc45628971"/>
      <w:r>
        <w:rPr>
          <w:rFonts w:ascii="仿宋_GB2312" w:hAnsi="黑体"/>
          <w:b w:val="0"/>
          <w:bCs w:val="0"/>
          <w:sz w:val="32"/>
        </w:rPr>
        <w:t>不断完善人才政策体系</w:t>
      </w:r>
      <w:r>
        <w:rPr>
          <w:rFonts w:hint="eastAsia" w:ascii="仿宋_GB2312" w:hAnsi="黑体"/>
          <w:b w:val="0"/>
          <w:bCs w:val="0"/>
          <w:sz w:val="32"/>
        </w:rPr>
        <w:t>；</w:t>
      </w:r>
      <w:r>
        <w:rPr>
          <w:rFonts w:ascii="仿宋_GB2312" w:hAnsi="黑体"/>
          <w:b w:val="0"/>
          <w:bCs w:val="0"/>
          <w:sz w:val="32"/>
        </w:rPr>
        <w:t>提升高端人才数量</w:t>
      </w:r>
      <w:r>
        <w:rPr>
          <w:rFonts w:hint="eastAsia" w:ascii="仿宋_GB2312" w:hAnsi="黑体"/>
          <w:b w:val="0"/>
          <w:bCs w:val="0"/>
          <w:sz w:val="32"/>
        </w:rPr>
        <w:t>；</w:t>
      </w:r>
      <w:r>
        <w:rPr>
          <w:rFonts w:ascii="仿宋_GB2312" w:hAnsi="黑体"/>
          <w:b w:val="0"/>
          <w:bCs w:val="0"/>
          <w:sz w:val="32"/>
        </w:rPr>
        <w:t>高校毕业生集聚</w:t>
      </w:r>
      <w:r>
        <w:rPr>
          <w:rFonts w:hint="eastAsia" w:ascii="仿宋_GB2312" w:hAnsi="黑体"/>
          <w:b w:val="0"/>
          <w:bCs w:val="0"/>
          <w:sz w:val="32"/>
        </w:rPr>
        <w:t>；</w:t>
      </w:r>
      <w:r>
        <w:rPr>
          <w:rFonts w:ascii="仿宋_GB2312" w:hAnsi="黑体"/>
          <w:b w:val="0"/>
          <w:bCs w:val="0"/>
          <w:sz w:val="32"/>
        </w:rPr>
        <w:t>加大各类创新平台建设力度，努力提升各类创新人才和基层人才的培养、承载能力</w:t>
      </w:r>
      <w:r>
        <w:rPr>
          <w:rFonts w:hint="eastAsia" w:ascii="仿宋_GB2312" w:hAnsi="黑体"/>
          <w:b w:val="0"/>
          <w:bCs w:val="0"/>
          <w:sz w:val="32"/>
        </w:rPr>
        <w:t>；</w:t>
      </w:r>
      <w:r>
        <w:rPr>
          <w:rFonts w:ascii="仿宋_GB2312" w:hAnsi="黑体"/>
          <w:b w:val="0"/>
          <w:bCs w:val="0"/>
          <w:sz w:val="32"/>
        </w:rPr>
        <w:t>优化人才服务保障。为菏泽决胜全面小康、实现后来居上提供强有力的人才支撑，达到引才留才的目的。</w:t>
      </w:r>
      <w:r>
        <w:rPr>
          <w:rFonts w:hint="eastAsia" w:ascii="仿宋_GB2312" w:hAnsi="黑体"/>
          <w:b w:val="0"/>
          <w:bCs w:val="0"/>
          <w:sz w:val="32"/>
        </w:rPr>
        <w:t>对2020年符合条件的申报人员、平台应补尽补。</w:t>
      </w:r>
    </w:p>
    <w:bookmarkEnd w:id="40"/>
    <w:p>
      <w:pPr>
        <w:adjustRightInd w:val="0"/>
        <w:snapToGrid w:val="0"/>
        <w:spacing w:line="580" w:lineRule="exact"/>
        <w:ind w:firstLine="640"/>
        <w:outlineLvl w:val="0"/>
        <w:rPr>
          <w:rFonts w:ascii="黑体" w:hAnsi="黑体" w:eastAsia="黑体" w:cs="黑体"/>
          <w:b w:val="0"/>
          <w:bCs w:val="0"/>
          <w:color w:val="000000" w:themeColor="text1"/>
          <w:sz w:val="32"/>
          <w:lang w:eastAsia="zh-Hans"/>
          <w14:textFill>
            <w14:solidFill>
              <w14:schemeClr w14:val="tx1"/>
            </w14:solidFill>
          </w14:textFill>
        </w:rPr>
      </w:pPr>
      <w:bookmarkStart w:id="41" w:name="_Toc114320454"/>
      <w:bookmarkStart w:id="42" w:name="_Toc109592024"/>
      <w:bookmarkStart w:id="43" w:name="_Toc1827078976"/>
      <w:bookmarkStart w:id="44" w:name="_Toc17548"/>
      <w:bookmarkStart w:id="45" w:name="_Toc45628975"/>
      <w:bookmarkStart w:id="46" w:name="_Toc16597841"/>
      <w:r>
        <w:rPr>
          <w:rFonts w:hint="eastAsia" w:ascii="黑体" w:hAnsi="黑体" w:eastAsia="黑体" w:cs="黑体"/>
          <w:b w:val="0"/>
          <w:bCs w:val="0"/>
          <w:color w:val="000000" w:themeColor="text1"/>
          <w:sz w:val="32"/>
          <w:lang w:eastAsia="zh-Hans"/>
          <w14:textFill>
            <w14:solidFill>
              <w14:schemeClr w14:val="tx1"/>
            </w14:solidFill>
          </w14:textFill>
        </w:rPr>
        <w:t>三</w:t>
      </w:r>
      <w:r>
        <w:rPr>
          <w:rFonts w:ascii="黑体" w:hAnsi="黑体" w:eastAsia="黑体" w:cs="黑体"/>
          <w:b w:val="0"/>
          <w:bCs w:val="0"/>
          <w:color w:val="000000" w:themeColor="text1"/>
          <w:sz w:val="32"/>
          <w:lang w:eastAsia="zh-Hans"/>
          <w14:textFill>
            <w14:solidFill>
              <w14:schemeClr w14:val="tx1"/>
            </w14:solidFill>
          </w14:textFill>
        </w:rPr>
        <w:t>、评价</w:t>
      </w:r>
      <w:r>
        <w:rPr>
          <w:rFonts w:hint="eastAsia" w:ascii="黑体" w:hAnsi="黑体" w:eastAsia="黑体" w:cs="黑体"/>
          <w:b w:val="0"/>
          <w:bCs w:val="0"/>
          <w:color w:val="000000" w:themeColor="text1"/>
          <w:sz w:val="32"/>
          <w:lang w:eastAsia="zh-Hans"/>
          <w14:textFill>
            <w14:solidFill>
              <w14:schemeClr w14:val="tx1"/>
            </w14:solidFill>
          </w14:textFill>
        </w:rPr>
        <w:t>基本情况</w:t>
      </w:r>
      <w:bookmarkEnd w:id="41"/>
      <w:bookmarkEnd w:id="42"/>
    </w:p>
    <w:p>
      <w:pPr>
        <w:adjustRightInd w:val="0"/>
        <w:snapToGrid w:val="0"/>
        <w:spacing w:line="580" w:lineRule="exact"/>
        <w:ind w:firstLine="643"/>
        <w:outlineLvl w:val="1"/>
        <w:rPr>
          <w:rFonts w:ascii="楷体_GB2312" w:hAnsi="楷体_GB2312" w:eastAsia="楷体_GB2312" w:cs="楷体_GB2312"/>
          <w:b w:val="0"/>
          <w:bCs w:val="0"/>
          <w:sz w:val="32"/>
        </w:rPr>
      </w:pPr>
      <w:bookmarkStart w:id="47" w:name="_Toc15749"/>
      <w:bookmarkStart w:id="48" w:name="_Toc709"/>
      <w:bookmarkStart w:id="49" w:name="_Toc114320455"/>
      <w:bookmarkStart w:id="50" w:name="_Toc109592025"/>
      <w:bookmarkStart w:id="51" w:name="_Toc106903656"/>
      <w:r>
        <w:rPr>
          <w:rFonts w:ascii="楷体_GB2312" w:hAnsi="楷体_GB2312" w:eastAsia="楷体_GB2312" w:cs="楷体_GB2312"/>
          <w:b w:val="0"/>
          <w:bCs w:val="0"/>
          <w:sz w:val="32"/>
        </w:rPr>
        <w:t>（一）评价目的</w:t>
      </w:r>
      <w:bookmarkEnd w:id="47"/>
      <w:bookmarkEnd w:id="48"/>
      <w:bookmarkEnd w:id="49"/>
      <w:bookmarkEnd w:id="50"/>
      <w:bookmarkEnd w:id="51"/>
    </w:p>
    <w:p>
      <w:pPr>
        <w:snapToGrid w:val="0"/>
        <w:spacing w:line="580" w:lineRule="exact"/>
        <w:ind w:firstLine="640"/>
        <w:rPr>
          <w:rFonts w:ascii="仿宋_GB2312"/>
          <w:b w:val="0"/>
          <w:bCs w:val="0"/>
          <w:sz w:val="32"/>
          <w:szCs w:val="32"/>
        </w:rPr>
      </w:pPr>
      <w:r>
        <w:rPr>
          <w:rFonts w:ascii="仿宋_GB2312"/>
          <w:b w:val="0"/>
          <w:bCs w:val="0"/>
          <w:sz w:val="32"/>
          <w:szCs w:val="32"/>
        </w:rPr>
        <w:t>为进一步掌握菏泽市“人才新政30条”政策兑现情况，全面评估政策目标实现程度、政策实施状况、综合分析政策实施取得效益和效果，进而为政策的进一步改进、完善或退出提供依据。</w:t>
      </w:r>
    </w:p>
    <w:p>
      <w:pPr>
        <w:adjustRightInd w:val="0"/>
        <w:snapToGrid w:val="0"/>
        <w:spacing w:line="580" w:lineRule="exact"/>
        <w:ind w:firstLine="643"/>
        <w:outlineLvl w:val="1"/>
        <w:rPr>
          <w:rFonts w:ascii="楷体_GB2312" w:hAnsi="楷体_GB2312" w:eastAsia="楷体_GB2312" w:cs="楷体_GB2312"/>
          <w:b w:val="0"/>
          <w:bCs w:val="0"/>
          <w:sz w:val="32"/>
        </w:rPr>
      </w:pPr>
      <w:bookmarkStart w:id="52" w:name="_Toc18260"/>
      <w:bookmarkStart w:id="53" w:name="_Toc109592026"/>
      <w:bookmarkStart w:id="54" w:name="_Toc114320456"/>
      <w:bookmarkStart w:id="55" w:name="_Toc106903658"/>
      <w:bookmarkStart w:id="56" w:name="_Toc13356"/>
      <w:r>
        <w:rPr>
          <w:rFonts w:ascii="楷体_GB2312" w:hAnsi="楷体_GB2312" w:eastAsia="楷体_GB2312" w:cs="楷体_GB2312"/>
          <w:b w:val="0"/>
          <w:bCs w:val="0"/>
          <w:sz w:val="32"/>
        </w:rPr>
        <w:t>（</w:t>
      </w:r>
      <w:r>
        <w:rPr>
          <w:rFonts w:hint="eastAsia" w:ascii="楷体_GB2312" w:hAnsi="楷体_GB2312" w:eastAsia="楷体_GB2312" w:cs="楷体_GB2312"/>
          <w:b w:val="0"/>
          <w:bCs w:val="0"/>
          <w:sz w:val="32"/>
        </w:rPr>
        <w:t>二</w:t>
      </w:r>
      <w:r>
        <w:rPr>
          <w:rFonts w:ascii="楷体_GB2312" w:hAnsi="楷体_GB2312" w:eastAsia="楷体_GB2312" w:cs="楷体_GB2312"/>
          <w:b w:val="0"/>
          <w:bCs w:val="0"/>
          <w:sz w:val="32"/>
        </w:rPr>
        <w:t>）评价对象与</w:t>
      </w:r>
      <w:bookmarkEnd w:id="52"/>
      <w:r>
        <w:rPr>
          <w:rFonts w:ascii="楷体_GB2312" w:hAnsi="楷体_GB2312" w:eastAsia="楷体_GB2312" w:cs="楷体_GB2312"/>
          <w:b w:val="0"/>
          <w:bCs w:val="0"/>
          <w:sz w:val="32"/>
        </w:rPr>
        <w:t>范围</w:t>
      </w:r>
      <w:bookmarkEnd w:id="53"/>
      <w:bookmarkEnd w:id="54"/>
      <w:bookmarkEnd w:id="55"/>
      <w:bookmarkEnd w:id="56"/>
    </w:p>
    <w:p>
      <w:pPr>
        <w:adjustRightInd w:val="0"/>
        <w:snapToGrid w:val="0"/>
        <w:spacing w:line="580" w:lineRule="exact"/>
        <w:ind w:firstLine="640"/>
        <w:outlineLvl w:val="2"/>
        <w:rPr>
          <w:rFonts w:ascii="仿宋_GB2312" w:hAnsi="黑体"/>
          <w:b w:val="0"/>
          <w:bCs w:val="0"/>
          <w:sz w:val="32"/>
        </w:rPr>
      </w:pPr>
      <w:bookmarkStart w:id="57" w:name="_Toc23502"/>
      <w:bookmarkStart w:id="58" w:name="_Toc106903659"/>
      <w:bookmarkStart w:id="59" w:name="_Toc109592027"/>
      <w:bookmarkStart w:id="60" w:name="_Toc13224"/>
      <w:bookmarkStart w:id="61" w:name="_Toc109491618"/>
      <w:bookmarkStart w:id="62" w:name="_Toc109210057"/>
      <w:bookmarkStart w:id="63" w:name="_Toc114320457"/>
      <w:r>
        <w:rPr>
          <w:rFonts w:ascii="仿宋_GB2312" w:hAnsi="黑体"/>
          <w:b w:val="0"/>
          <w:bCs w:val="0"/>
          <w:color w:val="000000" w:themeColor="text1"/>
          <w:sz w:val="32"/>
          <w14:textFill>
            <w14:solidFill>
              <w14:schemeClr w14:val="tx1"/>
            </w14:solidFill>
          </w14:textFill>
        </w:rPr>
        <w:t>1.评价对象</w:t>
      </w:r>
      <w:bookmarkEnd w:id="57"/>
      <w:bookmarkEnd w:id="58"/>
      <w:bookmarkEnd w:id="59"/>
      <w:bookmarkEnd w:id="60"/>
      <w:bookmarkEnd w:id="61"/>
      <w:bookmarkEnd w:id="62"/>
      <w:bookmarkEnd w:id="63"/>
    </w:p>
    <w:p>
      <w:pPr>
        <w:snapToGrid w:val="0"/>
        <w:spacing w:line="580" w:lineRule="exact"/>
        <w:ind w:firstLine="640"/>
        <w:rPr>
          <w:rFonts w:ascii="仿宋_GB2312" w:hAnsi="黑体"/>
          <w:b w:val="0"/>
          <w:bCs w:val="0"/>
          <w:sz w:val="32"/>
        </w:rPr>
      </w:pPr>
      <w:r>
        <w:rPr>
          <w:rFonts w:ascii="仿宋_GB2312" w:hAnsi="黑体"/>
          <w:b w:val="0"/>
          <w:bCs w:val="0"/>
          <w:sz w:val="32"/>
        </w:rPr>
        <w:t>菏泽市“人才新政30条”政策。</w:t>
      </w:r>
    </w:p>
    <w:p>
      <w:pPr>
        <w:adjustRightInd w:val="0"/>
        <w:snapToGrid w:val="0"/>
        <w:spacing w:line="580" w:lineRule="exact"/>
        <w:ind w:firstLine="640"/>
        <w:outlineLvl w:val="2"/>
        <w:rPr>
          <w:rFonts w:ascii="仿宋_GB2312" w:hAnsi="黑体"/>
          <w:b w:val="0"/>
          <w:bCs w:val="0"/>
          <w:color w:val="000000" w:themeColor="text1"/>
          <w:sz w:val="32"/>
          <w14:textFill>
            <w14:solidFill>
              <w14:schemeClr w14:val="tx1"/>
            </w14:solidFill>
          </w14:textFill>
        </w:rPr>
      </w:pPr>
      <w:bookmarkStart w:id="64" w:name="_Toc106903660"/>
      <w:bookmarkStart w:id="65" w:name="_Toc10335"/>
      <w:bookmarkStart w:id="66" w:name="_Toc29887"/>
      <w:bookmarkStart w:id="67" w:name="_Toc109491619"/>
      <w:bookmarkStart w:id="68" w:name="_Toc109210058"/>
      <w:bookmarkStart w:id="69" w:name="_Toc114320458"/>
      <w:bookmarkStart w:id="70" w:name="_Toc109592028"/>
      <w:r>
        <w:rPr>
          <w:rFonts w:ascii="仿宋_GB2312" w:hAnsi="黑体"/>
          <w:b w:val="0"/>
          <w:bCs w:val="0"/>
          <w:color w:val="000000" w:themeColor="text1"/>
          <w:sz w:val="32"/>
          <w14:textFill>
            <w14:solidFill>
              <w14:schemeClr w14:val="tx1"/>
            </w14:solidFill>
          </w14:textFill>
        </w:rPr>
        <w:t>2.评价范围</w:t>
      </w:r>
      <w:bookmarkEnd w:id="64"/>
      <w:bookmarkEnd w:id="65"/>
      <w:bookmarkEnd w:id="66"/>
      <w:bookmarkEnd w:id="67"/>
      <w:bookmarkEnd w:id="68"/>
      <w:bookmarkEnd w:id="69"/>
      <w:bookmarkEnd w:id="70"/>
    </w:p>
    <w:p>
      <w:pPr>
        <w:snapToGrid w:val="0"/>
        <w:spacing w:line="580" w:lineRule="exact"/>
        <w:ind w:firstLine="640"/>
        <w:rPr>
          <w:b w:val="0"/>
          <w:bCs w:val="0"/>
        </w:rPr>
      </w:pPr>
      <w:r>
        <w:rPr>
          <w:rFonts w:ascii="仿宋_GB2312" w:hAnsi="黑体"/>
          <w:b w:val="0"/>
          <w:bCs w:val="0"/>
          <w:sz w:val="32"/>
        </w:rPr>
        <w:t>评价范围覆盖菏泽市9个市直相关单位，全部采用现场评价方式进行，根据补助情况抽取一定数量的县区进行深度调研。</w:t>
      </w:r>
      <w:r>
        <w:rPr>
          <w:rFonts w:ascii="仿宋_GB2312" w:hAnsi="黑体"/>
          <w:b w:val="0"/>
          <w:bCs w:val="0"/>
          <w:sz w:val="32"/>
        </w:rPr>
        <w:t>现场评价范围为100%</w:t>
      </w:r>
      <w:r>
        <w:rPr>
          <w:rFonts w:hint="eastAsia" w:ascii="仿宋_GB2312" w:hAnsi="黑体"/>
          <w:b w:val="0"/>
          <w:bCs w:val="0"/>
          <w:sz w:val="32"/>
        </w:rPr>
        <w:t>。</w:t>
      </w:r>
    </w:p>
    <w:p>
      <w:pPr>
        <w:adjustRightInd w:val="0"/>
        <w:snapToGrid w:val="0"/>
        <w:spacing w:line="580" w:lineRule="exact"/>
        <w:ind w:firstLine="643"/>
        <w:outlineLvl w:val="1"/>
        <w:rPr>
          <w:rFonts w:ascii="楷体_GB2312" w:hAnsi="楷体_GB2312" w:eastAsia="楷体_GB2312" w:cs="楷体_GB2312"/>
          <w:b w:val="0"/>
          <w:bCs w:val="0"/>
          <w:sz w:val="32"/>
        </w:rPr>
      </w:pPr>
      <w:bookmarkStart w:id="71" w:name="_Toc106903657"/>
      <w:bookmarkStart w:id="72" w:name="_Toc21218"/>
      <w:bookmarkStart w:id="73" w:name="_Toc109592030"/>
      <w:bookmarkStart w:id="74" w:name="_Toc30645"/>
      <w:bookmarkStart w:id="75" w:name="_Toc114320459"/>
      <w:r>
        <w:rPr>
          <w:rFonts w:hint="eastAsia" w:ascii="楷体_GB2312" w:hAnsi="楷体_GB2312" w:eastAsia="楷体_GB2312" w:cs="楷体_GB2312"/>
          <w:b w:val="0"/>
          <w:bCs w:val="0"/>
          <w:sz w:val="32"/>
        </w:rPr>
        <w:t>（三）评价依据</w:t>
      </w:r>
      <w:bookmarkEnd w:id="71"/>
      <w:bookmarkEnd w:id="72"/>
      <w:bookmarkEnd w:id="73"/>
      <w:bookmarkEnd w:id="74"/>
      <w:bookmarkEnd w:id="75"/>
    </w:p>
    <w:p>
      <w:pPr>
        <w:snapToGrid w:val="0"/>
        <w:spacing w:line="580" w:lineRule="exact"/>
        <w:ind w:firstLine="640"/>
        <w:rPr>
          <w:rFonts w:ascii="仿宋_GB2312" w:hAnsi="黑体"/>
          <w:b w:val="0"/>
          <w:bCs w:val="0"/>
          <w:sz w:val="32"/>
        </w:rPr>
      </w:pPr>
      <w:r>
        <w:rPr>
          <w:rFonts w:ascii="仿宋_GB2312" w:hAnsi="黑体"/>
          <w:b w:val="0"/>
          <w:bCs w:val="0"/>
          <w:sz w:val="32"/>
        </w:rPr>
        <w:t>1</w:t>
      </w:r>
      <w:r>
        <w:rPr>
          <w:rFonts w:ascii="仿宋_GB2312" w:hAnsi="黑体"/>
          <w:b w:val="0"/>
          <w:bCs w:val="0"/>
          <w:sz w:val="32"/>
          <w:lang w:eastAsia="zh-Hans"/>
        </w:rPr>
        <w:t>.</w:t>
      </w:r>
      <w:r>
        <w:rPr>
          <w:rFonts w:ascii="仿宋_GB2312" w:hAnsi="黑体"/>
          <w:b w:val="0"/>
          <w:bCs w:val="0"/>
          <w:sz w:val="32"/>
        </w:rPr>
        <w:t>《关于全面推进预算绩效管理的实施意见》（鲁发〔2019〕2号）；</w:t>
      </w:r>
    </w:p>
    <w:p>
      <w:pPr>
        <w:snapToGrid w:val="0"/>
        <w:spacing w:line="580" w:lineRule="exact"/>
        <w:ind w:firstLine="640"/>
        <w:rPr>
          <w:rFonts w:ascii="仿宋_GB2312" w:hAnsiTheme="minorEastAsia"/>
          <w:b w:val="0"/>
          <w:bCs w:val="0"/>
          <w:color w:val="000000" w:themeColor="text1"/>
          <w:sz w:val="32"/>
          <w:szCs w:val="32"/>
          <w14:textFill>
            <w14:solidFill>
              <w14:schemeClr w14:val="tx1"/>
            </w14:solidFill>
          </w14:textFill>
        </w:rPr>
      </w:pPr>
      <w:r>
        <w:rPr>
          <w:rFonts w:hint="eastAsia" w:ascii="仿宋_GB2312"/>
          <w:b w:val="0"/>
          <w:bCs w:val="0"/>
          <w:sz w:val="32"/>
          <w:szCs w:val="32"/>
        </w:rPr>
        <w:t>2</w:t>
      </w:r>
      <w:r>
        <w:rPr>
          <w:rFonts w:ascii="仿宋_GB2312"/>
          <w:b w:val="0"/>
          <w:bCs w:val="0"/>
          <w:sz w:val="32"/>
          <w:szCs w:val="32"/>
        </w:rPr>
        <w:t>.中共菏泽市委 菏泽市人民政府《关于全面推进预算绩效管理的实施</w:t>
      </w:r>
      <w:r>
        <w:rPr>
          <w:rFonts w:ascii="仿宋_GB2312" w:hAnsiTheme="minorEastAsia"/>
          <w:b w:val="0"/>
          <w:bCs w:val="0"/>
          <w:color w:val="000000" w:themeColor="text1"/>
          <w:sz w:val="32"/>
          <w:szCs w:val="32"/>
          <w14:textFill>
            <w14:solidFill>
              <w14:schemeClr w14:val="tx1"/>
            </w14:solidFill>
          </w14:textFill>
        </w:rPr>
        <w:t>意见》（菏发〔2019〕22号）；</w:t>
      </w:r>
    </w:p>
    <w:p>
      <w:pPr>
        <w:snapToGrid w:val="0"/>
        <w:spacing w:line="580" w:lineRule="exact"/>
        <w:ind w:firstLine="640"/>
        <w:rPr>
          <w:rFonts w:ascii="仿宋_GB2312" w:hAnsi="黑体"/>
          <w:b w:val="0"/>
          <w:bCs w:val="0"/>
          <w:sz w:val="32"/>
        </w:rPr>
      </w:pPr>
      <w:r>
        <w:rPr>
          <w:rFonts w:hint="eastAsia" w:ascii="仿宋_GB2312" w:hAnsi="黑体"/>
          <w:b w:val="0"/>
          <w:bCs w:val="0"/>
          <w:sz w:val="32"/>
        </w:rPr>
        <w:t>3</w:t>
      </w:r>
      <w:r>
        <w:rPr>
          <w:rFonts w:ascii="仿宋_GB2312" w:hAnsi="黑体"/>
          <w:b w:val="0"/>
          <w:bCs w:val="0"/>
          <w:sz w:val="32"/>
        </w:rPr>
        <w:t>.中共菏泽市委 菏泽市人民政府《关于修订</w:t>
      </w:r>
      <w:r>
        <w:rPr>
          <w:rFonts w:hint="eastAsia" w:ascii="仿宋_GB2312" w:hAnsi="黑体"/>
          <w:b w:val="0"/>
          <w:bCs w:val="0"/>
          <w:sz w:val="32"/>
          <w:lang w:eastAsia="zh-CN"/>
        </w:rPr>
        <w:t>〈</w:t>
      </w:r>
      <w:r>
        <w:rPr>
          <w:rFonts w:ascii="仿宋_GB2312" w:hAnsiTheme="minorEastAsia"/>
          <w:b w:val="0"/>
          <w:bCs w:val="0"/>
          <w:color w:val="000000" w:themeColor="text1"/>
          <w:sz w:val="32"/>
          <w:szCs w:val="32"/>
          <w14:textFill>
            <w14:solidFill>
              <w14:schemeClr w14:val="tx1"/>
            </w14:solidFill>
          </w14:textFill>
        </w:rPr>
        <w:t>菏泽市人才新政30条</w:t>
      </w:r>
      <w:r>
        <w:rPr>
          <w:rFonts w:hint="eastAsia" w:ascii="仿宋_GB2312" w:hAnsiTheme="minorEastAsia"/>
          <w:b w:val="0"/>
          <w:bCs w:val="0"/>
          <w:color w:val="000000" w:themeColor="text1"/>
          <w:sz w:val="32"/>
          <w:szCs w:val="32"/>
          <w:lang w:eastAsia="zh-CN"/>
          <w14:textFill>
            <w14:solidFill>
              <w14:schemeClr w14:val="tx1"/>
            </w14:solidFill>
          </w14:textFill>
        </w:rPr>
        <w:t>〉</w:t>
      </w:r>
      <w:r>
        <w:rPr>
          <w:rFonts w:ascii="仿宋_GB2312" w:hAnsiTheme="minorEastAsia"/>
          <w:b w:val="0"/>
          <w:bCs w:val="0"/>
          <w:color w:val="000000" w:themeColor="text1"/>
          <w:sz w:val="32"/>
          <w:szCs w:val="32"/>
          <w14:textFill>
            <w14:solidFill>
              <w14:schemeClr w14:val="tx1"/>
            </w14:solidFill>
          </w14:textFill>
        </w:rPr>
        <w:t>的通知</w:t>
      </w:r>
      <w:r>
        <w:rPr>
          <w:rFonts w:ascii="仿宋_GB2312" w:hAnsi="黑体"/>
          <w:b w:val="0"/>
          <w:bCs w:val="0"/>
          <w:sz w:val="32"/>
        </w:rPr>
        <w:t>》</w:t>
      </w:r>
      <w:r>
        <w:rPr>
          <w:rFonts w:ascii="仿宋_GB2312" w:hAnsiTheme="minorEastAsia"/>
          <w:b w:val="0"/>
          <w:bCs w:val="0"/>
          <w:color w:val="000000" w:themeColor="text1"/>
          <w:sz w:val="32"/>
          <w:szCs w:val="32"/>
          <w14:textFill>
            <w14:solidFill>
              <w14:schemeClr w14:val="tx1"/>
            </w14:solidFill>
          </w14:textFill>
        </w:rPr>
        <w:t>（菏发</w:t>
      </w:r>
      <w:r>
        <w:rPr>
          <w:rFonts w:ascii="仿宋_GB2312" w:hAnsi="黑体"/>
          <w:b w:val="0"/>
          <w:bCs w:val="0"/>
          <w:sz w:val="32"/>
        </w:rPr>
        <w:t>〔2019〕5号</w:t>
      </w:r>
      <w:r>
        <w:rPr>
          <w:rFonts w:ascii="仿宋_GB2312" w:hAnsiTheme="minorEastAsia"/>
          <w:b w:val="0"/>
          <w:bCs w:val="0"/>
          <w:color w:val="000000" w:themeColor="text1"/>
          <w:sz w:val="32"/>
          <w:szCs w:val="32"/>
          <w14:textFill>
            <w14:solidFill>
              <w14:schemeClr w14:val="tx1"/>
            </w14:solidFill>
          </w14:textFill>
        </w:rPr>
        <w:t>）；</w:t>
      </w:r>
    </w:p>
    <w:p>
      <w:pPr>
        <w:snapToGrid w:val="0"/>
        <w:spacing w:line="580" w:lineRule="exact"/>
        <w:ind w:firstLine="640"/>
        <w:rPr>
          <w:rFonts w:ascii="仿宋_GB2312" w:hAnsi="黑体"/>
          <w:b w:val="0"/>
          <w:bCs w:val="0"/>
          <w:sz w:val="32"/>
        </w:rPr>
      </w:pPr>
      <w:r>
        <w:rPr>
          <w:rFonts w:hint="eastAsia" w:ascii="仿宋_GB2312" w:hAnsi="黑体"/>
          <w:b w:val="0"/>
          <w:bCs w:val="0"/>
          <w:sz w:val="32"/>
        </w:rPr>
        <w:t>4</w:t>
      </w:r>
      <w:r>
        <w:rPr>
          <w:rFonts w:ascii="仿宋_GB2312" w:hAnsi="黑体"/>
          <w:b w:val="0"/>
          <w:bCs w:val="0"/>
          <w:sz w:val="32"/>
        </w:rPr>
        <w:t>.评价资金相关的指标文件、政策相关文件、项目管理等文件。</w:t>
      </w:r>
    </w:p>
    <w:p>
      <w:pPr>
        <w:adjustRightInd w:val="0"/>
        <w:snapToGrid w:val="0"/>
        <w:spacing w:line="580" w:lineRule="exact"/>
        <w:ind w:firstLine="643"/>
        <w:outlineLvl w:val="1"/>
        <w:rPr>
          <w:rFonts w:ascii="楷体_GB2312" w:hAnsi="楷体_GB2312" w:eastAsia="楷体_GB2312" w:cs="楷体_GB2312"/>
          <w:b w:val="0"/>
          <w:bCs w:val="0"/>
          <w:sz w:val="32"/>
        </w:rPr>
      </w:pPr>
      <w:bookmarkStart w:id="76" w:name="_Toc106903662"/>
      <w:bookmarkStart w:id="77" w:name="_Toc18665"/>
      <w:bookmarkStart w:id="78" w:name="_Toc114320460"/>
      <w:bookmarkStart w:id="79" w:name="_Toc109592031"/>
      <w:r>
        <w:rPr>
          <w:rFonts w:ascii="楷体_GB2312" w:hAnsi="楷体_GB2312" w:eastAsia="楷体_GB2312" w:cs="楷体_GB2312"/>
          <w:b w:val="0"/>
          <w:bCs w:val="0"/>
          <w:sz w:val="32"/>
        </w:rPr>
        <w:t>（四）评价原则</w:t>
      </w:r>
      <w:bookmarkEnd w:id="76"/>
      <w:bookmarkEnd w:id="77"/>
      <w:r>
        <w:rPr>
          <w:rFonts w:hint="eastAsia" w:ascii="楷体_GB2312" w:hAnsi="楷体_GB2312" w:eastAsia="楷体_GB2312" w:cs="楷体_GB2312"/>
          <w:b w:val="0"/>
          <w:bCs w:val="0"/>
          <w:sz w:val="32"/>
        </w:rPr>
        <w:t>及方法</w:t>
      </w:r>
      <w:bookmarkEnd w:id="78"/>
      <w:bookmarkEnd w:id="79"/>
    </w:p>
    <w:p>
      <w:pPr>
        <w:snapToGrid w:val="0"/>
        <w:spacing w:line="580" w:lineRule="exact"/>
        <w:ind w:firstLine="640"/>
        <w:rPr>
          <w:rFonts w:ascii="仿宋_GB2312" w:hAnsi="黑体"/>
          <w:b w:val="0"/>
          <w:bCs w:val="0"/>
          <w:shd w:val="clear" w:color="auto" w:fill="FFFFFF" w:themeFill="background1"/>
        </w:rPr>
      </w:pPr>
      <w:r>
        <w:rPr>
          <w:rFonts w:ascii="仿宋_GB2312" w:hAnsi="黑体"/>
          <w:b w:val="0"/>
          <w:bCs w:val="0"/>
          <w:sz w:val="32"/>
        </w:rPr>
        <w:t>本次绩效评价工作遵循科学规范</w:t>
      </w:r>
      <w:r>
        <w:rPr>
          <w:rFonts w:hint="eastAsia" w:ascii="仿宋_GB2312" w:hAnsi="黑体"/>
          <w:b w:val="0"/>
          <w:bCs w:val="0"/>
          <w:sz w:val="32"/>
        </w:rPr>
        <w:t>、</w:t>
      </w:r>
      <w:r>
        <w:rPr>
          <w:rFonts w:ascii="仿宋_GB2312" w:hAnsi="黑体"/>
          <w:b w:val="0"/>
          <w:bCs w:val="0"/>
          <w:sz w:val="32"/>
        </w:rPr>
        <w:t>绩效相关</w:t>
      </w:r>
      <w:r>
        <w:rPr>
          <w:rFonts w:hint="eastAsia" w:ascii="仿宋_GB2312" w:hAnsi="黑体"/>
          <w:b w:val="0"/>
          <w:bCs w:val="0"/>
          <w:sz w:val="32"/>
        </w:rPr>
        <w:t>、</w:t>
      </w:r>
      <w:r>
        <w:rPr>
          <w:rFonts w:ascii="仿宋_GB2312" w:hAnsi="黑体"/>
          <w:b w:val="0"/>
          <w:bCs w:val="0"/>
          <w:sz w:val="32"/>
        </w:rPr>
        <w:t>公开透明</w:t>
      </w:r>
      <w:r>
        <w:rPr>
          <w:rFonts w:hint="eastAsia" w:ascii="仿宋_GB2312" w:hAnsi="黑体"/>
          <w:b w:val="0"/>
          <w:bCs w:val="0"/>
          <w:sz w:val="32"/>
        </w:rPr>
        <w:t>的</w:t>
      </w:r>
      <w:r>
        <w:rPr>
          <w:rFonts w:ascii="仿宋_GB2312" w:hAnsi="黑体"/>
          <w:b w:val="0"/>
          <w:bCs w:val="0"/>
          <w:sz w:val="32"/>
        </w:rPr>
        <w:t>基本原则</w:t>
      </w:r>
      <w:r>
        <w:rPr>
          <w:rFonts w:hint="eastAsia" w:ascii="仿宋_GB2312" w:hAnsi="黑体"/>
          <w:b w:val="0"/>
          <w:bCs w:val="0"/>
          <w:sz w:val="32"/>
        </w:rPr>
        <w:t>。</w:t>
      </w:r>
      <w:r>
        <w:rPr>
          <w:rFonts w:ascii="仿宋_GB2312" w:hAnsi="黑体"/>
          <w:b w:val="0"/>
          <w:bCs w:val="0"/>
          <w:sz w:val="32"/>
          <w:lang w:eastAsia="zh-Hans"/>
        </w:rPr>
        <w:t>通过对</w:t>
      </w:r>
      <w:r>
        <w:rPr>
          <w:rFonts w:ascii="仿宋_GB2312" w:hAnsi="黑体"/>
          <w:b w:val="0"/>
          <w:bCs w:val="0"/>
          <w:sz w:val="32"/>
        </w:rPr>
        <w:t>资金</w:t>
      </w:r>
      <w:r>
        <w:rPr>
          <w:rFonts w:ascii="仿宋_GB2312" w:hAnsi="黑体"/>
          <w:b w:val="0"/>
          <w:bCs w:val="0"/>
          <w:sz w:val="32"/>
          <w:lang w:eastAsia="zh-Hans"/>
        </w:rPr>
        <w:t>的投入、过程、产出、效果的比较和分析，进行综合评价，在不同阶段用比较法</w:t>
      </w:r>
      <w:r>
        <w:rPr>
          <w:rFonts w:hint="eastAsia" w:ascii="仿宋_GB2312" w:hAnsi="黑体"/>
          <w:b w:val="0"/>
          <w:bCs w:val="0"/>
          <w:sz w:val="32"/>
          <w:lang w:eastAsia="zh-Hans"/>
        </w:rPr>
        <w:t>及</w:t>
      </w:r>
      <w:r>
        <w:rPr>
          <w:rFonts w:ascii="仿宋_GB2312" w:hAnsi="黑体"/>
          <w:b w:val="0"/>
          <w:bCs w:val="0"/>
          <w:sz w:val="32"/>
          <w:lang w:eastAsia="zh-Hans"/>
        </w:rPr>
        <w:t>公众评判法</w:t>
      </w:r>
      <w:r>
        <w:rPr>
          <w:rFonts w:hint="eastAsia" w:ascii="仿宋_GB2312" w:hAnsi="黑体"/>
          <w:b w:val="0"/>
          <w:bCs w:val="0"/>
          <w:sz w:val="32"/>
          <w:lang w:eastAsia="zh-Hans"/>
        </w:rPr>
        <w:t>。</w:t>
      </w:r>
    </w:p>
    <w:bookmarkEnd w:id="43"/>
    <w:bookmarkEnd w:id="44"/>
    <w:bookmarkEnd w:id="45"/>
    <w:bookmarkEnd w:id="46"/>
    <w:p>
      <w:pPr>
        <w:adjustRightInd w:val="0"/>
        <w:snapToGrid w:val="0"/>
        <w:spacing w:line="580" w:lineRule="exact"/>
        <w:ind w:firstLine="643"/>
        <w:outlineLvl w:val="1"/>
        <w:rPr>
          <w:rFonts w:ascii="楷体_GB2312" w:hAnsi="楷体_GB2312" w:eastAsia="楷体_GB2312" w:cs="楷体_GB2312"/>
          <w:b w:val="0"/>
          <w:bCs w:val="0"/>
          <w:sz w:val="32"/>
        </w:rPr>
      </w:pPr>
      <w:bookmarkStart w:id="80" w:name="_Toc28947"/>
      <w:bookmarkStart w:id="81" w:name="_Toc15843"/>
      <w:bookmarkStart w:id="82" w:name="_Toc109592034"/>
      <w:bookmarkStart w:id="83" w:name="_Toc114320463"/>
      <w:bookmarkStart w:id="84" w:name="_Toc106903664"/>
      <w:bookmarkStart w:id="85" w:name="_Toc12515"/>
      <w:bookmarkStart w:id="86" w:name="_Toc45628984"/>
      <w:r>
        <w:rPr>
          <w:rFonts w:hint="eastAsia" w:ascii="楷体_GB2312" w:hAnsi="楷体_GB2312" w:eastAsia="楷体_GB2312" w:cs="楷体_GB2312"/>
          <w:b w:val="0"/>
          <w:bCs w:val="0"/>
          <w:sz w:val="32"/>
        </w:rPr>
        <w:t>（五）绩效评价指标体系</w:t>
      </w:r>
      <w:bookmarkEnd w:id="80"/>
      <w:bookmarkEnd w:id="81"/>
      <w:bookmarkEnd w:id="82"/>
      <w:bookmarkEnd w:id="83"/>
      <w:bookmarkEnd w:id="84"/>
    </w:p>
    <w:p>
      <w:pPr>
        <w:adjustRightInd w:val="0"/>
        <w:snapToGrid w:val="0"/>
        <w:spacing w:line="580" w:lineRule="exact"/>
        <w:ind w:firstLine="640"/>
        <w:rPr>
          <w:rFonts w:ascii="仿宋_GB2312" w:hAnsi="黑体"/>
          <w:b w:val="0"/>
          <w:bCs w:val="0"/>
          <w:color w:val="000000" w:themeColor="text1"/>
          <w:sz w:val="32"/>
          <w14:textFill>
            <w14:solidFill>
              <w14:schemeClr w14:val="tx1"/>
            </w14:solidFill>
          </w14:textFill>
        </w:rPr>
      </w:pPr>
      <w:r>
        <w:rPr>
          <w:rFonts w:ascii="仿宋_GB2312" w:hAnsi="黑体"/>
          <w:b w:val="0"/>
          <w:bCs w:val="0"/>
          <w:color w:val="000000" w:themeColor="text1"/>
          <w:sz w:val="32"/>
          <w14:textFill>
            <w14:solidFill>
              <w14:schemeClr w14:val="tx1"/>
            </w14:solidFill>
          </w14:textFill>
        </w:rPr>
        <w:t>本</w:t>
      </w:r>
      <w:r>
        <w:rPr>
          <w:rFonts w:ascii="仿宋_GB2312" w:hAnsi="黑体" w:cstheme="minorBidi"/>
          <w:b w:val="0"/>
          <w:bCs w:val="0"/>
          <w:color w:val="000000" w:themeColor="text1"/>
          <w:sz w:val="32"/>
          <w:lang w:eastAsia="zh-Hans"/>
          <w14:textFill>
            <w14:solidFill>
              <w14:schemeClr w14:val="tx1"/>
            </w14:solidFill>
          </w14:textFill>
        </w:rPr>
        <w:t>项目</w:t>
      </w:r>
      <w:r>
        <w:rPr>
          <w:rFonts w:ascii="仿宋_GB2312" w:hAnsi="黑体"/>
          <w:b w:val="0"/>
          <w:bCs w:val="0"/>
          <w:color w:val="000000" w:themeColor="text1"/>
          <w:sz w:val="32"/>
          <w14:textFill>
            <w14:solidFill>
              <w14:schemeClr w14:val="tx1"/>
            </w14:solidFill>
          </w14:textFill>
        </w:rPr>
        <w:t>的指标体系一级指标4项：政策制定、政策执行、政策产出和政策效</w:t>
      </w:r>
      <w:r>
        <w:rPr>
          <w:rFonts w:hint="eastAsia" w:ascii="仿宋_GB2312" w:hAnsi="黑体"/>
          <w:b w:val="0"/>
          <w:bCs w:val="0"/>
          <w:color w:val="000000" w:themeColor="text1"/>
          <w:sz w:val="32"/>
          <w14:textFill>
            <w14:solidFill>
              <w14:schemeClr w14:val="tx1"/>
            </w14:solidFill>
          </w14:textFill>
        </w:rPr>
        <w:t>果</w:t>
      </w:r>
      <w:r>
        <w:rPr>
          <w:rFonts w:ascii="仿宋_GB2312" w:hAnsi="黑体"/>
          <w:b w:val="0"/>
          <w:bCs w:val="0"/>
          <w:color w:val="000000" w:themeColor="text1"/>
          <w:sz w:val="32"/>
          <w14:textFill>
            <w14:solidFill>
              <w14:schemeClr w14:val="tx1"/>
            </w14:solidFill>
          </w14:textFill>
        </w:rPr>
        <w:t>，下设二、三级指标，总分值设定为100分。</w:t>
      </w:r>
    </w:p>
    <w:p>
      <w:pPr>
        <w:pStyle w:val="2"/>
        <w:adjustRightInd w:val="0"/>
        <w:snapToGrid w:val="0"/>
        <w:spacing w:after="0" w:line="580" w:lineRule="exact"/>
        <w:ind w:left="0" w:leftChars="0" w:firstLine="640"/>
        <w:rPr>
          <w:rFonts w:hint="default" w:ascii="仿宋_GB2312" w:eastAsia="仿宋_GB2312" w:hAnsiTheme="minorEastAsia"/>
          <w:b w:val="0"/>
          <w:bCs w:val="0"/>
          <w:color w:val="000000" w:themeColor="text1"/>
          <w:sz w:val="32"/>
          <w:szCs w:val="32"/>
          <w14:textFill>
            <w14:solidFill>
              <w14:schemeClr w14:val="tx1"/>
            </w14:solidFill>
          </w14:textFill>
        </w:rPr>
      </w:pPr>
      <w:bookmarkStart w:id="87" w:name="_Toc1430598212"/>
      <w:r>
        <w:rPr>
          <w:rFonts w:ascii="仿宋_GB2312" w:eastAsia="仿宋_GB2312" w:hAnsiTheme="minorEastAsia"/>
          <w:b w:val="0"/>
          <w:bCs w:val="0"/>
          <w:color w:val="000000" w:themeColor="text1"/>
          <w:sz w:val="32"/>
          <w:szCs w:val="32"/>
          <w14:textFill>
            <w14:solidFill>
              <w14:schemeClr w14:val="tx1"/>
            </w14:solidFill>
          </w14:textFill>
        </w:rPr>
        <w:t>（1）政策制定：分值15分。主要对政策设立、政策质量、政策的完备性等进行评价。</w:t>
      </w:r>
    </w:p>
    <w:p>
      <w:pPr>
        <w:pStyle w:val="2"/>
        <w:adjustRightInd w:val="0"/>
        <w:snapToGrid w:val="0"/>
        <w:spacing w:after="0" w:line="580" w:lineRule="exact"/>
        <w:ind w:left="0" w:leftChars="0" w:firstLine="640"/>
        <w:rPr>
          <w:rFonts w:hint="default" w:ascii="仿宋_GB2312" w:eastAsia="仿宋_GB2312" w:hAnsiTheme="minorEastAsia"/>
          <w:b w:val="0"/>
          <w:bCs w:val="0"/>
          <w:color w:val="000000" w:themeColor="text1"/>
          <w:sz w:val="32"/>
          <w:szCs w:val="32"/>
          <w14:textFill>
            <w14:solidFill>
              <w14:schemeClr w14:val="tx1"/>
            </w14:solidFill>
          </w14:textFill>
        </w:rPr>
      </w:pPr>
      <w:r>
        <w:rPr>
          <w:rFonts w:ascii="仿宋_GB2312" w:eastAsia="仿宋_GB2312" w:hAnsiTheme="minorEastAsia"/>
          <w:b w:val="0"/>
          <w:bCs w:val="0"/>
          <w:color w:val="000000" w:themeColor="text1"/>
          <w:sz w:val="32"/>
          <w:szCs w:val="32"/>
          <w14:textFill>
            <w14:solidFill>
              <w14:schemeClr w14:val="tx1"/>
            </w14:solidFill>
          </w14:textFill>
        </w:rPr>
        <w:t>（2）政策执行：分值25分。主要对政策落实、资金管理、政策实施和监督保障等进行评价。</w:t>
      </w:r>
    </w:p>
    <w:p>
      <w:pPr>
        <w:pStyle w:val="2"/>
        <w:adjustRightInd w:val="0"/>
        <w:snapToGrid w:val="0"/>
        <w:spacing w:after="0" w:line="580" w:lineRule="exact"/>
        <w:ind w:left="0" w:leftChars="0" w:firstLine="640"/>
        <w:rPr>
          <w:rFonts w:hint="default" w:ascii="仿宋_GB2312" w:eastAsia="仿宋_GB2312" w:hAnsiTheme="minorEastAsia"/>
          <w:b w:val="0"/>
          <w:bCs w:val="0"/>
          <w:color w:val="000000" w:themeColor="text1"/>
          <w:sz w:val="32"/>
          <w:szCs w:val="32"/>
          <w14:textFill>
            <w14:solidFill>
              <w14:schemeClr w14:val="tx1"/>
            </w14:solidFill>
          </w14:textFill>
        </w:rPr>
      </w:pPr>
      <w:r>
        <w:rPr>
          <w:rFonts w:ascii="仿宋_GB2312" w:eastAsia="仿宋_GB2312" w:hAnsiTheme="minorEastAsia"/>
          <w:b w:val="0"/>
          <w:bCs w:val="0"/>
          <w:color w:val="000000" w:themeColor="text1"/>
          <w:sz w:val="32"/>
          <w:szCs w:val="32"/>
          <w14:textFill>
            <w14:solidFill>
              <w14:schemeClr w14:val="tx1"/>
            </w14:solidFill>
          </w14:textFill>
        </w:rPr>
        <w:t>（3）政策产出：分值35分。主要对政策完成数量、质量和时效等进行评价。</w:t>
      </w:r>
    </w:p>
    <w:p>
      <w:pPr>
        <w:pStyle w:val="2"/>
        <w:adjustRightInd w:val="0"/>
        <w:snapToGrid w:val="0"/>
        <w:spacing w:after="0" w:line="580" w:lineRule="exact"/>
        <w:ind w:left="0" w:leftChars="0" w:firstLine="640"/>
        <w:rPr>
          <w:rFonts w:hint="default" w:ascii="仿宋_GB2312" w:eastAsia="仿宋_GB2312" w:hAnsiTheme="minorEastAsia"/>
          <w:b w:val="0"/>
          <w:bCs w:val="0"/>
          <w:color w:val="000000" w:themeColor="text1"/>
          <w:sz w:val="32"/>
          <w:szCs w:val="32"/>
          <w14:textFill>
            <w14:solidFill>
              <w14:schemeClr w14:val="tx1"/>
            </w14:solidFill>
          </w14:textFill>
        </w:rPr>
      </w:pPr>
      <w:r>
        <w:rPr>
          <w:rFonts w:ascii="仿宋_GB2312" w:eastAsia="仿宋_GB2312" w:hAnsiTheme="minorEastAsia"/>
          <w:b w:val="0"/>
          <w:bCs w:val="0"/>
          <w:color w:val="000000" w:themeColor="text1"/>
          <w:sz w:val="32"/>
          <w:szCs w:val="32"/>
          <w14:textFill>
            <w14:solidFill>
              <w14:schemeClr w14:val="tx1"/>
            </w14:solidFill>
          </w14:textFill>
        </w:rPr>
        <w:t>（4）政策效果：分值25分。主要对政策实施带来的社会效益、政策可持续性以及满意度进行评价。</w:t>
      </w:r>
    </w:p>
    <w:bookmarkEnd w:id="87"/>
    <w:p>
      <w:pPr>
        <w:pStyle w:val="2"/>
        <w:snapToGrid w:val="0"/>
        <w:spacing w:after="0" w:line="580" w:lineRule="exact"/>
        <w:ind w:left="0" w:leftChars="0" w:firstLine="640"/>
        <w:rPr>
          <w:rFonts w:hint="default" w:ascii="仿宋_GB2312" w:hAnsi="黑体" w:eastAsia="仿宋_GB2312" w:cstheme="minorBidi"/>
          <w:b w:val="0"/>
          <w:bCs w:val="0"/>
          <w:color w:val="000000" w:themeColor="text1"/>
          <w:sz w:val="32"/>
          <w14:textFill>
            <w14:solidFill>
              <w14:schemeClr w14:val="tx1"/>
            </w14:solidFill>
          </w14:textFill>
        </w:rPr>
      </w:pPr>
      <w:r>
        <w:rPr>
          <w:rFonts w:ascii="仿宋_GB2312" w:hAnsi="黑体" w:eastAsia="仿宋_GB2312" w:cstheme="minorBidi"/>
          <w:b w:val="0"/>
          <w:bCs w:val="0"/>
          <w:color w:val="000000" w:themeColor="text1"/>
          <w:sz w:val="32"/>
          <w14:textFill>
            <w14:solidFill>
              <w14:schemeClr w14:val="tx1"/>
            </w14:solidFill>
          </w14:textFill>
        </w:rPr>
        <w:t>评价等级分为四个级别：90（含）-100分为“优”，80（含）-90分为“良”，60（含）-80分为“中”，60分以下为“差”。</w:t>
      </w:r>
    </w:p>
    <w:p>
      <w:pPr>
        <w:adjustRightInd w:val="0"/>
        <w:snapToGrid w:val="0"/>
        <w:spacing w:line="580" w:lineRule="exact"/>
        <w:ind w:firstLine="643"/>
        <w:outlineLvl w:val="0"/>
        <w:rPr>
          <w:rFonts w:ascii="楷体_GB2312" w:hAnsi="黑体" w:eastAsia="楷体_GB2312" w:cs="黑体"/>
          <w:b w:val="0"/>
          <w:bCs w:val="0"/>
          <w:color w:val="000000" w:themeColor="text1"/>
          <w:sz w:val="32"/>
          <w:lang w:eastAsia="zh-Hans"/>
          <w14:textFill>
            <w14:solidFill>
              <w14:schemeClr w14:val="tx1"/>
            </w14:solidFill>
          </w14:textFill>
        </w:rPr>
      </w:pPr>
      <w:bookmarkStart w:id="88" w:name="_Toc109592038"/>
      <w:bookmarkStart w:id="89" w:name="_Toc114320464"/>
      <w:r>
        <w:rPr>
          <w:rFonts w:hint="eastAsia" w:ascii="楷体_GB2312" w:hAnsi="黑体" w:eastAsia="楷体_GB2312" w:cs="黑体"/>
          <w:b w:val="0"/>
          <w:bCs w:val="0"/>
          <w:color w:val="000000" w:themeColor="text1"/>
          <w:sz w:val="32"/>
          <w:lang w:eastAsia="zh-Hans"/>
          <w14:textFill>
            <w14:solidFill>
              <w14:schemeClr w14:val="tx1"/>
            </w14:solidFill>
          </w14:textFill>
        </w:rPr>
        <w:t>（六）评价人员组成</w:t>
      </w:r>
      <w:bookmarkEnd w:id="88"/>
      <w:bookmarkEnd w:id="89"/>
    </w:p>
    <w:p>
      <w:pPr>
        <w:pStyle w:val="2"/>
        <w:adjustRightInd w:val="0"/>
        <w:snapToGrid w:val="0"/>
        <w:spacing w:after="0" w:line="580" w:lineRule="exact"/>
        <w:ind w:left="0" w:leftChars="0" w:firstLine="640"/>
        <w:rPr>
          <w:rFonts w:hint="default" w:ascii="仿宋_GB2312" w:eastAsia="仿宋_GB2312" w:hAnsiTheme="minorEastAsia"/>
          <w:b w:val="0"/>
          <w:bCs w:val="0"/>
          <w:sz w:val="32"/>
          <w:szCs w:val="32"/>
        </w:rPr>
      </w:pPr>
      <w:r>
        <w:rPr>
          <w:rFonts w:hint="default" w:ascii="仿宋_GB2312" w:eastAsia="仿宋_GB2312" w:hAnsiTheme="minorEastAsia"/>
          <w:b w:val="0"/>
          <w:bCs w:val="0"/>
          <w:sz w:val="32"/>
          <w:szCs w:val="32"/>
        </w:rPr>
        <w:t>本次绩效评价工作由</w:t>
      </w:r>
      <w:r>
        <w:rPr>
          <w:rFonts w:ascii="仿宋_GB2312" w:eastAsia="仿宋_GB2312" w:hAnsiTheme="minorEastAsia"/>
          <w:b w:val="0"/>
          <w:bCs w:val="0"/>
          <w:sz w:val="32"/>
          <w:szCs w:val="32"/>
        </w:rPr>
        <w:t>菏泽市财政局</w:t>
      </w:r>
      <w:r>
        <w:rPr>
          <w:rFonts w:hint="default" w:ascii="仿宋_GB2312" w:eastAsia="仿宋_GB2312" w:hAnsiTheme="minorEastAsia"/>
          <w:b w:val="0"/>
          <w:bCs w:val="0"/>
          <w:sz w:val="32"/>
          <w:szCs w:val="32"/>
        </w:rPr>
        <w:t>组织，我公司负责具体执行落实，将为本项目配备专业的人员</w:t>
      </w:r>
      <w:r>
        <w:rPr>
          <w:rFonts w:ascii="仿宋_GB2312" w:eastAsia="仿宋_GB2312" w:hAnsiTheme="minorEastAsia"/>
          <w:b w:val="0"/>
          <w:bCs w:val="0"/>
          <w:sz w:val="32"/>
          <w:szCs w:val="32"/>
        </w:rPr>
        <w:t>及相关专家</w:t>
      </w:r>
      <w:r>
        <w:rPr>
          <w:rFonts w:hint="default" w:ascii="仿宋_GB2312" w:eastAsia="仿宋_GB2312" w:hAnsiTheme="minorEastAsia"/>
          <w:b w:val="0"/>
          <w:bCs w:val="0"/>
          <w:sz w:val="32"/>
          <w:szCs w:val="32"/>
        </w:rPr>
        <w:t>，负责项目的实施，评价工作组成员由我公司拥有绩效评价知识和丰富经验、熟悉被评价项目相关领域的政策法规、有良好职业道德和敬业精神的人员组成。</w:t>
      </w:r>
      <w:bookmarkStart w:id="90" w:name="_Toc109592039"/>
      <w:bookmarkStart w:id="91" w:name="_Toc106903675"/>
    </w:p>
    <w:p>
      <w:pPr>
        <w:pStyle w:val="2"/>
        <w:adjustRightInd w:val="0"/>
        <w:snapToGrid w:val="0"/>
        <w:spacing w:after="0" w:line="580" w:lineRule="exact"/>
        <w:ind w:left="0" w:leftChars="0" w:firstLine="643"/>
        <w:rPr>
          <w:rFonts w:hint="default" w:ascii="楷体_GB2312" w:hAnsi="黑体" w:eastAsia="楷体_GB2312" w:cs="黑体"/>
          <w:b w:val="0"/>
          <w:bCs w:val="0"/>
          <w:color w:val="000000" w:themeColor="text1"/>
          <w:sz w:val="32"/>
          <w:lang w:eastAsia="zh-Hans"/>
          <w14:textFill>
            <w14:solidFill>
              <w14:schemeClr w14:val="tx1"/>
            </w14:solidFill>
          </w14:textFill>
        </w:rPr>
      </w:pPr>
      <w:r>
        <w:rPr>
          <w:rFonts w:ascii="楷体_GB2312" w:hAnsi="黑体" w:eastAsia="楷体_GB2312" w:cs="黑体"/>
          <w:b w:val="0"/>
          <w:bCs w:val="0"/>
          <w:color w:val="000000" w:themeColor="text1"/>
          <w:sz w:val="32"/>
          <w:lang w:eastAsia="zh-Hans"/>
          <w14:textFill>
            <w14:solidFill>
              <w14:schemeClr w14:val="tx1"/>
            </w14:solidFill>
          </w14:textFill>
        </w:rPr>
        <w:t>（七）绩效评价工作过程</w:t>
      </w:r>
      <w:bookmarkEnd w:id="90"/>
    </w:p>
    <w:bookmarkEnd w:id="91"/>
    <w:p>
      <w:pPr>
        <w:adjustRightInd w:val="0"/>
        <w:snapToGrid w:val="0"/>
        <w:spacing w:line="580" w:lineRule="exact"/>
        <w:ind w:firstLine="640"/>
        <w:outlineLvl w:val="2"/>
        <w:rPr>
          <w:rFonts w:ascii="仿宋_GB2312" w:hAnsi="Calibri"/>
          <w:b w:val="0"/>
          <w:bCs w:val="0"/>
          <w:color w:val="000000" w:themeColor="text1"/>
          <w:sz w:val="32"/>
          <w:szCs w:val="32"/>
          <w14:textFill>
            <w14:solidFill>
              <w14:schemeClr w14:val="tx1"/>
            </w14:solidFill>
          </w14:textFill>
        </w:rPr>
      </w:pPr>
      <w:bookmarkStart w:id="92" w:name="_Toc85312149"/>
      <w:bookmarkStart w:id="93" w:name="_Toc85201548"/>
      <w:bookmarkStart w:id="94" w:name="_Toc114320465"/>
      <w:bookmarkStart w:id="95" w:name="_Toc1507641013"/>
      <w:bookmarkStart w:id="96" w:name="_Toc71719559"/>
      <w:bookmarkStart w:id="97" w:name="_Toc48392802"/>
      <w:bookmarkStart w:id="98" w:name="_Toc5520"/>
      <w:bookmarkStart w:id="99" w:name="_Toc109210071"/>
      <w:bookmarkStart w:id="100" w:name="_Toc106903676"/>
      <w:bookmarkStart w:id="101" w:name="_Toc499564990"/>
      <w:bookmarkStart w:id="102" w:name="_Toc14940522"/>
      <w:bookmarkStart w:id="103" w:name="_Toc1791"/>
      <w:r>
        <w:rPr>
          <w:rFonts w:hint="eastAsia" w:ascii="仿宋_GB2312" w:hAnsi="Calibri"/>
          <w:b w:val="0"/>
          <w:bCs w:val="0"/>
          <w:color w:val="000000" w:themeColor="text1"/>
          <w:sz w:val="32"/>
          <w:szCs w:val="32"/>
          <w14:textFill>
            <w14:solidFill>
              <w14:schemeClr w14:val="tx1"/>
            </w14:solidFill>
          </w14:textFill>
        </w:rPr>
        <w:t>1.前期准备</w:t>
      </w:r>
      <w:bookmarkEnd w:id="92"/>
      <w:bookmarkEnd w:id="93"/>
      <w:bookmarkEnd w:id="94"/>
      <w:bookmarkEnd w:id="95"/>
      <w:bookmarkEnd w:id="96"/>
    </w:p>
    <w:p>
      <w:pPr>
        <w:pStyle w:val="17"/>
        <w:snapToGrid w:val="0"/>
        <w:spacing w:before="0" w:beforeAutospacing="0" w:after="0" w:afterAutospacing="0" w:line="580" w:lineRule="exact"/>
        <w:ind w:firstLine="640" w:firstLineChars="200"/>
        <w:rPr>
          <w:rFonts w:ascii="仿宋_GB2312" w:eastAsia="仿宋_GB2312"/>
          <w:b w:val="0"/>
          <w:bCs w:val="0"/>
          <w:sz w:val="32"/>
          <w:szCs w:val="32"/>
        </w:rPr>
      </w:pPr>
      <w:bookmarkStart w:id="104" w:name="_Toc85135684"/>
      <w:bookmarkStart w:id="105" w:name="_Toc85201549"/>
      <w:bookmarkStart w:id="106" w:name="_Toc499564991"/>
      <w:bookmarkStart w:id="107" w:name="_Toc762954538"/>
      <w:bookmarkStart w:id="108" w:name="_Toc71719560"/>
      <w:r>
        <w:rPr>
          <w:rFonts w:hint="eastAsia" w:ascii="仿宋_GB2312" w:eastAsia="仿宋_GB2312"/>
          <w:b w:val="0"/>
          <w:bCs w:val="0"/>
          <w:sz w:val="32"/>
          <w:szCs w:val="32"/>
        </w:rPr>
        <w:t>主要包括成立评价工作组、开展前期调研、明确项目绩效目标、设计指标体系、确定评价方法、确定现场评价范围、编制社会调查方案、设计资料清单、制定评价实施方案及评价方案论证。</w:t>
      </w:r>
      <w:bookmarkEnd w:id="104"/>
      <w:bookmarkEnd w:id="105"/>
    </w:p>
    <w:p>
      <w:pPr>
        <w:adjustRightInd w:val="0"/>
        <w:snapToGrid w:val="0"/>
        <w:spacing w:line="580" w:lineRule="exact"/>
        <w:ind w:firstLine="640"/>
        <w:outlineLvl w:val="2"/>
        <w:rPr>
          <w:rFonts w:ascii="仿宋_GB2312" w:hAnsi="Calibri"/>
          <w:b w:val="0"/>
          <w:bCs w:val="0"/>
          <w:color w:val="000000" w:themeColor="text1"/>
          <w:sz w:val="32"/>
          <w:szCs w:val="32"/>
          <w14:textFill>
            <w14:solidFill>
              <w14:schemeClr w14:val="tx1"/>
            </w14:solidFill>
          </w14:textFill>
        </w:rPr>
      </w:pPr>
      <w:bookmarkStart w:id="109" w:name="_Toc85312150"/>
      <w:bookmarkStart w:id="110" w:name="_Toc85201560"/>
      <w:bookmarkStart w:id="111" w:name="_Toc114320466"/>
      <w:r>
        <w:rPr>
          <w:rFonts w:hint="eastAsia" w:ascii="仿宋_GB2312" w:hAnsi="Calibri"/>
          <w:b w:val="0"/>
          <w:bCs w:val="0"/>
          <w:color w:val="000000" w:themeColor="text1"/>
          <w:sz w:val="32"/>
          <w:szCs w:val="32"/>
          <w14:textFill>
            <w14:solidFill>
              <w14:schemeClr w14:val="tx1"/>
            </w14:solidFill>
          </w14:textFill>
        </w:rPr>
        <w:t>2.组织实施</w:t>
      </w:r>
      <w:bookmarkEnd w:id="106"/>
      <w:bookmarkEnd w:id="107"/>
      <w:bookmarkEnd w:id="108"/>
      <w:bookmarkEnd w:id="109"/>
      <w:bookmarkEnd w:id="110"/>
      <w:bookmarkEnd w:id="111"/>
    </w:p>
    <w:p>
      <w:pPr>
        <w:pStyle w:val="17"/>
        <w:snapToGrid w:val="0"/>
        <w:spacing w:before="0" w:beforeAutospacing="0" w:after="0" w:afterAutospacing="0" w:line="580" w:lineRule="exact"/>
        <w:ind w:firstLine="640" w:firstLineChars="200"/>
        <w:rPr>
          <w:rFonts w:ascii="仿宋_GB2312" w:eastAsia="仿宋_GB2312"/>
          <w:b w:val="0"/>
          <w:bCs w:val="0"/>
          <w:sz w:val="32"/>
          <w:szCs w:val="32"/>
        </w:rPr>
      </w:pPr>
      <w:bookmarkStart w:id="112" w:name="_Toc85135696"/>
      <w:bookmarkStart w:id="113" w:name="_Toc85201561"/>
      <w:bookmarkStart w:id="114" w:name="_Toc499564992"/>
      <w:bookmarkStart w:id="115" w:name="_Toc352063929"/>
      <w:bookmarkStart w:id="116" w:name="_Toc71719561"/>
      <w:r>
        <w:rPr>
          <w:rFonts w:hint="eastAsia" w:ascii="仿宋_GB2312" w:eastAsia="仿宋_GB2312"/>
          <w:b w:val="0"/>
          <w:bCs w:val="0"/>
          <w:sz w:val="32"/>
          <w:szCs w:val="32"/>
        </w:rPr>
        <w:t>主要包括下达绩效评价通知书、资料收集与核查、现场评价并形成初步评价结果。</w:t>
      </w:r>
      <w:bookmarkEnd w:id="112"/>
      <w:bookmarkEnd w:id="113"/>
    </w:p>
    <w:p>
      <w:pPr>
        <w:adjustRightInd w:val="0"/>
        <w:snapToGrid w:val="0"/>
        <w:spacing w:line="580" w:lineRule="exact"/>
        <w:ind w:firstLine="640"/>
        <w:outlineLvl w:val="2"/>
        <w:rPr>
          <w:rFonts w:ascii="仿宋_GB2312" w:hAnsi="宋体" w:cs="宋体"/>
          <w:b w:val="0"/>
          <w:bCs w:val="0"/>
          <w:kern w:val="0"/>
          <w:sz w:val="32"/>
          <w:szCs w:val="32"/>
        </w:rPr>
      </w:pPr>
      <w:bookmarkStart w:id="117" w:name="_Toc114320467"/>
      <w:bookmarkStart w:id="118" w:name="_Toc85312151"/>
      <w:bookmarkStart w:id="119" w:name="_Toc85201571"/>
      <w:r>
        <w:rPr>
          <w:rFonts w:hint="eastAsia" w:ascii="仿宋_GB2312" w:hAnsi="Calibri"/>
          <w:b w:val="0"/>
          <w:bCs w:val="0"/>
          <w:color w:val="000000" w:themeColor="text1"/>
          <w:sz w:val="32"/>
          <w:szCs w:val="32"/>
          <w14:textFill>
            <w14:solidFill>
              <w14:schemeClr w14:val="tx1"/>
            </w14:solidFill>
          </w14:textFill>
        </w:rPr>
        <w:t>3.报</w:t>
      </w:r>
      <w:r>
        <w:rPr>
          <w:rFonts w:hint="eastAsia" w:ascii="仿宋_GB2312" w:hAnsi="宋体" w:cs="宋体"/>
          <w:b w:val="0"/>
          <w:bCs w:val="0"/>
          <w:kern w:val="0"/>
          <w:sz w:val="32"/>
          <w:szCs w:val="32"/>
        </w:rPr>
        <w:t>告撰写与提交</w:t>
      </w:r>
      <w:bookmarkEnd w:id="114"/>
      <w:bookmarkEnd w:id="115"/>
      <w:bookmarkEnd w:id="116"/>
      <w:bookmarkEnd w:id="117"/>
      <w:bookmarkEnd w:id="118"/>
      <w:bookmarkEnd w:id="119"/>
    </w:p>
    <w:p>
      <w:pPr>
        <w:pStyle w:val="2"/>
        <w:snapToGrid w:val="0"/>
        <w:spacing w:after="0" w:line="580" w:lineRule="exact"/>
        <w:ind w:left="0" w:leftChars="0" w:firstLine="640"/>
        <w:rPr>
          <w:rFonts w:hint="default" w:ascii="仿宋_GB2312" w:hAnsi="仿宋_GB2312" w:eastAsia="仿宋_GB2312" w:cs="仿宋_GB2312"/>
          <w:b w:val="0"/>
          <w:bCs w:val="0"/>
          <w:color w:val="000000" w:themeColor="text1"/>
          <w:sz w:val="32"/>
          <w:szCs w:val="32"/>
          <w14:textFill>
            <w14:solidFill>
              <w14:schemeClr w14:val="tx1"/>
            </w14:solidFill>
          </w14:textFill>
        </w:rPr>
      </w:pPr>
      <w:r>
        <w:rPr>
          <w:rFonts w:ascii="仿宋_GB2312" w:hAnsi="宋体" w:eastAsia="仿宋_GB2312" w:cs="宋体"/>
          <w:b w:val="0"/>
          <w:bCs w:val="0"/>
          <w:kern w:val="0"/>
          <w:sz w:val="32"/>
          <w:szCs w:val="32"/>
        </w:rPr>
        <w:t>主要包括汇总整理资料底稿、分析形成最终评价结论、撰写绩效评价报告、征求委</w:t>
      </w:r>
      <w:r>
        <w:rPr>
          <w:rFonts w:ascii="仿宋_GB2312" w:hAnsi="仿宋_GB2312" w:eastAsia="仿宋_GB2312" w:cs="仿宋_GB2312"/>
          <w:b w:val="0"/>
          <w:bCs w:val="0"/>
          <w:color w:val="000000" w:themeColor="text1"/>
          <w:sz w:val="32"/>
          <w:szCs w:val="32"/>
          <w14:textFill>
            <w14:solidFill>
              <w14:schemeClr w14:val="tx1"/>
            </w14:solidFill>
          </w14:textFill>
        </w:rPr>
        <w:t>托方意见并修改、提交报告及其他相关资料。</w:t>
      </w:r>
    </w:p>
    <w:p>
      <w:pPr>
        <w:pStyle w:val="2"/>
        <w:snapToGrid w:val="0"/>
        <w:spacing w:after="0" w:line="580" w:lineRule="exact"/>
        <w:ind w:left="0" w:leftChars="0" w:firstLine="640"/>
        <w:rPr>
          <w:rFonts w:hint="default" w:ascii="仿宋_GB2312" w:hAnsi="仿宋_GB2312" w:eastAsia="仿宋_GB2312" w:cs="仿宋_GB2312"/>
          <w:b w:val="0"/>
          <w:bCs w:val="0"/>
          <w:color w:val="000000" w:themeColor="text1"/>
          <w:sz w:val="32"/>
          <w:szCs w:val="32"/>
          <w14:textFill>
            <w14:solidFill>
              <w14:schemeClr w14:val="tx1"/>
            </w14:solidFill>
          </w14:textFill>
        </w:rPr>
      </w:pPr>
      <w:r>
        <w:rPr>
          <w:rFonts w:ascii="仿宋_GB2312" w:hAnsi="仿宋_GB2312" w:eastAsia="仿宋_GB2312" w:cs="仿宋_GB2312"/>
          <w:b w:val="0"/>
          <w:bCs w:val="0"/>
          <w:color w:val="000000" w:themeColor="text1"/>
          <w:sz w:val="32"/>
          <w:szCs w:val="32"/>
          <w14:textFill>
            <w14:solidFill>
              <w14:schemeClr w14:val="tx1"/>
            </w14:solidFill>
          </w14:textFill>
        </w:rPr>
        <w:t>4.档案整理与提交</w:t>
      </w:r>
    </w:p>
    <w:p>
      <w:pPr>
        <w:pStyle w:val="2"/>
        <w:snapToGrid w:val="0"/>
        <w:spacing w:after="0" w:line="580" w:lineRule="exact"/>
        <w:ind w:left="0" w:leftChars="0" w:firstLine="640"/>
        <w:rPr>
          <w:rFonts w:hint="default" w:ascii="仿宋_GB2312" w:hAnsi="仿宋_GB2312" w:eastAsia="仿宋_GB2312" w:cs="仿宋_GB2312"/>
          <w:b w:val="0"/>
          <w:bCs w:val="0"/>
          <w:color w:val="000000" w:themeColor="text1"/>
          <w:sz w:val="32"/>
          <w:szCs w:val="32"/>
          <w14:textFill>
            <w14:solidFill>
              <w14:schemeClr w14:val="tx1"/>
            </w14:solidFill>
          </w14:textFill>
        </w:rPr>
      </w:pPr>
      <w:r>
        <w:rPr>
          <w:rFonts w:ascii="仿宋_GB2312" w:hAnsi="仿宋_GB2312" w:eastAsia="仿宋_GB2312" w:cs="仿宋_GB2312"/>
          <w:b w:val="0"/>
          <w:bCs w:val="0"/>
          <w:color w:val="000000" w:themeColor="text1"/>
          <w:sz w:val="32"/>
          <w:szCs w:val="32"/>
          <w14:textFill>
            <w14:solidFill>
              <w14:schemeClr w14:val="tx1"/>
            </w14:solidFill>
          </w14:textFill>
        </w:rPr>
        <w:t>整理项目绩效跟踪评价各阶段的座谈记录、评价底稿、收集的财务凭证、管理制度相关文件、现场评价的图片及影像资料等，进行归档，向委托方提交项目绩效评价完整档案。</w:t>
      </w:r>
    </w:p>
    <w:bookmarkEnd w:id="97"/>
    <w:bookmarkEnd w:id="98"/>
    <w:bookmarkEnd w:id="99"/>
    <w:bookmarkEnd w:id="100"/>
    <w:bookmarkEnd w:id="101"/>
    <w:bookmarkEnd w:id="102"/>
    <w:bookmarkEnd w:id="103"/>
    <w:p>
      <w:pPr>
        <w:adjustRightInd w:val="0"/>
        <w:snapToGrid w:val="0"/>
        <w:spacing w:line="580" w:lineRule="exact"/>
        <w:ind w:firstLine="600"/>
        <w:outlineLvl w:val="0"/>
        <w:rPr>
          <w:rFonts w:eastAsia="黑体"/>
          <w:b w:val="0"/>
          <w:bCs w:val="0"/>
          <w:color w:val="000000"/>
          <w:kern w:val="0"/>
          <w:sz w:val="30"/>
          <w:szCs w:val="30"/>
          <w:lang w:eastAsia="zh-Hans"/>
        </w:rPr>
      </w:pPr>
      <w:bookmarkStart w:id="120" w:name="_Toc114320468"/>
      <w:bookmarkStart w:id="121" w:name="_Toc109592040"/>
      <w:r>
        <w:rPr>
          <w:rFonts w:hint="eastAsia" w:eastAsia="黑体"/>
          <w:b w:val="0"/>
          <w:bCs w:val="0"/>
          <w:color w:val="000000"/>
          <w:kern w:val="0"/>
          <w:sz w:val="30"/>
          <w:szCs w:val="30"/>
          <w:lang w:eastAsia="zh-Hans"/>
        </w:rPr>
        <w:t>四、评价结论与分析</w:t>
      </w:r>
      <w:bookmarkEnd w:id="85"/>
      <w:bookmarkEnd w:id="86"/>
      <w:bookmarkEnd w:id="120"/>
      <w:bookmarkEnd w:id="121"/>
    </w:p>
    <w:p>
      <w:pPr>
        <w:adjustRightInd w:val="0"/>
        <w:snapToGrid w:val="0"/>
        <w:spacing w:line="580" w:lineRule="exact"/>
        <w:ind w:firstLine="643"/>
        <w:outlineLvl w:val="1"/>
        <w:rPr>
          <w:rFonts w:ascii="楷体_GB2312" w:hAnsi="仿宋_GB2312" w:eastAsia="楷体_GB2312" w:cs="仿宋_GB2312"/>
          <w:b w:val="0"/>
          <w:bCs w:val="0"/>
          <w:color w:val="000000" w:themeColor="text1"/>
          <w:sz w:val="32"/>
          <w:szCs w:val="28"/>
          <w14:textFill>
            <w14:solidFill>
              <w14:schemeClr w14:val="tx1"/>
            </w14:solidFill>
          </w14:textFill>
        </w:rPr>
      </w:pPr>
      <w:bookmarkStart w:id="122" w:name="_Toc109592041"/>
      <w:bookmarkStart w:id="123" w:name="_Toc45628985"/>
      <w:bookmarkStart w:id="124" w:name="_Toc9076"/>
      <w:bookmarkStart w:id="125" w:name="_Toc114320469"/>
      <w:r>
        <w:rPr>
          <w:rFonts w:hint="eastAsia" w:ascii="楷体_GB2312" w:hAnsi="仿宋_GB2312" w:eastAsia="楷体_GB2312" w:cs="仿宋_GB2312"/>
          <w:b w:val="0"/>
          <w:bCs w:val="0"/>
          <w:color w:val="000000" w:themeColor="text1"/>
          <w:sz w:val="32"/>
          <w:szCs w:val="28"/>
          <w14:textFill>
            <w14:solidFill>
              <w14:schemeClr w14:val="tx1"/>
            </w14:solidFill>
          </w14:textFill>
        </w:rPr>
        <w:t>（一）综合评价结论</w:t>
      </w:r>
      <w:bookmarkEnd w:id="122"/>
      <w:bookmarkEnd w:id="123"/>
      <w:bookmarkEnd w:id="124"/>
      <w:bookmarkEnd w:id="125"/>
    </w:p>
    <w:p>
      <w:pPr>
        <w:adjustRightInd w:val="0"/>
        <w:snapToGrid w:val="0"/>
        <w:spacing w:line="580" w:lineRule="exact"/>
        <w:ind w:firstLine="640"/>
        <w:rPr>
          <w:rFonts w:ascii="仿宋_GB2312" w:hAnsi="仿宋_GB2312" w:cs="仿宋_GB2312"/>
          <w:b w:val="0"/>
          <w:bCs w:val="0"/>
          <w:color w:val="000000" w:themeColor="text1"/>
          <w:sz w:val="32"/>
          <w:szCs w:val="28"/>
          <w14:textFill>
            <w14:solidFill>
              <w14:schemeClr w14:val="tx1"/>
            </w14:solidFill>
          </w14:textFill>
        </w:rPr>
      </w:pPr>
      <w:r>
        <w:rPr>
          <w:rFonts w:hint="eastAsia" w:ascii="仿宋_GB2312" w:hAnsi="仿宋_GB2312" w:cs="仿宋_GB2312"/>
          <w:b w:val="0"/>
          <w:bCs w:val="0"/>
          <w:color w:val="000000" w:themeColor="text1"/>
          <w:sz w:val="32"/>
          <w:szCs w:val="28"/>
          <w14:textFill>
            <w14:solidFill>
              <w14:schemeClr w14:val="tx1"/>
            </w14:solidFill>
          </w14:textFill>
        </w:rPr>
        <w:t>菏泽市“人才新政30条”政策兑现项目</w:t>
      </w:r>
      <w:r>
        <w:rPr>
          <w:rFonts w:hint="eastAsia" w:ascii="仿宋_GB2312" w:hAnsi="仿宋_GB2312" w:cs="仿宋_GB2312"/>
          <w:b w:val="0"/>
          <w:bCs w:val="0"/>
          <w:color w:val="000000" w:themeColor="text1"/>
          <w:sz w:val="32"/>
          <w:szCs w:val="28"/>
          <w:lang w:val="en-US" w:eastAsia="zh-CN"/>
          <w14:textFill>
            <w14:solidFill>
              <w14:schemeClr w14:val="tx1"/>
            </w14:solidFill>
          </w14:textFill>
        </w:rPr>
        <w:t>支出</w:t>
      </w:r>
      <w:r>
        <w:rPr>
          <w:rFonts w:hint="eastAsia" w:ascii="仿宋_GB2312" w:hAnsi="仿宋_GB2312" w:cs="仿宋_GB2312"/>
          <w:b w:val="0"/>
          <w:bCs w:val="0"/>
          <w:color w:val="000000" w:themeColor="text1"/>
          <w:sz w:val="32"/>
          <w:szCs w:val="28"/>
          <w14:textFill>
            <w14:solidFill>
              <w14:schemeClr w14:val="tx1"/>
            </w14:solidFill>
          </w14:textFill>
        </w:rPr>
        <w:t>绩效评价综合得分为80.58分，评价等级为“良”。</w:t>
      </w:r>
      <w:bookmarkStart w:id="126" w:name="_Toc114320470"/>
      <w:bookmarkStart w:id="127" w:name="_Toc109592042"/>
    </w:p>
    <w:p>
      <w:pPr>
        <w:adjustRightInd w:val="0"/>
        <w:snapToGrid w:val="0"/>
        <w:spacing w:line="580" w:lineRule="exact"/>
        <w:ind w:firstLine="643"/>
        <w:rPr>
          <w:rFonts w:ascii="楷体_GB2312" w:hAnsi="仿宋_GB2312" w:eastAsia="楷体_GB2312" w:cs="仿宋_GB2312"/>
          <w:b w:val="0"/>
          <w:bCs w:val="0"/>
          <w:color w:val="000000" w:themeColor="text1"/>
          <w:sz w:val="32"/>
          <w:szCs w:val="28"/>
          <w14:textFill>
            <w14:solidFill>
              <w14:schemeClr w14:val="tx1"/>
            </w14:solidFill>
          </w14:textFill>
        </w:rPr>
      </w:pPr>
      <w:r>
        <w:rPr>
          <w:rFonts w:hint="eastAsia" w:ascii="楷体_GB2312" w:hAnsi="仿宋_GB2312" w:eastAsia="楷体_GB2312" w:cs="仿宋_GB2312"/>
          <w:b w:val="0"/>
          <w:bCs w:val="0"/>
          <w:color w:val="000000" w:themeColor="text1"/>
          <w:sz w:val="32"/>
          <w:szCs w:val="28"/>
          <w14:textFill>
            <w14:solidFill>
              <w14:schemeClr w14:val="tx1"/>
            </w14:solidFill>
          </w14:textFill>
        </w:rPr>
        <w:t>（二）绩效综合分析</w:t>
      </w:r>
      <w:bookmarkEnd w:id="126"/>
      <w:bookmarkEnd w:id="127"/>
    </w:p>
    <w:p>
      <w:pPr>
        <w:adjustRightInd w:val="0"/>
        <w:snapToGrid w:val="0"/>
        <w:spacing w:line="580" w:lineRule="exact"/>
        <w:ind w:firstLine="643"/>
        <w:rPr>
          <w:rFonts w:ascii="仿宋_GB2312" w:hAnsiTheme="minorEastAsia" w:cstheme="minorEastAsia"/>
          <w:b w:val="0"/>
          <w:bCs w:val="0"/>
          <w:sz w:val="32"/>
          <w:szCs w:val="32"/>
          <w:lang w:eastAsia="zh-Hans"/>
        </w:rPr>
      </w:pPr>
      <w:bookmarkStart w:id="128" w:name="_Toc1239903434"/>
      <w:bookmarkStart w:id="129" w:name="_Toc79052307"/>
      <w:r>
        <w:rPr>
          <w:rFonts w:hint="eastAsia" w:ascii="仿宋_GB2312" w:hAnsiTheme="minorEastAsia" w:cstheme="minorEastAsia"/>
          <w:b w:val="0"/>
          <w:bCs w:val="0"/>
          <w:sz w:val="32"/>
          <w:szCs w:val="32"/>
          <w:lang w:eastAsia="zh-Hans"/>
        </w:rPr>
        <w:t>从“政策制定”来看，</w:t>
      </w:r>
      <w:r>
        <w:rPr>
          <w:rFonts w:ascii="仿宋_GB2312" w:hAnsiTheme="minorEastAsia"/>
          <w:b w:val="0"/>
          <w:bCs w:val="0"/>
          <w:sz w:val="32"/>
          <w:szCs w:val="32"/>
        </w:rPr>
        <w:t>指标权重15分，得分</w:t>
      </w:r>
      <w:r>
        <w:rPr>
          <w:rFonts w:hint="eastAsia" w:ascii="仿宋_GB2312" w:hAnsiTheme="minorEastAsia"/>
          <w:b w:val="0"/>
          <w:bCs w:val="0"/>
          <w:sz w:val="32"/>
          <w:szCs w:val="32"/>
        </w:rPr>
        <w:t>13</w:t>
      </w:r>
      <w:r>
        <w:rPr>
          <w:rFonts w:ascii="仿宋_GB2312" w:hAnsiTheme="minorEastAsia"/>
          <w:b w:val="0"/>
          <w:bCs w:val="0"/>
          <w:sz w:val="32"/>
          <w:szCs w:val="32"/>
        </w:rPr>
        <w:t>分，得分率为</w:t>
      </w:r>
      <w:r>
        <w:rPr>
          <w:rFonts w:hint="eastAsia" w:ascii="仿宋_GB2312" w:hAnsiTheme="minorEastAsia"/>
          <w:b w:val="0"/>
          <w:bCs w:val="0"/>
          <w:sz w:val="32"/>
          <w:szCs w:val="32"/>
        </w:rPr>
        <w:t>86.67</w:t>
      </w:r>
      <w:r>
        <w:rPr>
          <w:rFonts w:ascii="仿宋_GB2312" w:hAnsiTheme="minorEastAsia"/>
          <w:b w:val="0"/>
          <w:bCs w:val="0"/>
          <w:sz w:val="32"/>
          <w:szCs w:val="32"/>
        </w:rPr>
        <w:t>%。</w:t>
      </w:r>
      <w:r>
        <w:rPr>
          <w:rFonts w:hint="eastAsia" w:ascii="仿宋_GB2312" w:hAnsiTheme="minorEastAsia" w:cstheme="minorEastAsia"/>
          <w:b w:val="0"/>
          <w:bCs w:val="0"/>
          <w:color w:val="000000" w:themeColor="text1"/>
          <w:sz w:val="32"/>
          <w:szCs w:val="32"/>
          <w:lang w:eastAsia="zh-Hans"/>
          <w14:textFill>
            <w14:solidFill>
              <w14:schemeClr w14:val="tx1"/>
            </w14:solidFill>
          </w14:textFill>
        </w:rPr>
        <w:t>菏泽市“人才新政</w:t>
      </w:r>
      <w:r>
        <w:rPr>
          <w:rFonts w:hint="eastAsia" w:ascii="仿宋_GB2312" w:hAnsiTheme="minorEastAsia" w:cstheme="minorEastAsia"/>
          <w:b w:val="0"/>
          <w:bCs w:val="0"/>
          <w:color w:val="000000" w:themeColor="text1"/>
          <w:sz w:val="32"/>
          <w:szCs w:val="32"/>
          <w14:textFill>
            <w14:solidFill>
              <w14:schemeClr w14:val="tx1"/>
            </w14:solidFill>
          </w14:textFill>
        </w:rPr>
        <w:t>30</w:t>
      </w:r>
      <w:r>
        <w:rPr>
          <w:rFonts w:hint="eastAsia" w:ascii="仿宋_GB2312" w:hAnsiTheme="minorEastAsia" w:cstheme="minorEastAsia"/>
          <w:b w:val="0"/>
          <w:bCs w:val="0"/>
          <w:color w:val="000000" w:themeColor="text1"/>
          <w:sz w:val="32"/>
          <w:szCs w:val="32"/>
          <w:lang w:eastAsia="zh-Hans"/>
          <w14:textFill>
            <w14:solidFill>
              <w14:schemeClr w14:val="tx1"/>
            </w14:solidFill>
          </w14:textFill>
        </w:rPr>
        <w:t>条”符合《关于实施“人才兴鲁”行动打造新时代人才聚集高地的若干措施》（鲁发〔2020〕2号）政策要求，能够立足菏泽现实问题。</w:t>
      </w:r>
      <w:r>
        <w:rPr>
          <w:rFonts w:hint="eastAsia" w:ascii="仿宋_GB2312" w:hAnsiTheme="minorEastAsia" w:cstheme="minorEastAsia"/>
          <w:b w:val="0"/>
          <w:bCs w:val="0"/>
          <w:sz w:val="32"/>
          <w:szCs w:val="32"/>
          <w:lang w:eastAsia="zh-Hans"/>
        </w:rPr>
        <w:t>政策设立经集体决策，但</w:t>
      </w:r>
      <w:r>
        <w:rPr>
          <w:rFonts w:hint="eastAsia" w:ascii="仿宋_GB2312" w:hAnsi="黑体" w:cstheme="minorBidi"/>
          <w:b w:val="0"/>
          <w:bCs w:val="0"/>
          <w:color w:val="000000" w:themeColor="text1"/>
          <w:sz w:val="32"/>
          <w:szCs w:val="20"/>
          <w14:textFill>
            <w14:solidFill>
              <w14:schemeClr w14:val="tx1"/>
            </w14:solidFill>
          </w14:textFill>
        </w:rPr>
        <w:t>未组织相关专家对政策的导向、调控、分配功能和保障机制进行充分论证及研判</w:t>
      </w:r>
      <w:r>
        <w:rPr>
          <w:rFonts w:hint="eastAsia" w:ascii="仿宋_GB2312" w:hAnsiTheme="minorEastAsia" w:cstheme="minorEastAsia"/>
          <w:b w:val="0"/>
          <w:bCs w:val="0"/>
          <w:sz w:val="32"/>
          <w:szCs w:val="32"/>
          <w:lang w:eastAsia="zh-Hans"/>
        </w:rPr>
        <w:t>。</w:t>
      </w:r>
    </w:p>
    <w:p>
      <w:pPr>
        <w:adjustRightInd w:val="0"/>
        <w:snapToGrid w:val="0"/>
        <w:spacing w:line="580" w:lineRule="exact"/>
        <w:ind w:firstLine="643"/>
        <w:rPr>
          <w:rFonts w:ascii="仿宋_GB2312" w:hAnsiTheme="minorEastAsia" w:cstheme="minorEastAsia"/>
          <w:b w:val="0"/>
          <w:bCs w:val="0"/>
          <w:sz w:val="32"/>
          <w:szCs w:val="32"/>
        </w:rPr>
      </w:pPr>
      <w:r>
        <w:rPr>
          <w:rFonts w:hint="eastAsia" w:ascii="仿宋_GB2312" w:hAnsiTheme="minorEastAsia" w:cstheme="minorEastAsia"/>
          <w:b w:val="0"/>
          <w:bCs w:val="0"/>
          <w:sz w:val="32"/>
          <w:szCs w:val="32"/>
          <w:lang w:eastAsia="zh-Hans"/>
        </w:rPr>
        <w:t>从“政策执行”来看，</w:t>
      </w:r>
      <w:r>
        <w:rPr>
          <w:rFonts w:ascii="仿宋_GB2312" w:hAnsiTheme="minorEastAsia"/>
          <w:b w:val="0"/>
          <w:bCs w:val="0"/>
          <w:sz w:val="32"/>
          <w:szCs w:val="32"/>
        </w:rPr>
        <w:t>指标权重</w:t>
      </w:r>
      <w:r>
        <w:rPr>
          <w:rFonts w:hint="eastAsia" w:ascii="仿宋_GB2312" w:hAnsiTheme="minorEastAsia"/>
          <w:b w:val="0"/>
          <w:bCs w:val="0"/>
          <w:sz w:val="32"/>
          <w:szCs w:val="32"/>
        </w:rPr>
        <w:t>2</w:t>
      </w:r>
      <w:r>
        <w:rPr>
          <w:rFonts w:ascii="仿宋_GB2312" w:hAnsiTheme="minorEastAsia"/>
          <w:b w:val="0"/>
          <w:bCs w:val="0"/>
          <w:sz w:val="32"/>
          <w:szCs w:val="32"/>
        </w:rPr>
        <w:t>5分，得分</w:t>
      </w:r>
      <w:r>
        <w:rPr>
          <w:rFonts w:hint="eastAsia" w:ascii="仿宋_GB2312" w:hAnsiTheme="minorEastAsia"/>
          <w:b w:val="0"/>
          <w:bCs w:val="0"/>
          <w:sz w:val="32"/>
          <w:szCs w:val="32"/>
        </w:rPr>
        <w:t>13.28</w:t>
      </w:r>
      <w:r>
        <w:rPr>
          <w:rFonts w:ascii="仿宋_GB2312" w:hAnsiTheme="minorEastAsia"/>
          <w:b w:val="0"/>
          <w:bCs w:val="0"/>
          <w:sz w:val="32"/>
          <w:szCs w:val="32"/>
        </w:rPr>
        <w:t>分，得分率为</w:t>
      </w:r>
      <w:r>
        <w:rPr>
          <w:rFonts w:hint="eastAsia" w:ascii="仿宋_GB2312" w:hAnsiTheme="minorEastAsia"/>
          <w:b w:val="0"/>
          <w:bCs w:val="0"/>
          <w:sz w:val="32"/>
          <w:szCs w:val="32"/>
        </w:rPr>
        <w:t>53.12</w:t>
      </w:r>
      <w:r>
        <w:rPr>
          <w:rFonts w:ascii="仿宋_GB2312" w:hAnsiTheme="minorEastAsia"/>
          <w:b w:val="0"/>
          <w:bCs w:val="0"/>
          <w:sz w:val="32"/>
          <w:szCs w:val="32"/>
        </w:rPr>
        <w:t>%。</w:t>
      </w:r>
      <w:r>
        <w:rPr>
          <w:rFonts w:hint="eastAsia" w:ascii="仿宋_GB2312" w:hAnsiTheme="minorEastAsia" w:cstheme="minorEastAsia"/>
          <w:b w:val="0"/>
          <w:bCs w:val="0"/>
          <w:sz w:val="32"/>
          <w:szCs w:val="32"/>
          <w:lang w:eastAsia="zh-Hans"/>
        </w:rPr>
        <w:t>在政策落实方面，设立了菏泽市人才工作领导小组，明确各条政策的牵头部门及配合单位。在资金支持方面，预算内容与政策内容基本匹配，申请资金额度按照政策标准编制，制定了《菏泽市市级人才专项资金审核拨付暂行办法》；预算执行率较高，资金使用较为规范，未发现超范围、挪用或改变资金用途情况；在政策执行管理方面，各项政策落实执行基本能够按照相关政策实施细则执行</w:t>
      </w:r>
      <w:r>
        <w:rPr>
          <w:rFonts w:hint="eastAsia" w:ascii="仿宋_GB2312" w:hAnsiTheme="minorEastAsia" w:cstheme="minorEastAsia"/>
          <w:b w:val="0"/>
          <w:bCs w:val="0"/>
          <w:sz w:val="32"/>
          <w:szCs w:val="32"/>
        </w:rPr>
        <w:t>。</w:t>
      </w:r>
      <w:r>
        <w:rPr>
          <w:rFonts w:hint="eastAsia" w:ascii="仿宋_GB2312" w:hAnsiTheme="minorEastAsia" w:cstheme="minorEastAsia"/>
          <w:b w:val="0"/>
          <w:bCs w:val="0"/>
          <w:sz w:val="32"/>
          <w:szCs w:val="32"/>
          <w:lang w:eastAsia="zh-Hans"/>
        </w:rPr>
        <w:t>但仍存在政策年度计划制定不够完善</w:t>
      </w:r>
      <w:r>
        <w:rPr>
          <w:rFonts w:hint="eastAsia" w:ascii="仿宋_GB2312" w:hAnsiTheme="minorEastAsia" w:cstheme="minorEastAsia"/>
          <w:b w:val="0"/>
          <w:bCs w:val="0"/>
          <w:sz w:val="32"/>
          <w:szCs w:val="32"/>
        </w:rPr>
        <w:t>、个别政策兑现资金未纳入该项政策资金统筹管理、政策监督保障机制不够健全等问题。</w:t>
      </w:r>
    </w:p>
    <w:p>
      <w:pPr>
        <w:adjustRightInd w:val="0"/>
        <w:snapToGrid w:val="0"/>
        <w:spacing w:line="580" w:lineRule="exact"/>
        <w:ind w:firstLine="643"/>
        <w:rPr>
          <w:rFonts w:ascii="仿宋_GB2312" w:hAnsiTheme="minorEastAsia"/>
          <w:b w:val="0"/>
          <w:bCs w:val="0"/>
          <w:color w:val="FF0000"/>
          <w:sz w:val="32"/>
          <w:szCs w:val="32"/>
        </w:rPr>
      </w:pPr>
      <w:r>
        <w:rPr>
          <w:rFonts w:hint="eastAsia" w:ascii="仿宋_GB2312" w:hAnsiTheme="minorEastAsia" w:cstheme="minorEastAsia"/>
          <w:b w:val="0"/>
          <w:bCs w:val="0"/>
          <w:sz w:val="32"/>
          <w:szCs w:val="32"/>
          <w:lang w:eastAsia="zh-Hans"/>
        </w:rPr>
        <w:t>从“政策产出”来看，</w:t>
      </w:r>
      <w:r>
        <w:rPr>
          <w:rFonts w:ascii="仿宋_GB2312" w:hAnsiTheme="minorEastAsia"/>
          <w:b w:val="0"/>
          <w:bCs w:val="0"/>
          <w:sz w:val="32"/>
          <w:szCs w:val="32"/>
        </w:rPr>
        <w:t>指标权重</w:t>
      </w:r>
      <w:r>
        <w:rPr>
          <w:rFonts w:hint="eastAsia" w:ascii="仿宋_GB2312" w:hAnsiTheme="minorEastAsia"/>
          <w:b w:val="0"/>
          <w:bCs w:val="0"/>
          <w:sz w:val="32"/>
          <w:szCs w:val="32"/>
        </w:rPr>
        <w:t>3</w:t>
      </w:r>
      <w:r>
        <w:rPr>
          <w:rFonts w:ascii="仿宋_GB2312" w:hAnsiTheme="minorEastAsia"/>
          <w:b w:val="0"/>
          <w:bCs w:val="0"/>
          <w:sz w:val="32"/>
          <w:szCs w:val="32"/>
        </w:rPr>
        <w:t>5分，得分</w:t>
      </w:r>
      <w:r>
        <w:rPr>
          <w:rFonts w:hint="eastAsia" w:ascii="仿宋_GB2312" w:hAnsiTheme="minorEastAsia"/>
          <w:b w:val="0"/>
          <w:bCs w:val="0"/>
          <w:sz w:val="32"/>
          <w:szCs w:val="32"/>
        </w:rPr>
        <w:t>32.</w:t>
      </w:r>
      <w:r>
        <w:rPr>
          <w:rFonts w:ascii="仿宋_GB2312" w:hAnsiTheme="minorEastAsia"/>
          <w:b w:val="0"/>
          <w:bCs w:val="0"/>
          <w:sz w:val="32"/>
          <w:szCs w:val="32"/>
        </w:rPr>
        <w:t>5分，得分率为</w:t>
      </w:r>
      <w:r>
        <w:rPr>
          <w:rFonts w:hint="eastAsia" w:ascii="仿宋_GB2312" w:hAnsiTheme="minorEastAsia"/>
          <w:b w:val="0"/>
          <w:bCs w:val="0"/>
          <w:sz w:val="32"/>
          <w:szCs w:val="32"/>
        </w:rPr>
        <w:t>92.</w:t>
      </w:r>
      <w:r>
        <w:rPr>
          <w:rFonts w:ascii="仿宋_GB2312" w:hAnsiTheme="minorEastAsia"/>
          <w:b w:val="0"/>
          <w:bCs w:val="0"/>
          <w:sz w:val="32"/>
          <w:szCs w:val="32"/>
        </w:rPr>
        <w:t>85%。</w:t>
      </w:r>
      <w:r>
        <w:rPr>
          <w:rFonts w:ascii="仿宋_GB2312" w:hAnsiTheme="minorEastAsia"/>
          <w:b w:val="0"/>
          <w:bCs w:val="0"/>
          <w:sz w:val="32"/>
          <w:szCs w:val="32"/>
        </w:rPr>
        <w:t>该项政策共</w:t>
      </w:r>
      <w:r>
        <w:rPr>
          <w:rFonts w:hint="eastAsia" w:ascii="仿宋_GB2312" w:hAnsiTheme="minorEastAsia"/>
          <w:b w:val="0"/>
          <w:bCs w:val="0"/>
          <w:sz w:val="32"/>
          <w:szCs w:val="32"/>
        </w:rPr>
        <w:t>30条，落实执行政策27条，政策总体落实率为90%，政策总体贯彻执行落实较为到位，人才新政执行总体较好，且资金基本能够按照政策制定的标准保障到位，</w:t>
      </w:r>
      <w:r>
        <w:rPr>
          <w:rFonts w:hint="eastAsia" w:ascii="仿宋_GB2312" w:hAnsiTheme="minorEastAsia"/>
          <w:b w:val="0"/>
          <w:bCs w:val="0"/>
          <w:color w:val="000000" w:themeColor="text1"/>
          <w:sz w:val="32"/>
          <w:szCs w:val="32"/>
          <w14:textFill>
            <w14:solidFill>
              <w14:schemeClr w14:val="tx1"/>
            </w14:solidFill>
          </w14:textFill>
        </w:rPr>
        <w:t>但仍存在个别政策未落实问题（如政策第16条、17条、22条，未见其落实执行相关佐证材料）。</w:t>
      </w:r>
    </w:p>
    <w:p>
      <w:pPr>
        <w:overflowPunct w:val="0"/>
        <w:adjustRightInd w:val="0"/>
        <w:snapToGrid w:val="0"/>
        <w:spacing w:line="580" w:lineRule="exact"/>
        <w:ind w:firstLine="643"/>
        <w:outlineLvl w:val="3"/>
        <w:rPr>
          <w:rFonts w:ascii="仿宋_GB2312" w:hAnsiTheme="majorEastAsia" w:cstheme="majorEastAsia"/>
          <w:b w:val="0"/>
          <w:bCs w:val="0"/>
          <w:color w:val="000000"/>
          <w:sz w:val="32"/>
          <w:szCs w:val="32"/>
        </w:rPr>
      </w:pPr>
      <w:r>
        <w:rPr>
          <w:rFonts w:hint="eastAsia" w:ascii="仿宋_GB2312" w:hAnsiTheme="minorEastAsia" w:cstheme="minorEastAsia"/>
          <w:b w:val="0"/>
          <w:bCs w:val="0"/>
          <w:sz w:val="32"/>
          <w:szCs w:val="32"/>
          <w:lang w:eastAsia="zh-Hans"/>
        </w:rPr>
        <w:t>从“政策效果”来看，</w:t>
      </w:r>
      <w:r>
        <w:rPr>
          <w:rFonts w:ascii="仿宋_GB2312" w:hAnsiTheme="minorEastAsia"/>
          <w:b w:val="0"/>
          <w:bCs w:val="0"/>
          <w:sz w:val="32"/>
          <w:szCs w:val="32"/>
        </w:rPr>
        <w:t>指标权重</w:t>
      </w:r>
      <w:r>
        <w:rPr>
          <w:rFonts w:hint="eastAsia" w:ascii="仿宋_GB2312" w:hAnsiTheme="minorEastAsia"/>
          <w:b w:val="0"/>
          <w:bCs w:val="0"/>
          <w:sz w:val="32"/>
          <w:szCs w:val="32"/>
        </w:rPr>
        <w:t>2</w:t>
      </w:r>
      <w:r>
        <w:rPr>
          <w:rFonts w:ascii="仿宋_GB2312" w:hAnsiTheme="minorEastAsia"/>
          <w:b w:val="0"/>
          <w:bCs w:val="0"/>
          <w:sz w:val="32"/>
          <w:szCs w:val="32"/>
        </w:rPr>
        <w:t>5分，得分</w:t>
      </w:r>
      <w:r>
        <w:rPr>
          <w:rFonts w:hint="eastAsia" w:ascii="仿宋_GB2312" w:hAnsiTheme="minorEastAsia"/>
          <w:b w:val="0"/>
          <w:bCs w:val="0"/>
          <w:sz w:val="32"/>
          <w:szCs w:val="32"/>
        </w:rPr>
        <w:t>21.8</w:t>
      </w:r>
      <w:r>
        <w:rPr>
          <w:rFonts w:ascii="仿宋_GB2312" w:hAnsiTheme="minorEastAsia"/>
          <w:b w:val="0"/>
          <w:bCs w:val="0"/>
          <w:sz w:val="32"/>
          <w:szCs w:val="32"/>
        </w:rPr>
        <w:t>分，得分率为</w:t>
      </w:r>
      <w:r>
        <w:rPr>
          <w:rFonts w:hint="eastAsia" w:ascii="仿宋_GB2312" w:hAnsiTheme="minorEastAsia"/>
          <w:b w:val="0"/>
          <w:bCs w:val="0"/>
          <w:sz w:val="32"/>
          <w:szCs w:val="32"/>
        </w:rPr>
        <w:t>87.2</w:t>
      </w:r>
      <w:r>
        <w:rPr>
          <w:rFonts w:ascii="仿宋_GB2312" w:hAnsiTheme="minorEastAsia"/>
          <w:b w:val="0"/>
          <w:bCs w:val="0"/>
          <w:sz w:val="32"/>
          <w:szCs w:val="32"/>
        </w:rPr>
        <w:t>%。</w:t>
      </w:r>
      <w:r>
        <w:rPr>
          <w:rFonts w:ascii="仿宋_GB2312" w:hAnsiTheme="majorEastAsia" w:cstheme="majorEastAsia"/>
          <w:b w:val="0"/>
          <w:bCs w:val="0"/>
          <w:sz w:val="32"/>
          <w:szCs w:val="32"/>
        </w:rPr>
        <w:t>2020年“泰山产业领军人才”入选9人，“外专双百计划”入选1人，其申报项目涉及生物医药、机电设备、新材料等产业，与菏泽市“231”产业体系匹配度比较高，符合菏泽市人才新政预期发展需求，有利于促进菏泽市“231”特色产业发展及新旧动能转换等产业发展。</w:t>
      </w:r>
      <w:r>
        <w:rPr>
          <w:rFonts w:hint="eastAsia" w:ascii="仿宋_GB2312" w:hAnsiTheme="minorEastAsia"/>
          <w:b w:val="0"/>
          <w:bCs w:val="0"/>
          <w:sz w:val="32"/>
          <w:szCs w:val="32"/>
        </w:rPr>
        <w:t>菏泽市2018-2021年共引进博士63人、硕士1244人、本科1850人、省级人才配套工程奖励22人、高级职称45人、高级技师292人。</w:t>
      </w:r>
      <w:r>
        <w:rPr>
          <w:rFonts w:hint="eastAsia" w:ascii="仿宋_GB2312" w:hAnsiTheme="majorEastAsia" w:cstheme="majorEastAsia"/>
          <w:b w:val="0"/>
          <w:bCs w:val="0"/>
          <w:color w:val="000000"/>
          <w:sz w:val="32"/>
          <w:szCs w:val="32"/>
        </w:rPr>
        <w:t>“人才新政30条”实施前，返乡创业人员9.52万人，新政实施后，截至2021年返乡创业人员38.3万人，新增返乡创业人员28.78万人。全市现有返乡创业经济实体10.5万家，以产引才9000余名，聘用专业技术人员1万余人。</w:t>
      </w:r>
      <w:r>
        <w:rPr>
          <w:rFonts w:ascii="仿宋_GB2312" w:hAnsiTheme="majorEastAsia" w:cstheme="majorEastAsia"/>
          <w:b w:val="0"/>
          <w:bCs w:val="0"/>
          <w:sz w:val="32"/>
          <w:szCs w:val="32"/>
        </w:rPr>
        <w:t>2020年至2022年上半年专利申请数98项；菏泽学院工程实验室，2020年至2022年上半年发表论文57篇，发明专利19项，实用新型技术专利32项，外观设计专利4项</w:t>
      </w:r>
      <w:r>
        <w:rPr>
          <w:rFonts w:hint="eastAsia" w:ascii="仿宋_GB2312" w:hAnsiTheme="majorEastAsia" w:cstheme="majorEastAsia"/>
          <w:b w:val="0"/>
          <w:bCs w:val="0"/>
          <w:sz w:val="32"/>
          <w:szCs w:val="32"/>
        </w:rPr>
        <w:t>。</w:t>
      </w:r>
      <w:r>
        <w:rPr>
          <w:rFonts w:ascii="仿宋_GB2312" w:hAnsiTheme="majorEastAsia" w:cstheme="majorEastAsia"/>
          <w:b w:val="0"/>
          <w:bCs w:val="0"/>
          <w:sz w:val="32"/>
          <w:szCs w:val="32"/>
        </w:rPr>
        <w:t>实现小麦新品种</w:t>
      </w:r>
      <w:r>
        <w:rPr>
          <w:rFonts w:ascii="仿宋_GB2312" w:hAnsiTheme="majorEastAsia" w:cstheme="majorEastAsia"/>
          <w:b w:val="0"/>
          <w:bCs w:val="0"/>
          <w:color w:val="000000" w:themeColor="text1"/>
          <w:sz w:val="32"/>
          <w:szCs w:val="32"/>
          <w14:textFill>
            <w14:solidFill>
              <w14:schemeClr w14:val="tx1"/>
            </w14:solidFill>
          </w14:textFill>
        </w:rPr>
        <w:t>菏麦29、大豆新品种菏豆33</w:t>
      </w:r>
      <w:r>
        <w:rPr>
          <w:rFonts w:ascii="仿宋_GB2312" w:hAnsiTheme="majorEastAsia" w:cstheme="majorEastAsia"/>
          <w:b w:val="0"/>
          <w:bCs w:val="0"/>
          <w:sz w:val="32"/>
          <w:szCs w:val="32"/>
        </w:rPr>
        <w:t>两项科技成果转让。</w:t>
      </w:r>
      <w:r>
        <w:rPr>
          <w:rFonts w:hint="eastAsia" w:ascii="仿宋_GB2312" w:hAnsiTheme="minorEastAsia" w:cstheme="minorEastAsia"/>
          <w:b w:val="0"/>
          <w:bCs w:val="0"/>
          <w:color w:val="000000" w:themeColor="text1"/>
          <w:sz w:val="32"/>
          <w:szCs w:val="32"/>
          <w:lang w:eastAsia="zh-Hans"/>
          <w14:textFill>
            <w14:solidFill>
              <w14:schemeClr w14:val="tx1"/>
            </w14:solidFill>
          </w14:textFill>
        </w:rPr>
        <w:t>“人才新政</w:t>
      </w:r>
      <w:r>
        <w:rPr>
          <w:rFonts w:hint="eastAsia" w:ascii="仿宋_GB2312" w:hAnsiTheme="minorEastAsia" w:cstheme="minorEastAsia"/>
          <w:b w:val="0"/>
          <w:bCs w:val="0"/>
          <w:color w:val="000000" w:themeColor="text1"/>
          <w:sz w:val="32"/>
          <w:szCs w:val="32"/>
          <w14:textFill>
            <w14:solidFill>
              <w14:schemeClr w14:val="tx1"/>
            </w14:solidFill>
          </w14:textFill>
        </w:rPr>
        <w:t>30</w:t>
      </w:r>
      <w:r>
        <w:rPr>
          <w:rFonts w:hint="eastAsia" w:ascii="仿宋_GB2312" w:hAnsiTheme="minorEastAsia" w:cstheme="minorEastAsia"/>
          <w:b w:val="0"/>
          <w:bCs w:val="0"/>
          <w:color w:val="000000" w:themeColor="text1"/>
          <w:sz w:val="32"/>
          <w:szCs w:val="32"/>
          <w:lang w:eastAsia="zh-Hans"/>
          <w14:textFill>
            <w14:solidFill>
              <w14:schemeClr w14:val="tx1"/>
            </w14:solidFill>
          </w14:textFill>
        </w:rPr>
        <w:t>条”对促进新旧动能转换等产业发展起到一定的积极作用，人才集聚效应较为明显</w:t>
      </w:r>
      <w:r>
        <w:rPr>
          <w:rFonts w:hint="eastAsia" w:ascii="仿宋_GB2312" w:hAnsiTheme="minorEastAsia" w:cstheme="minorEastAsia"/>
          <w:b w:val="0"/>
          <w:bCs w:val="0"/>
          <w:color w:val="000000" w:themeColor="text1"/>
          <w:sz w:val="32"/>
          <w:szCs w:val="32"/>
          <w14:textFill>
            <w14:solidFill>
              <w14:schemeClr w14:val="tx1"/>
            </w14:solidFill>
          </w14:textFill>
        </w:rPr>
        <w:t>。</w:t>
      </w:r>
      <w:r>
        <w:rPr>
          <w:rFonts w:hint="eastAsia" w:ascii="仿宋_GB2312" w:hAnsiTheme="minorEastAsia" w:cstheme="minorEastAsia"/>
          <w:b w:val="0"/>
          <w:bCs w:val="0"/>
          <w:color w:val="000000" w:themeColor="text1"/>
          <w:sz w:val="32"/>
          <w:szCs w:val="32"/>
          <w:lang w:eastAsia="zh-Hans"/>
          <w14:textFill>
            <w14:solidFill>
              <w14:schemeClr w14:val="tx1"/>
            </w14:solidFill>
          </w14:textFill>
        </w:rPr>
        <w:t>但仍存在</w:t>
      </w:r>
      <w:r>
        <w:rPr>
          <w:rFonts w:hint="eastAsia" w:ascii="仿宋_GB2312" w:hAnsiTheme="minorEastAsia" w:cstheme="minorEastAsia"/>
          <w:b w:val="0"/>
          <w:bCs w:val="0"/>
          <w:color w:val="000000" w:themeColor="text1"/>
          <w:sz w:val="32"/>
          <w:szCs w:val="32"/>
          <w14:textFill>
            <w14:solidFill>
              <w14:schemeClr w14:val="tx1"/>
            </w14:solidFill>
          </w14:textFill>
        </w:rPr>
        <w:t>个别</w:t>
      </w:r>
      <w:r>
        <w:rPr>
          <w:rFonts w:hint="eastAsia" w:ascii="仿宋_GB2312" w:hAnsiTheme="minorEastAsia" w:cstheme="minorEastAsia"/>
          <w:b w:val="0"/>
          <w:bCs w:val="0"/>
          <w:color w:val="000000" w:themeColor="text1"/>
          <w:sz w:val="32"/>
          <w:szCs w:val="32"/>
          <w:lang w:eastAsia="zh-Hans"/>
          <w14:textFill>
            <w14:solidFill>
              <w14:schemeClr w14:val="tx1"/>
            </w14:solidFill>
          </w14:textFill>
        </w:rPr>
        <w:t>奖励企业未投产运营</w:t>
      </w:r>
      <w:r>
        <w:rPr>
          <w:rFonts w:hint="eastAsia" w:ascii="仿宋_GB2312" w:hAnsiTheme="minorEastAsia" w:cstheme="minorEastAsia"/>
          <w:b w:val="0"/>
          <w:bCs w:val="0"/>
          <w:color w:val="000000" w:themeColor="text1"/>
          <w:sz w:val="32"/>
          <w:szCs w:val="32"/>
          <w14:textFill>
            <w14:solidFill>
              <w14:schemeClr w14:val="tx1"/>
            </w14:solidFill>
          </w14:textFill>
        </w:rPr>
        <w:t>、</w:t>
      </w:r>
      <w:r>
        <w:rPr>
          <w:rFonts w:hint="eastAsia" w:ascii="仿宋_GB2312" w:hAnsiTheme="minorEastAsia" w:cstheme="minorEastAsia"/>
          <w:b w:val="0"/>
          <w:bCs w:val="0"/>
          <w:color w:val="000000" w:themeColor="text1"/>
          <w:sz w:val="32"/>
          <w:szCs w:val="32"/>
          <w:lang w:eastAsia="zh-Hans"/>
          <w14:textFill>
            <w14:solidFill>
              <w14:schemeClr w14:val="tx1"/>
            </w14:solidFill>
          </w14:textFill>
        </w:rPr>
        <w:t>个别补助企业荣誉称号被取消</w:t>
      </w:r>
      <w:r>
        <w:rPr>
          <w:rFonts w:hint="eastAsia" w:ascii="仿宋_GB2312" w:hAnsiTheme="minorEastAsia" w:cstheme="minorEastAsia"/>
          <w:b w:val="0"/>
          <w:bCs w:val="0"/>
          <w:color w:val="000000" w:themeColor="text1"/>
          <w:sz w:val="32"/>
          <w:szCs w:val="32"/>
          <w14:textFill>
            <w14:solidFill>
              <w14:schemeClr w14:val="tx1"/>
            </w14:solidFill>
          </w14:textFill>
        </w:rPr>
        <w:t>等问题，政策效果</w:t>
      </w:r>
      <w:r>
        <w:rPr>
          <w:rFonts w:hint="eastAsia" w:ascii="仿宋_GB2312" w:hAnsiTheme="minorEastAsia" w:cstheme="minorEastAsia"/>
          <w:b w:val="0"/>
          <w:bCs w:val="0"/>
          <w:sz w:val="32"/>
          <w:szCs w:val="32"/>
        </w:rPr>
        <w:t>有待进一步提升。</w:t>
      </w:r>
    </w:p>
    <w:bookmarkEnd w:id="128"/>
    <w:bookmarkEnd w:id="129"/>
    <w:p>
      <w:pPr>
        <w:adjustRightInd w:val="0"/>
        <w:snapToGrid w:val="0"/>
        <w:spacing w:line="580" w:lineRule="exact"/>
        <w:ind w:firstLine="640"/>
        <w:outlineLvl w:val="0"/>
        <w:rPr>
          <w:rFonts w:eastAsia="黑体"/>
          <w:b w:val="0"/>
          <w:bCs w:val="0"/>
          <w:color w:val="FF0000"/>
          <w:kern w:val="0"/>
          <w:sz w:val="32"/>
          <w:szCs w:val="32"/>
        </w:rPr>
      </w:pPr>
      <w:bookmarkStart w:id="130" w:name="_MON_1693728957"/>
      <w:bookmarkEnd w:id="130"/>
      <w:bookmarkStart w:id="131" w:name="_Toc114320471"/>
      <w:bookmarkStart w:id="132" w:name="_Toc2145"/>
      <w:bookmarkStart w:id="133" w:name="_Toc109592049"/>
      <w:r>
        <w:rPr>
          <w:rFonts w:hint="eastAsia" w:eastAsia="黑体"/>
          <w:b w:val="0"/>
          <w:bCs w:val="0"/>
          <w:color w:val="000000"/>
          <w:kern w:val="0"/>
          <w:sz w:val="32"/>
          <w:szCs w:val="32"/>
          <w:lang w:eastAsia="zh-Hans"/>
        </w:rPr>
        <w:t>五、成效和</w:t>
      </w:r>
      <w:r>
        <w:rPr>
          <w:rFonts w:eastAsia="黑体"/>
          <w:b w:val="0"/>
          <w:bCs w:val="0"/>
          <w:color w:val="000000"/>
          <w:kern w:val="0"/>
          <w:sz w:val="32"/>
          <w:szCs w:val="32"/>
          <w:lang w:eastAsia="zh-Hans"/>
        </w:rPr>
        <w:t>主要经验做法</w:t>
      </w:r>
      <w:bookmarkEnd w:id="131"/>
      <w:bookmarkEnd w:id="132"/>
      <w:bookmarkEnd w:id="133"/>
    </w:p>
    <w:p>
      <w:pPr>
        <w:adjustRightInd w:val="0"/>
        <w:snapToGrid w:val="0"/>
        <w:spacing w:line="580" w:lineRule="exact"/>
        <w:ind w:firstLine="643"/>
        <w:outlineLvl w:val="0"/>
        <w:rPr>
          <w:rFonts w:ascii="楷体_GB2312" w:eastAsia="楷体_GB2312"/>
          <w:b w:val="0"/>
          <w:bCs w:val="0"/>
          <w:color w:val="000000"/>
          <w:kern w:val="0"/>
          <w:sz w:val="32"/>
          <w:szCs w:val="32"/>
          <w:lang w:eastAsia="zh-Hans"/>
        </w:rPr>
      </w:pPr>
      <w:bookmarkStart w:id="134" w:name="_Toc109592050"/>
      <w:bookmarkStart w:id="135" w:name="_Toc114320472"/>
      <w:r>
        <w:rPr>
          <w:rFonts w:hint="eastAsia" w:ascii="楷体_GB2312" w:eastAsia="楷体_GB2312" w:hAnsiTheme="majorEastAsia" w:cstheme="majorEastAsia"/>
          <w:b w:val="0"/>
          <w:bCs w:val="0"/>
          <w:sz w:val="32"/>
          <w:szCs w:val="32"/>
        </w:rPr>
        <w:t>（一）</w:t>
      </w:r>
      <w:bookmarkEnd w:id="134"/>
      <w:r>
        <w:rPr>
          <w:rFonts w:hint="eastAsia" w:ascii="楷体_GB2312" w:eastAsia="楷体_GB2312" w:hAnsiTheme="majorEastAsia" w:cstheme="majorEastAsia"/>
          <w:b w:val="0"/>
          <w:bCs w:val="0"/>
          <w:sz w:val="32"/>
          <w:szCs w:val="32"/>
        </w:rPr>
        <w:t>完善政策体系，狠抓政策落实</w:t>
      </w:r>
      <w:bookmarkEnd w:id="135"/>
    </w:p>
    <w:p>
      <w:pPr>
        <w:pStyle w:val="2"/>
        <w:snapToGrid w:val="0"/>
        <w:spacing w:after="0" w:line="580" w:lineRule="exact"/>
        <w:ind w:left="0" w:leftChars="0" w:firstLine="640"/>
        <w:rPr>
          <w:rFonts w:hint="default" w:ascii="仿宋_GB2312" w:eastAsia="仿宋_GB2312"/>
          <w:b w:val="0"/>
          <w:bCs w:val="0"/>
          <w:sz w:val="32"/>
          <w:szCs w:val="32"/>
        </w:rPr>
      </w:pPr>
      <w:bookmarkStart w:id="136" w:name="_Toc2043"/>
      <w:r>
        <w:rPr>
          <w:rFonts w:ascii="仿宋_GB2312" w:eastAsia="仿宋_GB2312"/>
          <w:b w:val="0"/>
          <w:bCs w:val="0"/>
          <w:sz w:val="32"/>
          <w:szCs w:val="32"/>
        </w:rPr>
        <w:t>根据政策实施情况，在充分调研和广泛征求用人主体意见的基础上，对“人才新政30条”进行了修订，增加配套实施文件，在人才引进、平台建设、服务保障等方面提出一系列支持政策。在落实上，坚持按规定程序严格落实，及时兑现。</w:t>
      </w:r>
    </w:p>
    <w:p>
      <w:pPr>
        <w:adjustRightInd w:val="0"/>
        <w:snapToGrid w:val="0"/>
        <w:spacing w:line="580" w:lineRule="exact"/>
        <w:ind w:firstLine="643"/>
        <w:outlineLvl w:val="0"/>
        <w:rPr>
          <w:rFonts w:ascii="楷体_GB2312" w:eastAsia="楷体_GB2312" w:hAnsiTheme="majorEastAsia" w:cstheme="majorEastAsia"/>
          <w:b w:val="0"/>
          <w:bCs w:val="0"/>
          <w:sz w:val="32"/>
          <w:szCs w:val="32"/>
        </w:rPr>
      </w:pPr>
      <w:bookmarkStart w:id="137" w:name="_Toc109592053"/>
      <w:bookmarkStart w:id="138" w:name="_Toc114320473"/>
      <w:r>
        <w:rPr>
          <w:rFonts w:hint="eastAsia" w:ascii="楷体_GB2312" w:eastAsia="楷体_GB2312" w:hAnsiTheme="majorEastAsia" w:cstheme="majorEastAsia"/>
          <w:b w:val="0"/>
          <w:bCs w:val="0"/>
          <w:sz w:val="32"/>
          <w:szCs w:val="32"/>
        </w:rPr>
        <w:t>（二）</w:t>
      </w:r>
      <w:bookmarkEnd w:id="137"/>
      <w:r>
        <w:rPr>
          <w:rFonts w:hint="eastAsia" w:ascii="楷体_GB2312" w:eastAsia="楷体_GB2312" w:hAnsiTheme="majorEastAsia" w:cstheme="majorEastAsia"/>
          <w:b w:val="0"/>
          <w:bCs w:val="0"/>
          <w:sz w:val="32"/>
          <w:szCs w:val="32"/>
        </w:rPr>
        <w:t>重基础保障，抓高端引领</w:t>
      </w:r>
      <w:bookmarkEnd w:id="138"/>
    </w:p>
    <w:p>
      <w:pPr>
        <w:pStyle w:val="44"/>
        <w:snapToGrid w:val="0"/>
        <w:spacing w:line="580" w:lineRule="exact"/>
        <w:ind w:firstLine="640"/>
        <w:rPr>
          <w:rFonts w:ascii="仿宋_GB2312"/>
          <w:b w:val="0"/>
          <w:bCs w:val="0"/>
          <w:sz w:val="32"/>
          <w:szCs w:val="32"/>
        </w:rPr>
      </w:pPr>
      <w:r>
        <w:rPr>
          <w:rStyle w:val="49"/>
          <w:rFonts w:hint="eastAsia" w:ascii="仿宋_GB2312"/>
          <w:b w:val="0"/>
          <w:bCs w:val="0"/>
          <w:sz w:val="32"/>
          <w:szCs w:val="32"/>
        </w:rPr>
        <w:t>畅通市直事业单位高层次人才引进“绿色通道”，通过</w:t>
      </w:r>
      <w:r>
        <w:rPr>
          <w:rFonts w:hint="eastAsia" w:ascii="仿宋_GB2312"/>
          <w:b w:val="0"/>
          <w:bCs w:val="0"/>
          <w:sz w:val="32"/>
          <w:szCs w:val="32"/>
        </w:rPr>
        <w:t>走进清华大学、武汉大学、山东大学等国内知名高校举办双选会引进青年人才。实施“高校毕业生集聚工程”，加快青年人才引进步伐。开展“山东菏泽名校人才直通车”活动，组织市直事业单位、重点国有企业、优秀民营企业，</w:t>
      </w:r>
      <w:r>
        <w:rPr>
          <w:rFonts w:hint="eastAsia" w:ascii="仿宋_GB2312" w:hAnsi="仿宋_GB2312" w:cs="仿宋_GB2312"/>
          <w:b w:val="0"/>
          <w:bCs w:val="0"/>
          <w:sz w:val="32"/>
          <w:szCs w:val="32"/>
        </w:rPr>
        <w:t>先后走进山东大学、吉林大学等高校，举办人才引进专场双选会</w:t>
      </w:r>
      <w:r>
        <w:rPr>
          <w:rFonts w:hint="eastAsia" w:ascii="仿宋_GB2312"/>
          <w:b w:val="0"/>
          <w:bCs w:val="0"/>
          <w:sz w:val="32"/>
          <w:szCs w:val="32"/>
        </w:rPr>
        <w:t>。</w:t>
      </w:r>
    </w:p>
    <w:p>
      <w:pPr>
        <w:pStyle w:val="44"/>
        <w:snapToGrid w:val="0"/>
        <w:spacing w:line="580" w:lineRule="exact"/>
        <w:ind w:firstLine="640"/>
        <w:rPr>
          <w:rFonts w:ascii="仿宋_GB2312"/>
          <w:b w:val="0"/>
          <w:bCs w:val="0"/>
          <w:sz w:val="32"/>
          <w:szCs w:val="32"/>
        </w:rPr>
      </w:pPr>
      <w:r>
        <w:rPr>
          <w:rFonts w:hint="eastAsia" w:ascii="仿宋_GB2312"/>
          <w:b w:val="0"/>
          <w:bCs w:val="0"/>
          <w:sz w:val="32"/>
          <w:szCs w:val="32"/>
        </w:rPr>
        <w:t>对接省“产业人才集聚”专项行动，围绕菏泽市“231”特色产业发展需求，进一步完善“人才+团队+项目”引才模式，引进了一批具有引领作用的高端人才。</w:t>
      </w:r>
    </w:p>
    <w:p>
      <w:pPr>
        <w:adjustRightInd w:val="0"/>
        <w:snapToGrid w:val="0"/>
        <w:spacing w:line="580" w:lineRule="exact"/>
        <w:ind w:firstLine="643"/>
        <w:outlineLvl w:val="0"/>
        <w:rPr>
          <w:rFonts w:ascii="楷体_GB2312" w:eastAsia="楷体_GB2312" w:hAnsiTheme="majorEastAsia" w:cstheme="majorEastAsia"/>
          <w:b w:val="0"/>
          <w:bCs w:val="0"/>
          <w:sz w:val="32"/>
          <w:szCs w:val="32"/>
        </w:rPr>
      </w:pPr>
      <w:bookmarkStart w:id="139" w:name="_Toc114320474"/>
      <w:bookmarkStart w:id="140" w:name="_Toc109592056"/>
      <w:r>
        <w:rPr>
          <w:rFonts w:hint="eastAsia" w:ascii="楷体_GB2312" w:eastAsia="楷体_GB2312" w:hAnsiTheme="majorEastAsia" w:cstheme="majorEastAsia"/>
          <w:b w:val="0"/>
          <w:bCs w:val="0"/>
          <w:sz w:val="32"/>
          <w:szCs w:val="32"/>
        </w:rPr>
        <w:t>（三）提升承载能力，加快平台建设</w:t>
      </w:r>
      <w:bookmarkEnd w:id="139"/>
      <w:bookmarkEnd w:id="140"/>
    </w:p>
    <w:p>
      <w:pPr>
        <w:pStyle w:val="44"/>
        <w:snapToGrid w:val="0"/>
        <w:spacing w:line="580" w:lineRule="exact"/>
        <w:ind w:firstLine="640"/>
        <w:rPr>
          <w:rFonts w:ascii="仿宋_GB2312"/>
          <w:b w:val="0"/>
          <w:bCs w:val="0"/>
          <w:sz w:val="32"/>
          <w:szCs w:val="32"/>
        </w:rPr>
      </w:pPr>
      <w:r>
        <w:rPr>
          <w:rFonts w:hint="eastAsia" w:ascii="仿宋_GB2312"/>
          <w:b w:val="0"/>
          <w:bCs w:val="0"/>
          <w:sz w:val="32"/>
          <w:szCs w:val="32"/>
        </w:rPr>
        <w:t>积极组织申报工程技术中心、工程实验室等各类创新平台，增强企业自主科研创新能力，努力提升各类创新人才和基层人才培养、承载能力。</w:t>
      </w:r>
      <w:r>
        <w:rPr>
          <w:rFonts w:ascii="仿宋_GB2312"/>
          <w:b w:val="0"/>
          <w:bCs w:val="0"/>
          <w:sz w:val="32"/>
          <w:szCs w:val="32"/>
        </w:rPr>
        <w:t>重点扶持山东高端化工研究院等新型研发机构建设，鼓励引进培养高水平研发团队，支撑带动相关产业领域整体发展。组建了菏泽职业学院高端化工研究院，研究院引进的高层次人才在人事档案、社会保险、职称晋升等方面享受事业体制保障。</w:t>
      </w:r>
    </w:p>
    <w:p>
      <w:pPr>
        <w:adjustRightInd w:val="0"/>
        <w:snapToGrid w:val="0"/>
        <w:spacing w:line="580" w:lineRule="exact"/>
        <w:ind w:firstLine="643"/>
        <w:outlineLvl w:val="0"/>
        <w:rPr>
          <w:rFonts w:ascii="楷体_GB2312" w:eastAsia="楷体_GB2312" w:hAnsiTheme="majorEastAsia" w:cstheme="majorEastAsia"/>
          <w:b w:val="0"/>
          <w:bCs w:val="0"/>
          <w:sz w:val="32"/>
          <w:szCs w:val="32"/>
        </w:rPr>
      </w:pPr>
      <w:bookmarkStart w:id="141" w:name="_Toc109592059"/>
      <w:bookmarkStart w:id="142" w:name="_Toc114320475"/>
      <w:r>
        <w:rPr>
          <w:rFonts w:hint="eastAsia" w:ascii="楷体_GB2312" w:eastAsia="楷体_GB2312" w:hAnsiTheme="majorEastAsia" w:cstheme="majorEastAsia"/>
          <w:b w:val="0"/>
          <w:bCs w:val="0"/>
          <w:sz w:val="32"/>
          <w:szCs w:val="32"/>
        </w:rPr>
        <w:t>（四）强化服务保障</w:t>
      </w:r>
      <w:bookmarkEnd w:id="141"/>
      <w:bookmarkEnd w:id="142"/>
    </w:p>
    <w:p>
      <w:pPr>
        <w:pStyle w:val="2"/>
        <w:snapToGrid w:val="0"/>
        <w:spacing w:after="0" w:line="580" w:lineRule="exact"/>
        <w:ind w:left="0" w:leftChars="0" w:firstLine="640"/>
        <w:rPr>
          <w:rFonts w:hint="default" w:ascii="仿宋_GB2312" w:eastAsia="仿宋_GB2312"/>
          <w:b w:val="0"/>
          <w:bCs w:val="0"/>
          <w:sz w:val="32"/>
          <w:szCs w:val="32"/>
        </w:rPr>
      </w:pPr>
      <w:r>
        <w:rPr>
          <w:rFonts w:ascii="仿宋_GB2312" w:eastAsia="仿宋_GB2312"/>
          <w:b w:val="0"/>
          <w:bCs w:val="0"/>
          <w:sz w:val="32"/>
          <w:szCs w:val="32"/>
        </w:rPr>
        <w:t>进一步完善高层次人才子女入学、医疗、住房等资源配套服务，全面提升生活环节的舒适度，让各类人才在全社会得到尊重、受到尊敬。</w:t>
      </w:r>
    </w:p>
    <w:p>
      <w:pPr>
        <w:adjustRightInd w:val="0"/>
        <w:snapToGrid w:val="0"/>
        <w:spacing w:line="580" w:lineRule="exact"/>
        <w:ind w:firstLine="640"/>
        <w:outlineLvl w:val="0"/>
        <w:rPr>
          <w:rFonts w:eastAsia="黑体"/>
          <w:b w:val="0"/>
          <w:bCs w:val="0"/>
          <w:color w:val="000000"/>
          <w:kern w:val="0"/>
          <w:sz w:val="32"/>
          <w:szCs w:val="32"/>
          <w:lang w:eastAsia="zh-Hans"/>
        </w:rPr>
      </w:pPr>
      <w:bookmarkStart w:id="143" w:name="_Toc114320476"/>
      <w:bookmarkStart w:id="144" w:name="_Toc109592060"/>
      <w:r>
        <w:rPr>
          <w:rFonts w:hint="eastAsia" w:eastAsia="黑体"/>
          <w:b w:val="0"/>
          <w:bCs w:val="0"/>
          <w:color w:val="000000"/>
          <w:kern w:val="0"/>
          <w:sz w:val="32"/>
          <w:szCs w:val="32"/>
          <w:lang w:eastAsia="zh-Hans"/>
        </w:rPr>
        <w:t>六、</w:t>
      </w:r>
      <w:r>
        <w:rPr>
          <w:rFonts w:eastAsia="黑体"/>
          <w:b w:val="0"/>
          <w:bCs w:val="0"/>
          <w:color w:val="000000"/>
          <w:kern w:val="0"/>
          <w:sz w:val="32"/>
          <w:szCs w:val="32"/>
          <w:lang w:eastAsia="zh-Hans"/>
        </w:rPr>
        <w:t>存在的问题及原因分析</w:t>
      </w:r>
      <w:bookmarkEnd w:id="136"/>
      <w:bookmarkEnd w:id="143"/>
      <w:bookmarkEnd w:id="144"/>
    </w:p>
    <w:p>
      <w:pPr>
        <w:pStyle w:val="17"/>
        <w:snapToGrid w:val="0"/>
        <w:spacing w:before="0" w:beforeAutospacing="0" w:after="0" w:afterAutospacing="0" w:line="580" w:lineRule="exact"/>
        <w:ind w:firstLine="640" w:firstLineChars="200"/>
        <w:jc w:val="both"/>
        <w:outlineLvl w:val="1"/>
        <w:rPr>
          <w:rFonts w:ascii="楷体_GB2312" w:eastAsia="楷体_GB2312"/>
          <w:b w:val="0"/>
          <w:bCs w:val="0"/>
          <w:sz w:val="32"/>
          <w:szCs w:val="32"/>
        </w:rPr>
      </w:pPr>
      <w:bookmarkStart w:id="145" w:name="_Toc114320477"/>
      <w:bookmarkStart w:id="146" w:name="_Hlk113004261"/>
      <w:r>
        <w:rPr>
          <w:rFonts w:hint="eastAsia" w:ascii="楷体_GB2312" w:eastAsia="楷体_GB2312"/>
          <w:b w:val="0"/>
          <w:bCs w:val="0"/>
          <w:sz w:val="32"/>
          <w:szCs w:val="32"/>
        </w:rPr>
        <w:t>（一）政策制定方面</w:t>
      </w:r>
    </w:p>
    <w:p>
      <w:pPr>
        <w:pStyle w:val="17"/>
        <w:snapToGrid w:val="0"/>
        <w:spacing w:before="0" w:beforeAutospacing="0" w:after="0" w:afterAutospacing="0" w:line="580" w:lineRule="exact"/>
        <w:ind w:firstLine="640" w:firstLineChars="200"/>
        <w:jc w:val="both"/>
        <w:outlineLvl w:val="1"/>
        <w:rPr>
          <w:rFonts w:ascii="仿宋_GB2312" w:eastAsia="仿宋_GB2312"/>
          <w:b w:val="0"/>
          <w:bCs w:val="0"/>
          <w:sz w:val="32"/>
          <w:szCs w:val="32"/>
        </w:rPr>
      </w:pPr>
      <w:r>
        <w:rPr>
          <w:rFonts w:hint="eastAsia" w:ascii="仿宋_GB2312" w:eastAsia="仿宋_GB2312"/>
          <w:b w:val="0"/>
          <w:bCs w:val="0"/>
          <w:sz w:val="32"/>
          <w:szCs w:val="32"/>
        </w:rPr>
        <w:t>1.政策监督及考核机制不健全</w:t>
      </w:r>
      <w:bookmarkEnd w:id="145"/>
    </w:p>
    <w:p>
      <w:pPr>
        <w:pStyle w:val="17"/>
        <w:snapToGrid w:val="0"/>
        <w:spacing w:before="0" w:beforeAutospacing="0" w:after="0" w:afterAutospacing="0" w:line="580" w:lineRule="exact"/>
        <w:ind w:firstLine="640" w:firstLineChars="200"/>
        <w:rPr>
          <w:rFonts w:ascii="仿宋_GB2312" w:hAnsi="Times New Roman" w:eastAsia="仿宋_GB2312" w:cs="Times New Roman"/>
          <w:b w:val="0"/>
          <w:bCs w:val="0"/>
          <w:color w:val="000000" w:themeColor="text1"/>
          <w:sz w:val="32"/>
          <w:szCs w:val="32"/>
          <w14:textFill>
            <w14:solidFill>
              <w14:schemeClr w14:val="tx1"/>
            </w14:solidFill>
          </w14:textFill>
        </w:rPr>
      </w:pPr>
      <w:r>
        <w:rPr>
          <w:rFonts w:hint="eastAsia" w:ascii="仿宋_GB2312" w:hAnsi="Times New Roman" w:eastAsia="仿宋_GB2312" w:cs="Times New Roman"/>
          <w:b w:val="0"/>
          <w:bCs w:val="0"/>
          <w:color w:val="000000" w:themeColor="text1"/>
          <w:sz w:val="32"/>
          <w:szCs w:val="32"/>
          <w14:textFill>
            <w14:solidFill>
              <w14:schemeClr w14:val="tx1"/>
            </w14:solidFill>
          </w14:textFill>
        </w:rPr>
        <w:t>一是牵头部门和主管单位未建立政策的监督及考核机制及相应的实施细则或管理办法，对执行过程中政策落实情况督导不够及时；二是未针对政策实际情况建立人才的动态管理和考核机制，不能够在政策执行过程中进行有效监控和及时纠偏，仅在政策年度执行完成后调度各项政策落实情况，一定程度上影响政策效果的有效发挥。</w:t>
      </w:r>
    </w:p>
    <w:p>
      <w:pPr>
        <w:pStyle w:val="17"/>
        <w:snapToGrid w:val="0"/>
        <w:spacing w:before="0" w:beforeAutospacing="0" w:after="0" w:afterAutospacing="0" w:line="580" w:lineRule="exact"/>
        <w:ind w:firstLine="640" w:firstLineChars="200"/>
        <w:jc w:val="both"/>
        <w:outlineLvl w:val="1"/>
        <w:rPr>
          <w:rFonts w:ascii="仿宋_GB2312" w:eastAsia="仿宋_GB2312"/>
          <w:b w:val="0"/>
          <w:bCs w:val="0"/>
          <w:sz w:val="32"/>
          <w:szCs w:val="32"/>
        </w:rPr>
      </w:pPr>
      <w:bookmarkStart w:id="147" w:name="_Toc114320478"/>
      <w:r>
        <w:rPr>
          <w:rFonts w:hint="eastAsia" w:ascii="仿宋_GB2312" w:eastAsia="仿宋_GB2312"/>
          <w:b w:val="0"/>
          <w:bCs w:val="0"/>
          <w:sz w:val="32"/>
          <w:szCs w:val="32"/>
        </w:rPr>
        <w:t>2.政策知晓率低</w:t>
      </w:r>
      <w:bookmarkEnd w:id="147"/>
    </w:p>
    <w:p>
      <w:pPr>
        <w:pStyle w:val="48"/>
        <w:snapToGrid w:val="0"/>
        <w:spacing w:before="0" w:after="0" w:line="580" w:lineRule="exact"/>
        <w:ind w:firstLine="640"/>
        <w:jc w:val="left"/>
        <w:rPr>
          <w:rFonts w:ascii="仿宋_GB2312"/>
          <w:b w:val="0"/>
          <w:bCs w:val="0"/>
          <w:color w:val="000000" w:themeColor="text1"/>
          <w:sz w:val="32"/>
          <w:szCs w:val="32"/>
          <w14:textFill>
            <w14:solidFill>
              <w14:schemeClr w14:val="tx1"/>
            </w14:solidFill>
          </w14:textFill>
        </w:rPr>
      </w:pPr>
      <w:r>
        <w:rPr>
          <w:rFonts w:hint="eastAsia" w:ascii="仿宋_GB2312"/>
          <w:b w:val="0"/>
          <w:bCs w:val="0"/>
          <w:color w:val="000000" w:themeColor="text1"/>
          <w:sz w:val="32"/>
          <w:szCs w:val="32"/>
          <w14:textFill>
            <w14:solidFill>
              <w14:schemeClr w14:val="tx1"/>
            </w14:solidFill>
          </w14:textFill>
        </w:rPr>
        <w:t>满意度问卷（补助对象版）调查结果显示，在“菏泽市人才政策的了解程度”方面，有40.86%的受益对象选择“基本了解或不太了解”，占比较高，在一定程度上说明该项政策知晓率低。</w:t>
      </w:r>
    </w:p>
    <w:p>
      <w:pPr>
        <w:pStyle w:val="17"/>
        <w:snapToGrid w:val="0"/>
        <w:spacing w:before="0" w:beforeAutospacing="0" w:after="0" w:afterAutospacing="0" w:line="580" w:lineRule="exact"/>
        <w:ind w:firstLine="640" w:firstLineChars="200"/>
        <w:jc w:val="both"/>
        <w:outlineLvl w:val="1"/>
        <w:rPr>
          <w:rFonts w:ascii="仿宋_GB2312" w:eastAsia="仿宋_GB2312"/>
          <w:b w:val="0"/>
          <w:bCs w:val="0"/>
          <w:sz w:val="32"/>
          <w:szCs w:val="32"/>
        </w:rPr>
      </w:pPr>
      <w:bookmarkStart w:id="148" w:name="_Toc114320479"/>
      <w:r>
        <w:rPr>
          <w:rFonts w:hint="eastAsia" w:ascii="仿宋_GB2312" w:eastAsia="仿宋_GB2312"/>
          <w:b w:val="0"/>
          <w:bCs w:val="0"/>
          <w:sz w:val="32"/>
          <w:szCs w:val="32"/>
        </w:rPr>
        <w:t>3.财务管理不规范</w:t>
      </w:r>
      <w:bookmarkEnd w:id="148"/>
    </w:p>
    <w:p>
      <w:pPr>
        <w:pStyle w:val="17"/>
        <w:snapToGrid w:val="0"/>
        <w:spacing w:before="0" w:beforeAutospacing="0" w:after="0" w:afterAutospacing="0" w:line="580" w:lineRule="exact"/>
        <w:ind w:firstLine="640" w:firstLineChars="200"/>
        <w:jc w:val="both"/>
        <w:rPr>
          <w:rFonts w:ascii="仿宋_GB2312"/>
          <w:b w:val="0"/>
          <w:bCs w:val="0"/>
          <w:color w:val="000000" w:themeColor="text1"/>
          <w:sz w:val="32"/>
          <w:szCs w:val="32"/>
          <w14:textFill>
            <w14:solidFill>
              <w14:schemeClr w14:val="tx1"/>
            </w14:solidFill>
          </w14:textFill>
        </w:rPr>
      </w:pPr>
      <w:r>
        <w:rPr>
          <w:rFonts w:hint="eastAsia" w:ascii="仿宋_GB2312" w:eastAsia="仿宋_GB2312"/>
          <w:b w:val="0"/>
          <w:bCs w:val="0"/>
          <w:color w:val="000000" w:themeColor="text1"/>
          <w:sz w:val="32"/>
          <w:szCs w:val="32"/>
          <w14:textFill>
            <w14:solidFill>
              <w14:schemeClr w14:val="tx1"/>
            </w14:solidFill>
          </w14:textFill>
        </w:rPr>
        <w:t>财务管理不规范主要体现在四个方面：</w:t>
      </w:r>
      <w:r>
        <w:rPr>
          <w:rFonts w:hint="eastAsia" w:ascii="仿宋_GB2312" w:eastAsia="仿宋_GB2312"/>
          <w:b w:val="0"/>
          <w:bCs w:val="0"/>
          <w:color w:val="000000" w:themeColor="text1"/>
          <w:sz w:val="32"/>
          <w:szCs w:val="32"/>
          <w14:textFill>
            <w14:solidFill>
              <w14:schemeClr w14:val="tx1"/>
            </w14:solidFill>
          </w14:textFill>
        </w:rPr>
        <w:t>一是</w:t>
      </w:r>
      <w:r>
        <w:rPr>
          <w:rFonts w:hint="eastAsia" w:ascii="仿宋_GB2312" w:eastAsia="仿宋_GB2312"/>
          <w:b w:val="0"/>
          <w:bCs w:val="0"/>
          <w:color w:val="000000" w:themeColor="text1"/>
          <w:sz w:val="32"/>
          <w:szCs w:val="32"/>
          <w14:textFill>
            <w14:solidFill>
              <w14:schemeClr w14:val="tx1"/>
            </w14:solidFill>
          </w14:textFill>
        </w:rPr>
        <w:t>个别人才专项资金未按规定形式发放。</w:t>
      </w:r>
      <w:r>
        <w:rPr>
          <w:rFonts w:hint="eastAsia" w:ascii="仿宋_GB2312" w:eastAsia="仿宋_GB2312"/>
          <w:b w:val="0"/>
          <w:bCs w:val="0"/>
          <w:color w:val="000000" w:themeColor="text1"/>
          <w:sz w:val="32"/>
          <w:szCs w:val="32"/>
          <w14:textFill>
            <w14:solidFill>
              <w14:schemeClr w14:val="tx1"/>
            </w14:solidFill>
          </w14:textFill>
        </w:rPr>
        <w:t>二是</w:t>
      </w:r>
      <w:r>
        <w:rPr>
          <w:rFonts w:hint="eastAsia" w:ascii="仿宋_GB2312" w:eastAsia="仿宋_GB2312"/>
          <w:b w:val="0"/>
          <w:bCs w:val="0"/>
          <w:color w:val="000000" w:themeColor="text1"/>
          <w:sz w:val="32"/>
          <w:szCs w:val="32"/>
          <w14:textFill>
            <w14:solidFill>
              <w14:schemeClr w14:val="tx1"/>
            </w14:solidFill>
          </w14:textFill>
        </w:rPr>
        <w:t>个别人才专项资金未按照申报单位发放，从财务的严谨性角度出发，资金的拨付应按照申报单位进行发放。</w:t>
      </w:r>
      <w:r>
        <w:rPr>
          <w:rFonts w:hint="eastAsia" w:ascii="仿宋_GB2312" w:eastAsia="仿宋_GB2312"/>
          <w:b w:val="0"/>
          <w:bCs w:val="0"/>
          <w:color w:val="000000" w:themeColor="text1"/>
          <w:sz w:val="32"/>
          <w:szCs w:val="32"/>
          <w14:textFill>
            <w14:solidFill>
              <w14:schemeClr w14:val="tx1"/>
            </w14:solidFill>
          </w14:textFill>
        </w:rPr>
        <w:t>三是</w:t>
      </w:r>
      <w:r>
        <w:rPr>
          <w:rFonts w:hint="eastAsia" w:ascii="仿宋_GB2312" w:eastAsia="仿宋_GB2312"/>
          <w:b w:val="0"/>
          <w:bCs w:val="0"/>
          <w:color w:val="000000" w:themeColor="text1"/>
          <w:sz w:val="32"/>
          <w:szCs w:val="32"/>
          <w14:textFill>
            <w14:solidFill>
              <w14:schemeClr w14:val="tx1"/>
            </w14:solidFill>
          </w14:textFill>
        </w:rPr>
        <w:t>个别大额资金以现金形式发放。</w:t>
      </w:r>
      <w:r>
        <w:rPr>
          <w:rFonts w:hint="eastAsia" w:ascii="仿宋_GB2312" w:eastAsia="仿宋_GB2312"/>
          <w:b w:val="0"/>
          <w:bCs w:val="0"/>
          <w:color w:val="000000" w:themeColor="text1"/>
          <w:sz w:val="32"/>
          <w:szCs w:val="32"/>
          <w14:textFill>
            <w14:solidFill>
              <w14:schemeClr w14:val="tx1"/>
            </w14:solidFill>
          </w14:textFill>
        </w:rPr>
        <w:t>四是</w:t>
      </w:r>
      <w:r>
        <w:rPr>
          <w:rFonts w:hint="eastAsia" w:ascii="仿宋_GB2312" w:eastAsia="仿宋_GB2312"/>
          <w:b w:val="0"/>
          <w:bCs w:val="0"/>
          <w:color w:val="000000" w:themeColor="text1"/>
          <w:sz w:val="32"/>
          <w:szCs w:val="32"/>
          <w14:textFill>
            <w14:solidFill>
              <w14:schemeClr w14:val="tx1"/>
            </w14:solidFill>
          </w14:textFill>
        </w:rPr>
        <w:t>个别主管部门会计核算不规范。</w:t>
      </w:r>
    </w:p>
    <w:p>
      <w:pPr>
        <w:pStyle w:val="17"/>
        <w:snapToGrid w:val="0"/>
        <w:spacing w:before="0" w:beforeAutospacing="0" w:after="0" w:afterAutospacing="0" w:line="580" w:lineRule="exact"/>
        <w:ind w:firstLine="640" w:firstLineChars="200"/>
        <w:jc w:val="both"/>
        <w:outlineLvl w:val="1"/>
        <w:rPr>
          <w:rFonts w:ascii="楷体_GB2312" w:eastAsia="楷体_GB2312"/>
          <w:b w:val="0"/>
          <w:bCs w:val="0"/>
          <w:sz w:val="32"/>
          <w:szCs w:val="32"/>
        </w:rPr>
      </w:pPr>
      <w:bookmarkStart w:id="149" w:name="_Toc114320480"/>
      <w:r>
        <w:rPr>
          <w:rFonts w:hint="eastAsia" w:ascii="楷体_GB2312" w:eastAsia="楷体_GB2312"/>
          <w:b w:val="0"/>
          <w:bCs w:val="0"/>
          <w:sz w:val="32"/>
          <w:szCs w:val="32"/>
        </w:rPr>
        <w:t>（二）政策产出方面</w:t>
      </w:r>
      <w:bookmarkEnd w:id="149"/>
    </w:p>
    <w:p>
      <w:pPr>
        <w:pStyle w:val="17"/>
        <w:snapToGrid w:val="0"/>
        <w:spacing w:before="0" w:beforeAutospacing="0" w:after="0" w:afterAutospacing="0" w:line="580" w:lineRule="exact"/>
        <w:ind w:firstLine="640" w:firstLineChars="200"/>
        <w:jc w:val="both"/>
        <w:outlineLvl w:val="1"/>
        <w:rPr>
          <w:rFonts w:ascii="仿宋_GB2312" w:eastAsia="仿宋_GB2312"/>
          <w:b w:val="0"/>
          <w:bCs w:val="0"/>
          <w:sz w:val="32"/>
          <w:szCs w:val="32"/>
        </w:rPr>
      </w:pPr>
      <w:bookmarkStart w:id="150" w:name="_Toc114320481"/>
      <w:r>
        <w:rPr>
          <w:rFonts w:hint="eastAsia" w:ascii="仿宋_GB2312" w:eastAsia="仿宋_GB2312"/>
          <w:b w:val="0"/>
          <w:bCs w:val="0"/>
          <w:sz w:val="32"/>
          <w:szCs w:val="32"/>
        </w:rPr>
        <w:t>1.</w:t>
      </w:r>
      <w:r>
        <w:rPr>
          <w:rFonts w:hint="eastAsia" w:ascii="仿宋_GB2312" w:eastAsia="仿宋_GB2312"/>
          <w:b w:val="0"/>
          <w:bCs w:val="0"/>
          <w:sz w:val="32"/>
          <w:szCs w:val="32"/>
          <w:lang w:val="en-US" w:eastAsia="zh-CN"/>
        </w:rPr>
        <w:t>小部分</w:t>
      </w:r>
      <w:r>
        <w:rPr>
          <w:rFonts w:hint="eastAsia" w:ascii="仿宋_GB2312" w:eastAsia="仿宋_GB2312"/>
          <w:b w:val="0"/>
          <w:bCs w:val="0"/>
          <w:sz w:val="32"/>
          <w:szCs w:val="32"/>
        </w:rPr>
        <w:t>政策未落地</w:t>
      </w:r>
      <w:bookmarkEnd w:id="150"/>
    </w:p>
    <w:p>
      <w:pPr>
        <w:pStyle w:val="44"/>
        <w:snapToGrid w:val="0"/>
        <w:spacing w:line="580" w:lineRule="exact"/>
        <w:ind w:firstLine="640"/>
        <w:rPr>
          <w:rFonts w:ascii="仿宋_GB2312"/>
          <w:b w:val="0"/>
          <w:bCs w:val="0"/>
          <w:color w:val="000000" w:themeColor="text1"/>
          <w:sz w:val="32"/>
          <w:szCs w:val="32"/>
          <w14:textFill>
            <w14:solidFill>
              <w14:schemeClr w14:val="tx1"/>
            </w14:solidFill>
          </w14:textFill>
        </w:rPr>
      </w:pPr>
      <w:r>
        <w:rPr>
          <w:rFonts w:hint="eastAsia" w:ascii="仿宋_GB2312"/>
          <w:b w:val="0"/>
          <w:bCs w:val="0"/>
          <w:color w:val="000000" w:themeColor="text1"/>
          <w:sz w:val="32"/>
          <w:szCs w:val="32"/>
          <w14:textFill>
            <w14:solidFill>
              <w14:schemeClr w14:val="tx1"/>
            </w14:solidFill>
          </w14:textFill>
        </w:rPr>
        <w:t>政策第16</w:t>
      </w:r>
      <w:r>
        <w:rPr>
          <w:rFonts w:hint="eastAsia" w:ascii="仿宋_GB2312"/>
          <w:b w:val="0"/>
          <w:bCs w:val="0"/>
          <w:color w:val="000000" w:themeColor="text1"/>
          <w:sz w:val="32"/>
          <w:szCs w:val="32"/>
          <w14:textFill>
            <w14:solidFill>
              <w14:schemeClr w14:val="tx1"/>
            </w14:solidFill>
          </w14:textFill>
        </w:rPr>
        <w:t>条（整合人才发展专项资金、产业扶持引导基金，逐步构建规模不低于10亿元的人才科技发展基金）暂未执行。原因是菏泽市政府引导基金面临资金荒的问题，往往出现政府资金短缺情况，难以及时有效发挥杠杆作用，吸引社会资本方参与。菏泽市金融领域发展相对滞后，各类金融企业的数量、种类、专业化能力等均与发达地区相比有一定差距。菏泽市本土基金管理机构管理能力较弱，管理经验不足，筹集社会资本能力有限，使得社会化募资压力突出，造成</w:t>
      </w:r>
      <w:r>
        <w:rPr>
          <w:rFonts w:hint="eastAsia" w:ascii="仿宋_GB2312"/>
          <w:b w:val="0"/>
          <w:bCs w:val="0"/>
          <w:color w:val="000000" w:themeColor="text1"/>
          <w:sz w:val="32"/>
          <w:szCs w:val="32"/>
          <w14:textFill>
            <w14:solidFill>
              <w14:schemeClr w14:val="tx1"/>
            </w14:solidFill>
          </w14:textFill>
        </w:rPr>
        <w:t>政策第16</w:t>
      </w:r>
      <w:r>
        <w:rPr>
          <w:rFonts w:hint="eastAsia" w:ascii="仿宋_GB2312"/>
          <w:b w:val="0"/>
          <w:bCs w:val="0"/>
          <w:color w:val="000000" w:themeColor="text1"/>
          <w:sz w:val="32"/>
          <w:szCs w:val="32"/>
          <w14:textFill>
            <w14:solidFill>
              <w14:schemeClr w14:val="tx1"/>
            </w14:solidFill>
          </w14:textFill>
        </w:rPr>
        <w:t>条暂未执行；政策第17条（“</w:t>
      </w:r>
      <w:r>
        <w:rPr>
          <w:rFonts w:hint="eastAsia" w:ascii="仿宋_GB2312" w:hAnsi="黑体" w:cstheme="minorBidi"/>
          <w:b w:val="0"/>
          <w:bCs w:val="0"/>
          <w:color w:val="000000" w:themeColor="text1"/>
          <w:sz w:val="32"/>
          <w:szCs w:val="20"/>
          <w14:textFill>
            <w14:solidFill>
              <w14:schemeClr w14:val="tx1"/>
            </w14:solidFill>
          </w14:textFill>
        </w:rPr>
        <w:t>大力吸纳国内外包括私募股权（含创业）在内的投资机构来菏泽投资，对符合条件的私募股权（含创业）投资基金管理机构给予奖励</w:t>
      </w:r>
      <w:r>
        <w:rPr>
          <w:rFonts w:hint="eastAsia" w:ascii="仿宋_GB2312"/>
          <w:b w:val="0"/>
          <w:bCs w:val="0"/>
          <w:color w:val="000000" w:themeColor="text1"/>
          <w:sz w:val="32"/>
          <w:szCs w:val="32"/>
          <w14:textFill>
            <w14:solidFill>
              <w14:schemeClr w14:val="tx1"/>
            </w14:solidFill>
          </w14:textFill>
        </w:rPr>
        <w:t>”）暂未执行</w:t>
      </w:r>
      <w:r>
        <w:rPr>
          <w:rFonts w:hint="eastAsia" w:ascii="仿宋_GB2312"/>
          <w:b w:val="0"/>
          <w:bCs w:val="0"/>
          <w:color w:val="000000" w:themeColor="text1"/>
          <w:sz w:val="32"/>
          <w:szCs w:val="32"/>
          <w:lang w:eastAsia="zh-CN"/>
          <w14:textFill>
            <w14:solidFill>
              <w14:schemeClr w14:val="tx1"/>
            </w14:solidFill>
          </w14:textFill>
        </w:rPr>
        <w:t>，</w:t>
      </w:r>
      <w:r>
        <w:rPr>
          <w:rFonts w:hint="eastAsia" w:ascii="仿宋_GB2312"/>
          <w:b w:val="0"/>
          <w:bCs w:val="0"/>
          <w:color w:val="000000" w:themeColor="text1"/>
          <w:sz w:val="32"/>
          <w:szCs w:val="32"/>
          <w14:textFill>
            <w14:solidFill>
              <w14:schemeClr w14:val="tx1"/>
            </w14:solidFill>
          </w14:textFill>
        </w:rPr>
        <w:t>虽然菏泽市积极拓宽基金投入渠道，积极对接优质的</w:t>
      </w:r>
      <w:r>
        <w:rPr>
          <w:rFonts w:hint="eastAsia" w:ascii="仿宋_GB2312" w:hAnsi="黑体" w:cstheme="minorBidi"/>
          <w:b w:val="0"/>
          <w:bCs w:val="0"/>
          <w:color w:val="000000" w:themeColor="text1"/>
          <w:sz w:val="32"/>
          <w:szCs w:val="20"/>
          <w14:textFill>
            <w14:solidFill>
              <w14:schemeClr w14:val="tx1"/>
            </w14:solidFill>
          </w14:textFill>
        </w:rPr>
        <w:t>私募股权投资基金管理机构</w:t>
      </w:r>
      <w:r>
        <w:rPr>
          <w:rFonts w:hint="eastAsia" w:ascii="仿宋_GB2312"/>
          <w:b w:val="0"/>
          <w:bCs w:val="0"/>
          <w:color w:val="000000" w:themeColor="text1"/>
          <w:sz w:val="32"/>
          <w:szCs w:val="32"/>
          <w14:textFill>
            <w14:solidFill>
              <w14:schemeClr w14:val="tx1"/>
            </w14:solidFill>
          </w14:textFill>
        </w:rPr>
        <w:t>，更有针对性地开展基金调研，但受新冠疫情影响持续，经济下行压力显现，基金管理机构普遍存在“现金为王”“资本惜投”等观望倾向，在项目筛选、投资决策上愈发趋于谨慎，基金投资意愿不强，造成政策第17条暂未执行。政策第22条</w:t>
      </w:r>
      <w:r>
        <w:rPr>
          <w:rFonts w:hint="eastAsia" w:ascii="仿宋_GB2312"/>
          <w:b w:val="0"/>
          <w:bCs w:val="0"/>
          <w:color w:val="000000" w:themeColor="text1"/>
          <w:sz w:val="32"/>
          <w:szCs w:val="32"/>
          <w:lang w:eastAsia="zh-CN"/>
          <w14:textFill>
            <w14:solidFill>
              <w14:schemeClr w14:val="tx1"/>
            </w14:solidFill>
          </w14:textFill>
        </w:rPr>
        <w:t>（</w:t>
      </w:r>
      <w:r>
        <w:rPr>
          <w:rFonts w:hint="eastAsia" w:ascii="仿宋_GB2312"/>
          <w:b w:val="0"/>
          <w:bCs w:val="0"/>
          <w:color w:val="000000" w:themeColor="text1"/>
          <w:sz w:val="32"/>
          <w:szCs w:val="32"/>
          <w14:textFill>
            <w14:solidFill>
              <w14:schemeClr w14:val="tx1"/>
            </w14:solidFill>
          </w14:textFill>
        </w:rPr>
        <w:t>引进原事业单位人员身份的高层次人才承认其事业单位人员身份</w:t>
      </w:r>
      <w:r>
        <w:rPr>
          <w:rFonts w:hint="eastAsia" w:ascii="仿宋_GB2312"/>
          <w:b w:val="0"/>
          <w:bCs w:val="0"/>
          <w:color w:val="000000" w:themeColor="text1"/>
          <w:sz w:val="32"/>
          <w:szCs w:val="32"/>
          <w:lang w:eastAsia="zh-CN"/>
          <w14:textFill>
            <w14:solidFill>
              <w14:schemeClr w14:val="tx1"/>
            </w14:solidFill>
          </w14:textFill>
        </w:rPr>
        <w:t>）</w:t>
      </w:r>
      <w:r>
        <w:rPr>
          <w:rFonts w:hint="eastAsia" w:ascii="仿宋_GB2312"/>
          <w:b w:val="0"/>
          <w:bCs w:val="0"/>
          <w:color w:val="000000" w:themeColor="text1"/>
          <w:sz w:val="32"/>
          <w:szCs w:val="32"/>
          <w14:textFill>
            <w14:solidFill>
              <w14:schemeClr w14:val="tx1"/>
            </w14:solidFill>
          </w14:textFill>
        </w:rPr>
        <w:t>未执行。原因是根据现行的管理规定，在事业单位工作的为事业单位人员身份，而企业引进的人员为企业身份。截至评价日，企业引进的该类人员数量较少，在执行过程中</w:t>
      </w:r>
      <w:r>
        <w:rPr>
          <w:rFonts w:hint="eastAsia" w:ascii="仿宋_GB2312" w:hAnsi="黑体" w:cstheme="minorBidi"/>
          <w:b w:val="0"/>
          <w:bCs w:val="0"/>
          <w:color w:val="000000" w:themeColor="text1"/>
          <w:sz w:val="32"/>
          <w14:textFill>
            <w14:solidFill>
              <w14:schemeClr w14:val="tx1"/>
            </w14:solidFill>
          </w14:textFill>
        </w:rPr>
        <w:t>，采用灵活的方式，</w:t>
      </w:r>
      <w:r>
        <w:rPr>
          <w:rFonts w:hint="eastAsia" w:ascii="仿宋_GB2312"/>
          <w:b w:val="0"/>
          <w:bCs w:val="0"/>
          <w:color w:val="000000" w:themeColor="text1"/>
          <w:sz w:val="32"/>
          <w:szCs w:val="32"/>
          <w14:textFill>
            <w14:solidFill>
              <w14:schemeClr w14:val="tx1"/>
            </w14:solidFill>
          </w14:textFill>
        </w:rPr>
        <w:t>参照</w:t>
      </w:r>
      <w:r>
        <w:rPr>
          <w:rFonts w:ascii="仿宋_GB2312" w:hAnsi="黑体" w:cstheme="minorBidi"/>
          <w:b w:val="0"/>
          <w:bCs w:val="0"/>
          <w:color w:val="000000" w:themeColor="text1"/>
          <w:sz w:val="32"/>
          <w14:textFill>
            <w14:solidFill>
              <w14:schemeClr w14:val="tx1"/>
            </w14:solidFill>
          </w14:textFill>
        </w:rPr>
        <w:t>菏泽市“人才新政30条”</w:t>
      </w:r>
      <w:r>
        <w:rPr>
          <w:rFonts w:hint="eastAsia" w:ascii="仿宋_GB2312" w:hAnsi="黑体" w:cstheme="minorBidi"/>
          <w:b w:val="0"/>
          <w:bCs w:val="0"/>
          <w:color w:val="000000" w:themeColor="text1"/>
          <w:sz w:val="32"/>
          <w14:textFill>
            <w14:solidFill>
              <w14:schemeClr w14:val="tx1"/>
            </w14:solidFill>
          </w14:textFill>
        </w:rPr>
        <w:t>修订版（菏发〔2019〕5号）第21条，使用高层次人才编制，但在企业工作，执行企业薪资待遇，造成该条政策未执行。</w:t>
      </w:r>
    </w:p>
    <w:p>
      <w:pPr>
        <w:pStyle w:val="17"/>
        <w:snapToGrid w:val="0"/>
        <w:spacing w:before="0" w:beforeAutospacing="0" w:after="0" w:afterAutospacing="0" w:line="580" w:lineRule="exact"/>
        <w:ind w:firstLine="640" w:firstLineChars="200"/>
        <w:jc w:val="both"/>
        <w:outlineLvl w:val="1"/>
        <w:rPr>
          <w:rFonts w:ascii="楷体_GB2312" w:eastAsia="楷体_GB2312"/>
          <w:b w:val="0"/>
          <w:bCs w:val="0"/>
          <w:color w:val="000000" w:themeColor="text1"/>
          <w:sz w:val="32"/>
          <w:szCs w:val="32"/>
          <w14:textFill>
            <w14:solidFill>
              <w14:schemeClr w14:val="tx1"/>
            </w14:solidFill>
          </w14:textFill>
        </w:rPr>
      </w:pPr>
      <w:bookmarkStart w:id="151" w:name="_Toc114320482"/>
      <w:r>
        <w:rPr>
          <w:rFonts w:hint="eastAsia" w:ascii="楷体_GB2312" w:eastAsia="楷体_GB2312"/>
          <w:b w:val="0"/>
          <w:bCs w:val="0"/>
          <w:color w:val="000000" w:themeColor="text1"/>
          <w:sz w:val="32"/>
          <w:szCs w:val="32"/>
          <w14:textFill>
            <w14:solidFill>
              <w14:schemeClr w14:val="tx1"/>
            </w14:solidFill>
          </w14:textFill>
        </w:rPr>
        <w:t>（三）政策效果方面</w:t>
      </w:r>
      <w:bookmarkEnd w:id="151"/>
    </w:p>
    <w:p>
      <w:pPr>
        <w:pStyle w:val="17"/>
        <w:snapToGrid w:val="0"/>
        <w:spacing w:before="0" w:beforeAutospacing="0" w:after="0" w:afterAutospacing="0" w:line="580" w:lineRule="exact"/>
        <w:ind w:firstLine="640" w:firstLineChars="200"/>
        <w:jc w:val="both"/>
        <w:outlineLvl w:val="1"/>
        <w:rPr>
          <w:rFonts w:ascii="仿宋_GB2312" w:eastAsia="仿宋_GB2312"/>
          <w:b w:val="0"/>
          <w:bCs w:val="0"/>
          <w:color w:val="000000" w:themeColor="text1"/>
          <w:sz w:val="32"/>
          <w:szCs w:val="32"/>
          <w14:textFill>
            <w14:solidFill>
              <w14:schemeClr w14:val="tx1"/>
            </w14:solidFill>
          </w14:textFill>
        </w:rPr>
      </w:pPr>
      <w:bookmarkStart w:id="152" w:name="_Toc114320483"/>
      <w:bookmarkStart w:id="153" w:name="_Hlk113261280"/>
      <w:r>
        <w:rPr>
          <w:rFonts w:hint="eastAsia" w:ascii="仿宋_GB2312" w:eastAsia="仿宋_GB2312"/>
          <w:b w:val="0"/>
          <w:bCs w:val="0"/>
          <w:color w:val="000000" w:themeColor="text1"/>
          <w:sz w:val="32"/>
          <w:szCs w:val="32"/>
          <w14:textFill>
            <w14:solidFill>
              <w14:schemeClr w14:val="tx1"/>
            </w14:solidFill>
          </w14:textFill>
        </w:rPr>
        <w:t>1.</w:t>
      </w:r>
      <w:r>
        <w:rPr>
          <w:rFonts w:hint="eastAsia" w:ascii="仿宋_GB2312" w:eastAsia="仿宋_GB2312"/>
          <w:b w:val="0"/>
          <w:bCs w:val="0"/>
          <w:color w:val="000000" w:themeColor="text1"/>
          <w:sz w:val="32"/>
          <w:szCs w:val="32"/>
          <w:lang w:val="en-US" w:eastAsia="zh-CN"/>
          <w14:textFill>
            <w14:solidFill>
              <w14:schemeClr w14:val="tx1"/>
            </w14:solidFill>
          </w14:textFill>
        </w:rPr>
        <w:t>部分</w:t>
      </w:r>
      <w:r>
        <w:rPr>
          <w:rFonts w:hint="eastAsia" w:ascii="仿宋_GB2312" w:eastAsia="仿宋_GB2312"/>
          <w:b w:val="0"/>
          <w:bCs w:val="0"/>
          <w:color w:val="000000" w:themeColor="text1"/>
          <w:sz w:val="32"/>
          <w:szCs w:val="32"/>
          <w14:textFill>
            <w14:solidFill>
              <w14:schemeClr w14:val="tx1"/>
            </w14:solidFill>
          </w14:textFill>
        </w:rPr>
        <w:t>公司未生产运营，一定程度上影响政策效果的发挥</w:t>
      </w:r>
      <w:bookmarkEnd w:id="152"/>
    </w:p>
    <w:bookmarkEnd w:id="153"/>
    <w:p>
      <w:pPr>
        <w:pStyle w:val="3"/>
        <w:snapToGrid w:val="0"/>
        <w:spacing w:after="0" w:line="580" w:lineRule="exact"/>
        <w:ind w:left="0" w:leftChars="0" w:firstLine="640"/>
        <w:rPr>
          <w:rFonts w:ascii="仿宋_GB2312"/>
          <w:b w:val="0"/>
          <w:bCs w:val="0"/>
          <w:color w:val="000000" w:themeColor="text1"/>
          <w:sz w:val="32"/>
          <w:szCs w:val="32"/>
          <w14:textFill>
            <w14:solidFill>
              <w14:schemeClr w14:val="tx1"/>
            </w14:solidFill>
          </w14:textFill>
        </w:rPr>
      </w:pPr>
      <w:r>
        <w:rPr>
          <w:rFonts w:hint="eastAsia" w:ascii="仿宋_GB2312"/>
          <w:b w:val="0"/>
          <w:bCs w:val="0"/>
          <w:color w:val="000000" w:themeColor="text1"/>
          <w:sz w:val="32"/>
          <w:szCs w:val="32"/>
          <w14:textFill>
            <w14:solidFill>
              <w14:schemeClr w14:val="tx1"/>
            </w14:solidFill>
          </w14:textFill>
        </w:rPr>
        <w:t>受疫情影响，凯维思（山东）智能制造科技有限公司在融资、贷款方面进展缓慢，截至评价日，未有新资金投入，造成公司没有足够的资金对设备进行改造和调试，导致公司迟迟未能正常生产运营，国外的院士及团队无法入驻；山东艾酷博纳米材料有限公司引进山东省“外专双百计划”专家——韩国的高锡勤、宋锡均、金炯德专家团队，受全球新冠疫情影响，交流与往来受到较大冲击，海外专家团队较难到国内进行现场交流和指导。截至评价日，专家团队迟迟未到，无法精准调试设备，试生产产品合格率不高，导致该项目未生产运营。山东继和科技发展有限公司引进泰山产业领军人才石岩，因厂房涉及的第2批次用地未取得用地手续，导致厂房无法进行施工建设，无法进行生产销售。</w:t>
      </w:r>
    </w:p>
    <w:p>
      <w:pPr>
        <w:pStyle w:val="17"/>
        <w:snapToGrid w:val="0"/>
        <w:spacing w:before="0" w:beforeAutospacing="0" w:after="0" w:afterAutospacing="0" w:line="580" w:lineRule="exact"/>
        <w:ind w:firstLine="640" w:firstLineChars="200"/>
        <w:jc w:val="both"/>
        <w:outlineLvl w:val="1"/>
        <w:rPr>
          <w:rFonts w:ascii="仿宋_GB2312" w:eastAsia="仿宋_GB2312"/>
          <w:b w:val="0"/>
          <w:bCs w:val="0"/>
          <w:color w:val="000000" w:themeColor="text1"/>
          <w:sz w:val="32"/>
          <w:szCs w:val="32"/>
          <w14:textFill>
            <w14:solidFill>
              <w14:schemeClr w14:val="tx1"/>
            </w14:solidFill>
          </w14:textFill>
        </w:rPr>
      </w:pPr>
      <w:bookmarkStart w:id="154" w:name="_Toc114320484"/>
      <w:r>
        <w:rPr>
          <w:rFonts w:hint="eastAsia" w:ascii="仿宋_GB2312" w:eastAsia="仿宋_GB2312"/>
          <w:b w:val="0"/>
          <w:bCs w:val="0"/>
          <w:color w:val="000000" w:themeColor="text1"/>
          <w:sz w:val="32"/>
          <w:szCs w:val="32"/>
          <w14:textFill>
            <w14:solidFill>
              <w14:schemeClr w14:val="tx1"/>
            </w14:solidFill>
          </w14:textFill>
        </w:rPr>
        <w:t>2.</w:t>
      </w:r>
      <w:r>
        <w:rPr>
          <w:rFonts w:hint="eastAsia" w:ascii="仿宋_GB2312" w:eastAsia="仿宋_GB2312"/>
          <w:b w:val="0"/>
          <w:bCs w:val="0"/>
          <w:color w:val="000000" w:themeColor="text1"/>
          <w:sz w:val="32"/>
          <w:szCs w:val="32"/>
          <w:lang w:val="en-US" w:eastAsia="zh-CN"/>
          <w14:textFill>
            <w14:solidFill>
              <w14:schemeClr w14:val="tx1"/>
            </w14:solidFill>
          </w14:textFill>
        </w:rPr>
        <w:t>部分</w:t>
      </w:r>
      <w:r>
        <w:rPr>
          <w:rFonts w:hint="eastAsia" w:ascii="仿宋_GB2312" w:eastAsia="仿宋_GB2312"/>
          <w:b w:val="0"/>
          <w:bCs w:val="0"/>
          <w:color w:val="000000" w:themeColor="text1"/>
          <w:sz w:val="32"/>
          <w:szCs w:val="32"/>
          <w14:textFill>
            <w14:solidFill>
              <w14:schemeClr w14:val="tx1"/>
            </w14:solidFill>
          </w14:textFill>
        </w:rPr>
        <w:t>公司2021年被撤销省级企业技术中心，一定程度上影响政策效果的发挥</w:t>
      </w:r>
      <w:bookmarkEnd w:id="154"/>
    </w:p>
    <w:p>
      <w:pPr>
        <w:pStyle w:val="3"/>
        <w:snapToGrid w:val="0"/>
        <w:spacing w:after="0" w:line="580" w:lineRule="exact"/>
        <w:ind w:left="0" w:leftChars="0" w:firstLine="640"/>
        <w:rPr>
          <w:rFonts w:ascii="仿宋_GB2312"/>
          <w:b w:val="0"/>
          <w:bCs w:val="0"/>
          <w:color w:val="000000" w:themeColor="text1"/>
          <w:sz w:val="32"/>
          <w:szCs w:val="32"/>
          <w14:textFill>
            <w14:solidFill>
              <w14:schemeClr w14:val="tx1"/>
            </w14:solidFill>
          </w14:textFill>
        </w:rPr>
      </w:pPr>
      <w:r>
        <w:rPr>
          <w:rFonts w:hint="eastAsia" w:ascii="仿宋_GB2312"/>
          <w:b w:val="0"/>
          <w:bCs w:val="0"/>
          <w:color w:val="000000" w:themeColor="text1"/>
          <w:sz w:val="32"/>
          <w:szCs w:val="32"/>
          <w14:textFill>
            <w14:solidFill>
              <w14:schemeClr w14:val="tx1"/>
            </w14:solidFill>
          </w14:textFill>
        </w:rPr>
        <w:t>菏泽中禾健元生物科技有限公司、山东绿宝珠生物肥业有限公司2020年被认定为山东省企业技术中心。但在2021年山东省企业技术中心评价中，被评价为不合格，撤销山东省企业技术中心，一定程度上影响了政策效果的发挥。</w:t>
      </w:r>
    </w:p>
    <w:p>
      <w:pPr>
        <w:pStyle w:val="17"/>
        <w:snapToGrid w:val="0"/>
        <w:spacing w:before="0" w:beforeAutospacing="0" w:after="0" w:afterAutospacing="0" w:line="580" w:lineRule="exact"/>
        <w:ind w:firstLine="640" w:firstLineChars="200"/>
        <w:jc w:val="both"/>
        <w:outlineLvl w:val="1"/>
        <w:rPr>
          <w:rFonts w:ascii="仿宋_GB2312" w:eastAsia="仿宋_GB2312"/>
          <w:b w:val="0"/>
          <w:bCs w:val="0"/>
          <w:color w:val="000000" w:themeColor="text1"/>
          <w:sz w:val="32"/>
          <w:szCs w:val="32"/>
          <w14:textFill>
            <w14:solidFill>
              <w14:schemeClr w14:val="tx1"/>
            </w14:solidFill>
          </w14:textFill>
        </w:rPr>
      </w:pPr>
      <w:bookmarkStart w:id="155" w:name="_Toc114320485"/>
      <w:r>
        <w:rPr>
          <w:rFonts w:hint="eastAsia" w:ascii="仿宋_GB2312" w:eastAsia="仿宋_GB2312"/>
          <w:b w:val="0"/>
          <w:bCs w:val="0"/>
          <w:color w:val="000000" w:themeColor="text1"/>
          <w:sz w:val="32"/>
          <w:szCs w:val="32"/>
          <w14:textFill>
            <w14:solidFill>
              <w14:schemeClr w14:val="tx1"/>
            </w14:solidFill>
          </w14:textFill>
        </w:rPr>
        <w:t>3.硕博等高层次人才分布不均衡</w:t>
      </w:r>
      <w:bookmarkEnd w:id="155"/>
      <w:bookmarkStart w:id="156" w:name="_Hlk110006467"/>
    </w:p>
    <w:bookmarkEnd w:id="156"/>
    <w:p>
      <w:pPr>
        <w:snapToGrid w:val="0"/>
        <w:spacing w:line="580" w:lineRule="exact"/>
        <w:ind w:firstLine="640"/>
        <w:rPr>
          <w:rFonts w:ascii="仿宋_GB2312"/>
          <w:b w:val="0"/>
          <w:bCs w:val="0"/>
          <w:color w:val="000000" w:themeColor="text1"/>
          <w:sz w:val="32"/>
          <w:szCs w:val="32"/>
          <w14:textFill>
            <w14:solidFill>
              <w14:schemeClr w14:val="tx1"/>
            </w14:solidFill>
          </w14:textFill>
        </w:rPr>
      </w:pPr>
      <w:bookmarkStart w:id="157" w:name="_Toc109592065"/>
      <w:r>
        <w:rPr>
          <w:rFonts w:hint="eastAsia" w:ascii="仿宋_GB2312"/>
          <w:b w:val="0"/>
          <w:bCs w:val="0"/>
          <w:color w:val="000000" w:themeColor="text1"/>
          <w:sz w:val="32"/>
          <w:szCs w:val="32"/>
          <w14:textFill>
            <w14:solidFill>
              <w14:schemeClr w14:val="tx1"/>
            </w14:solidFill>
          </w14:textFill>
        </w:rPr>
        <w:t>2018-2021年，市直单位引进急需紧缺人才303人，企业引进高校毕业生2190人，其中博士生49人，硕士研究生594人。2018-2021年引进的硕士研究生及以上高端人才在市直单位或市属企业的博士43人，硕士350人，占比约61%，10个县区企业引进高端人才（博士6名，硕士244名）仅占比39%。</w:t>
      </w:r>
      <w:r>
        <w:rPr>
          <w:rFonts w:hint="eastAsia" w:ascii="仿宋_GB2312"/>
          <w:b w:val="0"/>
          <w:bCs w:val="0"/>
          <w:color w:val="000000" w:themeColor="text1"/>
          <w:sz w:val="32"/>
          <w:szCs w:val="32"/>
          <w14:textFill>
            <w14:solidFill>
              <w14:schemeClr w14:val="tx1"/>
            </w14:solidFill>
          </w14:textFill>
        </w:rPr>
        <w:t>在调研过程中，企业对高端人才尤其是研发人员有需求，但由于区位、经济、实力等综合因素，引进人才有一定难度。</w:t>
      </w:r>
      <w:r>
        <w:rPr>
          <w:rFonts w:hint="eastAsia" w:ascii="仿宋_GB2312"/>
          <w:b w:val="0"/>
          <w:bCs w:val="0"/>
          <w:color w:val="000000" w:themeColor="text1"/>
          <w:sz w:val="32"/>
          <w:szCs w:val="32"/>
          <w14:textFill>
            <w14:solidFill>
              <w14:schemeClr w14:val="tx1"/>
            </w14:solidFill>
          </w14:textFill>
        </w:rPr>
        <w:t>人才分布不够均衡，不能够有效解决企业高端人才需求缺口问题，对各县区产业发展带来一定程度的人才缺口制衡。</w:t>
      </w:r>
    </w:p>
    <w:p>
      <w:pPr>
        <w:adjustRightInd w:val="0"/>
        <w:snapToGrid w:val="0"/>
        <w:spacing w:line="580" w:lineRule="exact"/>
        <w:ind w:firstLine="640"/>
        <w:outlineLvl w:val="0"/>
        <w:rPr>
          <w:rFonts w:eastAsia="黑体"/>
          <w:b w:val="0"/>
          <w:bCs w:val="0"/>
          <w:color w:val="FF0000"/>
          <w:kern w:val="0"/>
          <w:sz w:val="32"/>
          <w:szCs w:val="32"/>
        </w:rPr>
      </w:pPr>
      <w:bookmarkStart w:id="158" w:name="_Toc114320486"/>
      <w:r>
        <w:rPr>
          <w:rFonts w:hint="eastAsia" w:eastAsia="黑体"/>
          <w:b w:val="0"/>
          <w:bCs w:val="0"/>
          <w:color w:val="000000"/>
          <w:kern w:val="0"/>
          <w:sz w:val="32"/>
          <w:szCs w:val="32"/>
        </w:rPr>
        <w:t>七</w:t>
      </w:r>
      <w:r>
        <w:rPr>
          <w:rFonts w:hint="eastAsia" w:eastAsia="黑体"/>
          <w:b w:val="0"/>
          <w:bCs w:val="0"/>
          <w:color w:val="000000"/>
          <w:kern w:val="0"/>
          <w:sz w:val="32"/>
          <w:szCs w:val="32"/>
          <w:lang w:eastAsia="zh-Hans"/>
        </w:rPr>
        <w:t>、相关建议</w:t>
      </w:r>
      <w:bookmarkEnd w:id="157"/>
      <w:bookmarkEnd w:id="158"/>
    </w:p>
    <w:p>
      <w:pPr>
        <w:pStyle w:val="2"/>
        <w:snapToGrid w:val="0"/>
        <w:spacing w:after="0" w:line="580" w:lineRule="exact"/>
        <w:ind w:left="0" w:leftChars="0" w:firstLine="640"/>
        <w:rPr>
          <w:rFonts w:hint="default" w:ascii="仿宋_GB2312" w:eastAsia="仿宋_GB2312"/>
          <w:b w:val="0"/>
          <w:bCs w:val="0"/>
          <w:sz w:val="32"/>
          <w:szCs w:val="32"/>
        </w:rPr>
      </w:pPr>
      <w:r>
        <w:rPr>
          <w:rFonts w:ascii="仿宋_GB2312" w:eastAsia="仿宋_GB2312"/>
          <w:b w:val="0"/>
          <w:bCs w:val="0"/>
          <w:sz w:val="32"/>
          <w:szCs w:val="32"/>
        </w:rPr>
        <w:t>针对该政策存在的主要问题，给出如下建议：</w:t>
      </w:r>
    </w:p>
    <w:p>
      <w:pPr>
        <w:pStyle w:val="17"/>
        <w:snapToGrid w:val="0"/>
        <w:spacing w:before="0" w:beforeAutospacing="0" w:after="0" w:afterAutospacing="0" w:line="580" w:lineRule="exact"/>
        <w:ind w:firstLine="640" w:firstLineChars="200"/>
        <w:jc w:val="both"/>
        <w:outlineLvl w:val="1"/>
        <w:rPr>
          <w:rFonts w:ascii="楷体_GB2312" w:eastAsia="楷体_GB2312"/>
          <w:b w:val="0"/>
          <w:bCs w:val="0"/>
          <w:sz w:val="32"/>
          <w:szCs w:val="32"/>
        </w:rPr>
      </w:pPr>
      <w:bookmarkStart w:id="159" w:name="_Toc109592066"/>
      <w:bookmarkStart w:id="160" w:name="_Toc114320487"/>
      <w:r>
        <w:rPr>
          <w:rFonts w:ascii="楷体_GB2312" w:eastAsia="楷体_GB2312"/>
          <w:b w:val="0"/>
          <w:bCs w:val="0"/>
          <w:sz w:val="32"/>
          <w:szCs w:val="32"/>
        </w:rPr>
        <w:t>（</w:t>
      </w:r>
      <w:r>
        <w:rPr>
          <w:rFonts w:hint="eastAsia" w:ascii="楷体_GB2312" w:eastAsia="楷体_GB2312"/>
          <w:b w:val="0"/>
          <w:bCs w:val="0"/>
          <w:sz w:val="32"/>
          <w:szCs w:val="32"/>
        </w:rPr>
        <w:t>一</w:t>
      </w:r>
      <w:r>
        <w:rPr>
          <w:rFonts w:ascii="楷体_GB2312" w:eastAsia="楷体_GB2312"/>
          <w:b w:val="0"/>
          <w:bCs w:val="0"/>
          <w:sz w:val="32"/>
          <w:szCs w:val="32"/>
        </w:rPr>
        <w:t>）</w:t>
      </w:r>
      <w:r>
        <w:rPr>
          <w:rFonts w:hint="eastAsia" w:ascii="楷体_GB2312" w:eastAsia="楷体_GB2312"/>
          <w:b w:val="0"/>
          <w:bCs w:val="0"/>
          <w:sz w:val="32"/>
          <w:szCs w:val="32"/>
        </w:rPr>
        <w:t>强化事前绩效评估应用</w:t>
      </w:r>
      <w:r>
        <w:rPr>
          <w:rFonts w:ascii="楷体_GB2312" w:eastAsia="楷体_GB2312"/>
          <w:b w:val="0"/>
          <w:bCs w:val="0"/>
          <w:sz w:val="32"/>
          <w:szCs w:val="32"/>
        </w:rPr>
        <w:t>，扎实做好政策制定</w:t>
      </w:r>
      <w:bookmarkEnd w:id="159"/>
      <w:bookmarkEnd w:id="160"/>
    </w:p>
    <w:p>
      <w:pPr>
        <w:snapToGrid w:val="0"/>
        <w:spacing w:line="580" w:lineRule="exact"/>
        <w:ind w:firstLine="640"/>
        <w:rPr>
          <w:rFonts w:ascii="仿宋_GB2312"/>
          <w:b w:val="0"/>
          <w:bCs w:val="0"/>
          <w:sz w:val="32"/>
          <w:szCs w:val="32"/>
        </w:rPr>
      </w:pPr>
      <w:r>
        <w:rPr>
          <w:rFonts w:hint="eastAsia" w:ascii="仿宋_GB2312"/>
          <w:b w:val="0"/>
          <w:bCs w:val="0"/>
          <w:sz w:val="32"/>
          <w:szCs w:val="32"/>
        </w:rPr>
        <w:t>科学开展政策事前绩效评估，</w:t>
      </w:r>
      <w:r>
        <w:rPr>
          <w:rFonts w:hint="eastAsia" w:ascii="仿宋_GB2312"/>
          <w:b w:val="0"/>
          <w:bCs w:val="0"/>
          <w:sz w:val="32"/>
          <w:szCs w:val="32"/>
        </w:rPr>
        <w:t>从源头上提高政策制定的科学性与完善性。建议将修订“人才新政30条”政策纳入事前绩效评估范围，按要求开展事前评估后方可提交市政府审议。</w:t>
      </w:r>
    </w:p>
    <w:p>
      <w:pPr>
        <w:pStyle w:val="17"/>
        <w:snapToGrid w:val="0"/>
        <w:spacing w:before="0" w:beforeAutospacing="0" w:after="0" w:afterAutospacing="0" w:line="580" w:lineRule="exact"/>
        <w:ind w:firstLine="640" w:firstLineChars="200"/>
        <w:jc w:val="both"/>
        <w:outlineLvl w:val="1"/>
        <w:rPr>
          <w:rFonts w:ascii="楷体_GB2312" w:eastAsia="楷体_GB2312"/>
          <w:b w:val="0"/>
          <w:bCs w:val="0"/>
          <w:sz w:val="32"/>
          <w:szCs w:val="32"/>
        </w:rPr>
      </w:pPr>
      <w:bookmarkStart w:id="161" w:name="_Toc109592067"/>
      <w:bookmarkStart w:id="162" w:name="_Toc114320488"/>
      <w:r>
        <w:rPr>
          <w:rFonts w:ascii="楷体_GB2312" w:eastAsia="楷体_GB2312"/>
          <w:b w:val="0"/>
          <w:bCs w:val="0"/>
          <w:sz w:val="32"/>
          <w:szCs w:val="32"/>
        </w:rPr>
        <w:t>（</w:t>
      </w:r>
      <w:r>
        <w:rPr>
          <w:rFonts w:hint="eastAsia" w:ascii="楷体_GB2312" w:eastAsia="楷体_GB2312"/>
          <w:b w:val="0"/>
          <w:bCs w:val="0"/>
          <w:sz w:val="32"/>
          <w:szCs w:val="32"/>
        </w:rPr>
        <w:t>二</w:t>
      </w:r>
      <w:r>
        <w:rPr>
          <w:rFonts w:ascii="楷体_GB2312" w:eastAsia="楷体_GB2312"/>
          <w:b w:val="0"/>
          <w:bCs w:val="0"/>
          <w:sz w:val="32"/>
          <w:szCs w:val="32"/>
        </w:rPr>
        <w:t>）</w:t>
      </w:r>
      <w:r>
        <w:rPr>
          <w:rFonts w:hint="eastAsia" w:ascii="楷体_GB2312" w:eastAsia="楷体_GB2312"/>
          <w:b w:val="0"/>
          <w:bCs w:val="0"/>
          <w:sz w:val="32"/>
          <w:szCs w:val="32"/>
        </w:rPr>
        <w:t>做好顶层设计</w:t>
      </w:r>
      <w:r>
        <w:rPr>
          <w:rFonts w:ascii="楷体_GB2312" w:eastAsia="楷体_GB2312"/>
          <w:b w:val="0"/>
          <w:bCs w:val="0"/>
          <w:sz w:val="32"/>
          <w:szCs w:val="32"/>
        </w:rPr>
        <w:t>，切实保障政策稳步落地</w:t>
      </w:r>
      <w:bookmarkEnd w:id="161"/>
      <w:bookmarkEnd w:id="162"/>
    </w:p>
    <w:p>
      <w:pPr>
        <w:pStyle w:val="2"/>
        <w:adjustRightInd w:val="0"/>
        <w:snapToGrid w:val="0"/>
        <w:spacing w:after="0" w:line="580" w:lineRule="exact"/>
        <w:ind w:left="0" w:leftChars="0" w:firstLine="643"/>
        <w:rPr>
          <w:rFonts w:hint="default" w:ascii="仿宋_GB2312" w:hAnsi="黑体" w:eastAsia="仿宋_GB2312" w:cstheme="minorBidi"/>
          <w:b w:val="0"/>
          <w:bCs w:val="0"/>
          <w:color w:val="000000" w:themeColor="text1"/>
          <w:sz w:val="32"/>
          <w14:textFill>
            <w14:solidFill>
              <w14:schemeClr w14:val="tx1"/>
            </w14:solidFill>
          </w14:textFill>
        </w:rPr>
      </w:pPr>
      <w:r>
        <w:rPr>
          <w:rFonts w:ascii="仿宋_GB2312" w:hAnsi="黑体" w:eastAsia="仿宋_GB2312" w:cstheme="minorBidi"/>
          <w:b w:val="0"/>
          <w:bCs w:val="0"/>
          <w:color w:val="000000" w:themeColor="text1"/>
          <w:sz w:val="32"/>
          <w14:textFill>
            <w14:solidFill>
              <w14:schemeClr w14:val="tx1"/>
            </w14:solidFill>
          </w14:textFill>
        </w:rPr>
        <w:t>1.完善政策实施计划，做好执行设计。</w:t>
      </w:r>
      <w:r>
        <w:rPr>
          <w:rFonts w:ascii="仿宋_GB2312" w:hAnsi="黑体" w:eastAsia="仿宋_GB2312" w:cstheme="minorBidi"/>
          <w:b w:val="0"/>
          <w:bCs w:val="0"/>
          <w:color w:val="000000" w:themeColor="text1"/>
          <w:sz w:val="32"/>
          <w14:textFill>
            <w14:solidFill>
              <w14:schemeClr w14:val="tx1"/>
            </w14:solidFill>
          </w14:textFill>
        </w:rPr>
        <w:t>建议政策牵头部门和各主管部门在年初可依据政策各项具体内容，通过沟通会等多样化方式制定出政策年度实施总体计划，各主管部门结合总体计划内容分别编制部门详细计划，进一步分解措施，明确监管职责，层层压实责任，有效做好执行设计，保障政策稳步落地。</w:t>
      </w:r>
    </w:p>
    <w:p>
      <w:pPr>
        <w:pStyle w:val="2"/>
        <w:snapToGrid w:val="0"/>
        <w:spacing w:after="0" w:line="580" w:lineRule="exact"/>
        <w:ind w:left="0" w:leftChars="0" w:firstLine="643"/>
        <w:rPr>
          <w:rFonts w:hint="default" w:ascii="仿宋_GB2312" w:eastAsia="仿宋_GB2312"/>
          <w:b w:val="0"/>
          <w:bCs w:val="0"/>
          <w:sz w:val="32"/>
          <w:szCs w:val="32"/>
        </w:rPr>
      </w:pPr>
      <w:r>
        <w:rPr>
          <w:rFonts w:ascii="仿宋_GB2312" w:eastAsia="仿宋_GB2312"/>
          <w:b w:val="0"/>
          <w:bCs w:val="0"/>
          <w:sz w:val="32"/>
          <w:szCs w:val="32"/>
        </w:rPr>
        <w:t>2.建立健全监督机制，助推政策落实到位</w:t>
      </w:r>
      <w:r>
        <w:rPr>
          <w:rFonts w:ascii="仿宋_GB2312" w:eastAsia="仿宋_GB2312"/>
          <w:b w:val="0"/>
          <w:bCs w:val="0"/>
          <w:sz w:val="32"/>
          <w:szCs w:val="32"/>
        </w:rPr>
        <w:t>。建议政策牵头部门可根据实际情况，制定完善的协调联动及监督机制、人才动态管理和考核机制，降低调度成本，将</w:t>
      </w:r>
      <w:r>
        <w:rPr>
          <w:rFonts w:ascii="仿宋_GB2312" w:eastAsia="仿宋_GB2312"/>
          <w:b w:val="0"/>
          <w:bCs w:val="0"/>
          <w:sz w:val="32"/>
          <w:szCs w:val="32"/>
          <w:lang w:eastAsia="zh-Hans"/>
        </w:rPr>
        <w:t>监督考核贯穿政策项目申报、审核、资金发放、后期跟踪等政策执行全过程，</w:t>
      </w:r>
      <w:r>
        <w:rPr>
          <w:rFonts w:ascii="仿宋_GB2312" w:eastAsia="仿宋_GB2312"/>
          <w:b w:val="0"/>
          <w:bCs w:val="0"/>
          <w:sz w:val="32"/>
          <w:szCs w:val="32"/>
        </w:rPr>
        <w:t>加大对政策执行的监督管理力度，及时整改政策执行过程中出现的问题。</w:t>
      </w:r>
    </w:p>
    <w:p>
      <w:pPr>
        <w:pStyle w:val="2"/>
        <w:snapToGrid w:val="0"/>
        <w:spacing w:after="0" w:line="580" w:lineRule="exact"/>
        <w:ind w:left="0" w:leftChars="0" w:firstLine="643"/>
        <w:rPr>
          <w:rFonts w:hint="default" w:ascii="仿宋_GB2312" w:eastAsia="仿宋_GB2312"/>
          <w:b w:val="0"/>
          <w:bCs w:val="0"/>
          <w:sz w:val="32"/>
          <w:szCs w:val="32"/>
        </w:rPr>
      </w:pPr>
      <w:r>
        <w:rPr>
          <w:rFonts w:ascii="仿宋_GB2312" w:eastAsia="仿宋_GB2312"/>
          <w:b w:val="0"/>
          <w:bCs w:val="0"/>
          <w:sz w:val="32"/>
          <w:szCs w:val="32"/>
        </w:rPr>
        <w:t>3.拓宽政策宣传渠道，加强宣传力度。</w:t>
      </w:r>
      <w:r>
        <w:rPr>
          <w:rFonts w:ascii="仿宋_GB2312" w:eastAsia="仿宋_GB2312"/>
          <w:b w:val="0"/>
          <w:bCs w:val="0"/>
          <w:sz w:val="32"/>
          <w:szCs w:val="32"/>
        </w:rPr>
        <w:t>建议各主管部门加强政策的宣传力度，拓宽宣传渠道，进一步提升宣传效果。</w:t>
      </w:r>
      <w:r>
        <w:rPr>
          <w:rFonts w:ascii="仿宋_GB2312" w:eastAsia="仿宋_GB2312"/>
          <w:b w:val="0"/>
          <w:bCs w:val="0"/>
          <w:sz w:val="32"/>
          <w:szCs w:val="32"/>
        </w:rPr>
        <w:t>一是</w:t>
      </w:r>
      <w:r>
        <w:rPr>
          <w:rFonts w:ascii="仿宋_GB2312" w:eastAsia="仿宋_GB2312"/>
          <w:b w:val="0"/>
          <w:bCs w:val="0"/>
          <w:sz w:val="32"/>
          <w:szCs w:val="32"/>
        </w:rPr>
        <w:t>传统宣传方式。</w:t>
      </w:r>
      <w:r>
        <w:rPr>
          <w:rFonts w:ascii="仿宋_GB2312" w:eastAsia="仿宋_GB2312"/>
          <w:b w:val="0"/>
          <w:bCs w:val="0"/>
          <w:sz w:val="32"/>
          <w:szCs w:val="32"/>
        </w:rPr>
        <w:t>二是</w:t>
      </w:r>
      <w:r>
        <w:rPr>
          <w:rFonts w:ascii="仿宋_GB2312" w:eastAsia="仿宋_GB2312"/>
          <w:b w:val="0"/>
          <w:bCs w:val="0"/>
          <w:sz w:val="32"/>
          <w:szCs w:val="32"/>
        </w:rPr>
        <w:t>打造新媒体矩阵。通过图解等方式，利用新媒体平台开展政策宣传，提高政策知晓率和影响力。</w:t>
      </w:r>
      <w:r>
        <w:rPr>
          <w:rFonts w:ascii="仿宋_GB2312" w:eastAsia="仿宋_GB2312"/>
          <w:b w:val="0"/>
          <w:bCs w:val="0"/>
          <w:sz w:val="32"/>
          <w:szCs w:val="32"/>
        </w:rPr>
        <w:t>三是</w:t>
      </w:r>
      <w:r>
        <w:rPr>
          <w:rFonts w:ascii="仿宋_GB2312" w:eastAsia="仿宋_GB2312"/>
          <w:b w:val="0"/>
          <w:bCs w:val="0"/>
          <w:sz w:val="32"/>
          <w:szCs w:val="32"/>
        </w:rPr>
        <w:t>将宣传贯穿于日常工作。</w:t>
      </w:r>
    </w:p>
    <w:p>
      <w:pPr>
        <w:snapToGrid w:val="0"/>
        <w:spacing w:line="580" w:lineRule="exact"/>
        <w:ind w:firstLine="643"/>
        <w:rPr>
          <w:rFonts w:ascii="仿宋_GB2312" w:hAnsi="宋体"/>
          <w:b w:val="0"/>
          <w:bCs w:val="0"/>
          <w:sz w:val="32"/>
          <w:szCs w:val="32"/>
        </w:rPr>
      </w:pPr>
      <w:r>
        <w:rPr>
          <w:rFonts w:hint="eastAsia" w:ascii="仿宋_GB2312"/>
          <w:b w:val="0"/>
          <w:bCs w:val="0"/>
          <w:sz w:val="32"/>
          <w:szCs w:val="32"/>
        </w:rPr>
        <w:t>4.强化财务管理，严格遵守资金执行规定。</w:t>
      </w:r>
      <w:r>
        <w:rPr>
          <w:rFonts w:hint="eastAsia" w:ascii="仿宋_GB2312"/>
          <w:b w:val="0"/>
          <w:bCs w:val="0"/>
          <w:sz w:val="32"/>
          <w:szCs w:val="32"/>
        </w:rPr>
        <w:t>建议各主管部门财务科室加强学习，提升专业技能，</w:t>
      </w:r>
      <w:r>
        <w:rPr>
          <w:rFonts w:hint="eastAsia" w:ascii="仿宋_GB2312" w:hAnsi="宋体"/>
          <w:b w:val="0"/>
          <w:bCs w:val="0"/>
          <w:sz w:val="32"/>
          <w:szCs w:val="32"/>
        </w:rPr>
        <w:t>严格遵守《菏泽市市级人才专项资金审核拨付暂行办法》</w:t>
      </w:r>
      <w:r>
        <w:rPr>
          <w:rFonts w:hint="eastAsia" w:ascii="仿宋_GB2312" w:hAnsi="宋体"/>
          <w:b w:val="0"/>
          <w:bCs w:val="0"/>
          <w:sz w:val="32"/>
          <w:szCs w:val="32"/>
        </w:rPr>
        <w:t>等相关资金管理办法和财务管理制度，按规定的形式、方式和时间等发放相关政策资金，规范政策资金的财务管理和核算方式，进一步提升资金使用的合规性。</w:t>
      </w:r>
    </w:p>
    <w:p>
      <w:pPr>
        <w:pStyle w:val="17"/>
        <w:snapToGrid w:val="0"/>
        <w:spacing w:before="0" w:beforeAutospacing="0" w:after="0" w:afterAutospacing="0" w:line="580" w:lineRule="exact"/>
        <w:ind w:firstLine="640" w:firstLineChars="200"/>
        <w:jc w:val="both"/>
        <w:outlineLvl w:val="1"/>
        <w:rPr>
          <w:rFonts w:ascii="楷体_GB2312" w:eastAsia="楷体_GB2312"/>
          <w:b w:val="0"/>
          <w:bCs w:val="0"/>
          <w:sz w:val="32"/>
          <w:szCs w:val="32"/>
        </w:rPr>
      </w:pPr>
      <w:bookmarkStart w:id="163" w:name="_Toc109592068"/>
      <w:bookmarkStart w:id="164" w:name="_Toc114320489"/>
      <w:r>
        <w:rPr>
          <w:rFonts w:ascii="楷体_GB2312" w:eastAsia="楷体_GB2312"/>
          <w:b w:val="0"/>
          <w:bCs w:val="0"/>
          <w:sz w:val="32"/>
          <w:szCs w:val="32"/>
        </w:rPr>
        <w:t>（</w:t>
      </w:r>
      <w:r>
        <w:rPr>
          <w:rFonts w:hint="eastAsia" w:ascii="楷体_GB2312" w:eastAsia="楷体_GB2312"/>
          <w:b w:val="0"/>
          <w:bCs w:val="0"/>
          <w:sz w:val="32"/>
          <w:szCs w:val="32"/>
        </w:rPr>
        <w:t>三</w:t>
      </w:r>
      <w:r>
        <w:rPr>
          <w:rFonts w:ascii="楷体_GB2312" w:eastAsia="楷体_GB2312"/>
          <w:b w:val="0"/>
          <w:bCs w:val="0"/>
          <w:sz w:val="32"/>
          <w:szCs w:val="32"/>
        </w:rPr>
        <w:t>）以市场需求为导向，优化人才引入方案</w:t>
      </w:r>
      <w:bookmarkEnd w:id="163"/>
      <w:bookmarkEnd w:id="164"/>
    </w:p>
    <w:p>
      <w:pPr>
        <w:snapToGrid w:val="0"/>
        <w:spacing w:line="580" w:lineRule="exact"/>
        <w:ind w:firstLine="640"/>
        <w:rPr>
          <w:rFonts w:ascii="仿宋_GB2312"/>
          <w:b w:val="0"/>
          <w:bCs w:val="0"/>
          <w:sz w:val="32"/>
          <w:szCs w:val="32"/>
        </w:rPr>
      </w:pPr>
      <w:r>
        <w:rPr>
          <w:rFonts w:hint="eastAsia" w:ascii="仿宋_GB2312" w:hAnsi="宋体"/>
          <w:b w:val="0"/>
          <w:bCs w:val="0"/>
          <w:sz w:val="32"/>
          <w:szCs w:val="32"/>
        </w:rPr>
        <w:t>充分利用菏泽市核心产业和优势产业，打造富有吸引力的产业平台，为人才提供发展平台，同时要重视人才尤其是本土人才的后续培育，</w:t>
      </w:r>
      <w:r>
        <w:rPr>
          <w:rFonts w:ascii="仿宋_GB2312" w:hAnsi="宋体"/>
          <w:b w:val="0"/>
          <w:bCs w:val="0"/>
          <w:sz w:val="32"/>
          <w:szCs w:val="32"/>
        </w:rPr>
        <w:t>坚持“环境引才、产业聚才、服务留才”理念，着力营造有利于人才集聚的工作环境、生活环境和人文环境，让人才“引得来”也“留得住”。</w:t>
      </w:r>
    </w:p>
    <w:p>
      <w:pPr>
        <w:snapToGrid w:val="0"/>
        <w:spacing w:line="580" w:lineRule="exact"/>
        <w:ind w:firstLine="640"/>
        <w:rPr>
          <w:rFonts w:ascii="仿宋_GB2312" w:hAnsi="宋体"/>
          <w:b w:val="0"/>
          <w:bCs w:val="0"/>
          <w:sz w:val="32"/>
          <w:szCs w:val="32"/>
        </w:rPr>
      </w:pPr>
      <w:r>
        <w:rPr>
          <w:rFonts w:hint="eastAsia" w:ascii="仿宋_GB2312" w:hAnsi="宋体"/>
          <w:b w:val="0"/>
          <w:bCs w:val="0"/>
          <w:sz w:val="32"/>
          <w:szCs w:val="32"/>
        </w:rPr>
        <w:t>继续</w:t>
      </w:r>
      <w:r>
        <w:rPr>
          <w:rFonts w:ascii="仿宋_GB2312" w:hAnsi="宋体"/>
          <w:b w:val="0"/>
          <w:bCs w:val="0"/>
          <w:sz w:val="32"/>
          <w:szCs w:val="32"/>
        </w:rPr>
        <w:t>实施重大科技专项和重点科技研发计划，通过“揭榜挂帅”等方式支持企业开展研发活动。支持企业建设科技创新平台，对获批建设市级重点实验室、技术创新中心等创新平台的单位给予</w:t>
      </w:r>
      <w:r>
        <w:rPr>
          <w:rFonts w:hint="eastAsia" w:ascii="仿宋_GB2312" w:hAnsi="宋体"/>
          <w:b w:val="0"/>
          <w:bCs w:val="0"/>
          <w:sz w:val="32"/>
          <w:szCs w:val="32"/>
        </w:rPr>
        <w:t>一定</w:t>
      </w:r>
      <w:r>
        <w:rPr>
          <w:rFonts w:ascii="仿宋_GB2312" w:hAnsi="宋体"/>
          <w:b w:val="0"/>
          <w:bCs w:val="0"/>
          <w:sz w:val="32"/>
          <w:szCs w:val="32"/>
        </w:rPr>
        <w:t>资金扶持。</w:t>
      </w:r>
    </w:p>
    <w:p>
      <w:pPr>
        <w:pStyle w:val="17"/>
        <w:snapToGrid w:val="0"/>
        <w:spacing w:before="0" w:beforeAutospacing="0" w:after="0" w:afterAutospacing="0" w:line="580" w:lineRule="exact"/>
        <w:ind w:firstLine="640" w:firstLineChars="200"/>
        <w:jc w:val="both"/>
        <w:outlineLvl w:val="1"/>
        <w:rPr>
          <w:rFonts w:ascii="楷体_GB2312" w:eastAsia="楷体_GB2312"/>
          <w:b w:val="0"/>
          <w:bCs w:val="0"/>
          <w:sz w:val="32"/>
          <w:szCs w:val="32"/>
        </w:rPr>
      </w:pPr>
      <w:bookmarkStart w:id="165" w:name="_Toc109592069"/>
      <w:bookmarkStart w:id="166" w:name="_Toc114320490"/>
      <w:r>
        <w:rPr>
          <w:rFonts w:ascii="楷体_GB2312" w:eastAsia="楷体_GB2312"/>
          <w:b w:val="0"/>
          <w:bCs w:val="0"/>
          <w:sz w:val="32"/>
          <w:szCs w:val="32"/>
        </w:rPr>
        <w:t>（</w:t>
      </w:r>
      <w:r>
        <w:rPr>
          <w:rFonts w:hint="eastAsia" w:ascii="楷体_GB2312" w:eastAsia="楷体_GB2312"/>
          <w:b w:val="0"/>
          <w:bCs w:val="0"/>
          <w:sz w:val="32"/>
          <w:szCs w:val="32"/>
        </w:rPr>
        <w:t>四</w:t>
      </w:r>
      <w:r>
        <w:rPr>
          <w:rFonts w:ascii="楷体_GB2312" w:eastAsia="楷体_GB2312"/>
          <w:b w:val="0"/>
          <w:bCs w:val="0"/>
          <w:sz w:val="32"/>
          <w:szCs w:val="32"/>
        </w:rPr>
        <w:t>）建立政策反馈机制，统筹管理政策兑现资金</w:t>
      </w:r>
      <w:bookmarkEnd w:id="165"/>
      <w:bookmarkEnd w:id="166"/>
    </w:p>
    <w:p>
      <w:pPr>
        <w:snapToGrid w:val="0"/>
        <w:spacing w:line="580" w:lineRule="exact"/>
        <w:ind w:firstLine="640"/>
        <w:rPr>
          <w:rFonts w:ascii="仿宋_GB2312" w:hAnsi="宋体"/>
          <w:b w:val="0"/>
          <w:bCs w:val="0"/>
          <w:sz w:val="32"/>
          <w:szCs w:val="32"/>
        </w:rPr>
      </w:pPr>
      <w:r>
        <w:rPr>
          <w:rFonts w:hint="eastAsia" w:ascii="仿宋_GB2312" w:hAnsi="宋体"/>
          <w:b w:val="0"/>
          <w:bCs w:val="0"/>
          <w:sz w:val="32"/>
          <w:szCs w:val="32"/>
        </w:rPr>
        <w:t>1.建立健全政策反馈更新机制，提高政策落地率</w:t>
      </w:r>
    </w:p>
    <w:p>
      <w:pPr>
        <w:snapToGrid w:val="0"/>
        <w:spacing w:line="580" w:lineRule="exact"/>
        <w:ind w:firstLine="640"/>
        <w:rPr>
          <w:rFonts w:ascii="仿宋_GB2312" w:hAnsi="宋体"/>
          <w:b w:val="0"/>
          <w:bCs w:val="0"/>
          <w:sz w:val="32"/>
          <w:szCs w:val="32"/>
        </w:rPr>
      </w:pPr>
      <w:r>
        <w:rPr>
          <w:rFonts w:hint="eastAsia" w:ascii="仿宋_GB2312" w:hAnsi="宋体"/>
          <w:b w:val="0"/>
          <w:bCs w:val="0"/>
          <w:sz w:val="32"/>
          <w:szCs w:val="32"/>
        </w:rPr>
        <w:t>建议各主管部门应及时对上级相关政策调整做出反馈与应对，保持通畅的部门间沟通，通过联席会议等部门协作机制反馈并更新人才政策内容，或出台政策补充条款，从而进一步提高政策落地率。</w:t>
      </w:r>
    </w:p>
    <w:p>
      <w:pPr>
        <w:pStyle w:val="44"/>
        <w:snapToGrid w:val="0"/>
        <w:spacing w:line="580" w:lineRule="exact"/>
        <w:ind w:firstLine="640"/>
        <w:rPr>
          <w:rFonts w:ascii="仿宋_GB2312"/>
          <w:b w:val="0"/>
          <w:bCs w:val="0"/>
          <w:color w:val="000000" w:themeColor="text1"/>
          <w:sz w:val="32"/>
          <w:szCs w:val="32"/>
          <w14:textFill>
            <w14:solidFill>
              <w14:schemeClr w14:val="tx1"/>
            </w14:solidFill>
          </w14:textFill>
        </w:rPr>
      </w:pPr>
      <w:r>
        <w:rPr>
          <w:rFonts w:hint="eastAsia" w:ascii="仿宋_GB2312"/>
          <w:b w:val="0"/>
          <w:bCs w:val="0"/>
          <w:color w:val="000000" w:themeColor="text1"/>
          <w:sz w:val="32"/>
          <w:szCs w:val="32"/>
          <w14:textFill>
            <w14:solidFill>
              <w14:schemeClr w14:val="tx1"/>
            </w14:solidFill>
          </w14:textFill>
        </w:rPr>
        <w:t>2.统筹管理政策兑现资金</w:t>
      </w:r>
    </w:p>
    <w:p>
      <w:pPr>
        <w:pStyle w:val="44"/>
        <w:snapToGrid w:val="0"/>
        <w:spacing w:line="580" w:lineRule="exact"/>
        <w:ind w:firstLine="640"/>
        <w:rPr>
          <w:rFonts w:ascii="仿宋_GB2312"/>
          <w:b w:val="0"/>
          <w:bCs w:val="0"/>
          <w:color w:val="000000" w:themeColor="text1"/>
          <w:sz w:val="32"/>
          <w:szCs w:val="32"/>
          <w14:textFill>
            <w14:solidFill>
              <w14:schemeClr w14:val="tx1"/>
            </w14:solidFill>
          </w14:textFill>
        </w:rPr>
      </w:pPr>
      <w:r>
        <w:rPr>
          <w:rFonts w:hint="eastAsia" w:ascii="仿宋_GB2312"/>
          <w:b w:val="0"/>
          <w:bCs w:val="0"/>
          <w:color w:val="000000" w:themeColor="text1"/>
          <w:sz w:val="32"/>
          <w:szCs w:val="32"/>
          <w14:textFill>
            <w14:solidFill>
              <w14:schemeClr w14:val="tx1"/>
            </w14:solidFill>
          </w14:textFill>
        </w:rPr>
        <w:t>建议将30条人才政策涉及的所有奖励或补助资金全部纳入到人才政策专项资金中统筹管理。该项措施有利于对政策执行总体情况进行全盘分析考量，可为下一步财政资金分配与政策目标制定等方面提供有效数据支撑；同样，有利于对各主管部门政策资金执行情况进行全面评价与考核，为部门评价和政策改进提供相关依据。</w:t>
      </w:r>
    </w:p>
    <w:p>
      <w:pPr>
        <w:pStyle w:val="17"/>
        <w:snapToGrid w:val="0"/>
        <w:spacing w:before="0" w:beforeAutospacing="0" w:after="0" w:afterAutospacing="0" w:line="580" w:lineRule="exact"/>
        <w:ind w:firstLine="640" w:firstLineChars="200"/>
        <w:jc w:val="both"/>
        <w:outlineLvl w:val="1"/>
        <w:rPr>
          <w:rFonts w:ascii="楷体_GB2312" w:eastAsia="楷体_GB2312"/>
          <w:b w:val="0"/>
          <w:bCs w:val="0"/>
          <w:sz w:val="32"/>
          <w:szCs w:val="32"/>
        </w:rPr>
      </w:pPr>
      <w:bookmarkStart w:id="167" w:name="_Toc109592070"/>
      <w:bookmarkStart w:id="168" w:name="_Toc114320491"/>
      <w:r>
        <w:rPr>
          <w:rFonts w:ascii="楷体_GB2312" w:eastAsia="楷体_GB2312"/>
          <w:b w:val="0"/>
          <w:bCs w:val="0"/>
          <w:sz w:val="32"/>
          <w:szCs w:val="32"/>
        </w:rPr>
        <w:t>（</w:t>
      </w:r>
      <w:r>
        <w:rPr>
          <w:rFonts w:hint="eastAsia" w:ascii="楷体_GB2312" w:eastAsia="楷体_GB2312"/>
          <w:b w:val="0"/>
          <w:bCs w:val="0"/>
          <w:sz w:val="32"/>
          <w:szCs w:val="32"/>
        </w:rPr>
        <w:t>五</w:t>
      </w:r>
      <w:r>
        <w:rPr>
          <w:rFonts w:ascii="楷体_GB2312" w:eastAsia="楷体_GB2312"/>
          <w:b w:val="0"/>
          <w:bCs w:val="0"/>
          <w:sz w:val="32"/>
          <w:szCs w:val="32"/>
        </w:rPr>
        <w:t>）优化调整人才政策，增强政策吸引力</w:t>
      </w:r>
      <w:bookmarkEnd w:id="167"/>
      <w:bookmarkEnd w:id="168"/>
    </w:p>
    <w:p>
      <w:pPr>
        <w:pStyle w:val="17"/>
        <w:shd w:val="clear" w:color="auto" w:fill="FFFFFF"/>
        <w:snapToGrid w:val="0"/>
        <w:spacing w:before="0" w:beforeAutospacing="0" w:after="0" w:afterAutospacing="0" w:line="580" w:lineRule="exact"/>
        <w:ind w:firstLine="640" w:firstLineChars="200"/>
        <w:rPr>
          <w:rFonts w:ascii="仿宋_GB2312" w:hAnsi="Times New Roman" w:eastAsia="仿宋_GB2312" w:cs="Times New Roman"/>
          <w:b w:val="0"/>
          <w:bCs w:val="0"/>
          <w:color w:val="000000" w:themeColor="text1"/>
          <w:kern w:val="2"/>
          <w:sz w:val="32"/>
          <w:szCs w:val="32"/>
          <w14:textFill>
            <w14:solidFill>
              <w14:schemeClr w14:val="tx1"/>
            </w14:solidFill>
          </w14:textFill>
        </w:rPr>
      </w:pPr>
      <w:r>
        <w:rPr>
          <w:rFonts w:hint="eastAsia" w:ascii="仿宋_GB2312" w:hAnsi="Times New Roman" w:eastAsia="仿宋_GB2312" w:cs="Times New Roman"/>
          <w:b w:val="0"/>
          <w:bCs w:val="0"/>
          <w:color w:val="000000" w:themeColor="text1"/>
          <w:kern w:val="2"/>
          <w:sz w:val="32"/>
          <w:szCs w:val="32"/>
          <w14:textFill>
            <w14:solidFill>
              <w14:schemeClr w14:val="tx1"/>
            </w14:solidFill>
          </w14:textFill>
        </w:rPr>
        <w:t>1.制定人才目录，进一步保障人才引进质量</w:t>
      </w:r>
    </w:p>
    <w:p>
      <w:pPr>
        <w:pStyle w:val="44"/>
        <w:snapToGrid w:val="0"/>
        <w:spacing w:line="580" w:lineRule="exact"/>
        <w:ind w:firstLine="640"/>
        <w:rPr>
          <w:rFonts w:ascii="仿宋_GB2312"/>
          <w:b w:val="0"/>
          <w:bCs w:val="0"/>
          <w:color w:val="000000" w:themeColor="text1"/>
          <w:sz w:val="32"/>
          <w:szCs w:val="32"/>
          <w14:textFill>
            <w14:solidFill>
              <w14:schemeClr w14:val="tx1"/>
            </w14:solidFill>
          </w14:textFill>
        </w:rPr>
      </w:pPr>
      <w:r>
        <w:rPr>
          <w:rFonts w:hint="eastAsia" w:ascii="仿宋_GB2312"/>
          <w:b w:val="0"/>
          <w:bCs w:val="0"/>
          <w:color w:val="000000" w:themeColor="text1"/>
          <w:sz w:val="32"/>
          <w:szCs w:val="32"/>
          <w14:textFill>
            <w14:solidFill>
              <w14:schemeClr w14:val="tx1"/>
            </w14:solidFill>
          </w14:textFill>
        </w:rPr>
        <w:t>建议各主管部门和县区应着眼于完善人才分类评价机制，突出能力业绩和需求导向，紧紧围绕菏泽市“231”产业体系，制定出各部门和县区高层次人才分类目录和产业发展紧缺人才目录，建立人才需求清单，使人才分类更全面、合理，更加有重点、有针</w:t>
      </w:r>
      <w:r>
        <w:rPr>
          <w:rFonts w:hint="eastAsia" w:ascii="仿宋_GB2312"/>
          <w:b w:val="0"/>
          <w:bCs w:val="0"/>
          <w:color w:val="000000" w:themeColor="text1"/>
          <w:sz w:val="32"/>
          <w:szCs w:val="32"/>
          <w:lang w:eastAsia="zh-CN"/>
          <w14:textFill>
            <w14:solidFill>
              <w14:schemeClr w14:val="tx1"/>
            </w14:solidFill>
          </w14:textFill>
        </w:rPr>
        <w:t>对性地引进</w:t>
      </w:r>
      <w:r>
        <w:rPr>
          <w:rFonts w:hint="eastAsia" w:ascii="仿宋_GB2312"/>
          <w:b w:val="0"/>
          <w:bCs w:val="0"/>
          <w:color w:val="000000" w:themeColor="text1"/>
          <w:sz w:val="32"/>
          <w:szCs w:val="32"/>
          <w14:textFill>
            <w14:solidFill>
              <w14:schemeClr w14:val="tx1"/>
            </w14:solidFill>
          </w14:textFill>
        </w:rPr>
        <w:t>人才。</w:t>
      </w:r>
    </w:p>
    <w:p>
      <w:pPr>
        <w:widowControl/>
        <w:shd w:val="clear" w:color="auto" w:fill="FFFFFF"/>
        <w:snapToGrid w:val="0"/>
        <w:spacing w:line="580" w:lineRule="exact"/>
        <w:ind w:firstLine="542" w:firstLineChars="0"/>
        <w:jc w:val="left"/>
        <w:rPr>
          <w:rFonts w:ascii="仿宋_GB2312" w:hAnsi="Arial" w:cs="Arial"/>
          <w:b w:val="0"/>
          <w:bCs w:val="0"/>
          <w:color w:val="222222"/>
          <w:kern w:val="0"/>
          <w:sz w:val="32"/>
          <w:szCs w:val="32"/>
        </w:rPr>
      </w:pPr>
      <w:r>
        <w:rPr>
          <w:rFonts w:hint="eastAsia" w:ascii="仿宋_GB2312" w:hAnsi="Arial" w:cs="Arial"/>
          <w:b w:val="0"/>
          <w:bCs w:val="0"/>
          <w:color w:val="333333"/>
          <w:kern w:val="0"/>
          <w:sz w:val="32"/>
          <w:szCs w:val="32"/>
        </w:rPr>
        <w:t>2.加强自主培育力度，助力“自家孩子”成长</w:t>
      </w:r>
    </w:p>
    <w:p>
      <w:pPr>
        <w:pStyle w:val="44"/>
        <w:snapToGrid w:val="0"/>
        <w:spacing w:line="580" w:lineRule="exact"/>
        <w:ind w:firstLine="640"/>
        <w:rPr>
          <w:rFonts w:ascii="仿宋_GB2312"/>
          <w:b w:val="0"/>
          <w:bCs w:val="0"/>
          <w:color w:val="000000" w:themeColor="text1"/>
          <w:sz w:val="32"/>
          <w:szCs w:val="32"/>
          <w14:textFill>
            <w14:solidFill>
              <w14:schemeClr w14:val="tx1"/>
            </w14:solidFill>
          </w14:textFill>
        </w:rPr>
      </w:pPr>
      <w:r>
        <w:rPr>
          <w:rFonts w:hint="eastAsia" w:ascii="仿宋_GB2312"/>
          <w:b w:val="0"/>
          <w:bCs w:val="0"/>
          <w:color w:val="000000" w:themeColor="text1"/>
          <w:sz w:val="32"/>
          <w:szCs w:val="32"/>
          <w14:textFill>
            <w14:solidFill>
              <w14:schemeClr w14:val="tx1"/>
            </w14:solidFill>
          </w14:textFill>
        </w:rPr>
        <w:t>人才引进是短期措施，自主培育是长远之计。建议各主管部门在政策制定时应提高自主培育人才政策比重，加大对本市现有人才尤其是中青年优秀人才的激励培养力度，进一步加强高技能人才队伍建设，实施高层次人才职称绿色通道，鼓励专业技术人员继续教育，提升人员专业素质，激发人才活力，有效助力“自家孩子”继续优化成长。</w:t>
      </w:r>
    </w:p>
    <w:p>
      <w:pPr>
        <w:widowControl/>
        <w:shd w:val="clear" w:color="auto" w:fill="FFFFFF"/>
        <w:snapToGrid w:val="0"/>
        <w:spacing w:line="580" w:lineRule="exact"/>
        <w:ind w:firstLine="643"/>
        <w:jc w:val="left"/>
        <w:rPr>
          <w:rFonts w:ascii="仿宋_GB2312" w:hAnsi="Arial" w:cs="Arial"/>
          <w:b w:val="0"/>
          <w:bCs w:val="0"/>
          <w:color w:val="333333"/>
          <w:kern w:val="0"/>
          <w:sz w:val="32"/>
          <w:szCs w:val="32"/>
        </w:rPr>
      </w:pPr>
      <w:r>
        <w:rPr>
          <w:rFonts w:hint="eastAsia" w:ascii="仿宋_GB2312" w:hAnsi="Arial" w:cs="Arial"/>
          <w:b w:val="0"/>
          <w:bCs w:val="0"/>
          <w:color w:val="333333"/>
          <w:kern w:val="0"/>
          <w:sz w:val="32"/>
          <w:szCs w:val="32"/>
        </w:rPr>
        <w:t>3.注重人才载体建设，强化人才集聚效应</w:t>
      </w:r>
    </w:p>
    <w:p>
      <w:pPr>
        <w:widowControl/>
        <w:shd w:val="clear" w:color="auto" w:fill="FFFFFF"/>
        <w:snapToGrid w:val="0"/>
        <w:spacing w:line="580" w:lineRule="exact"/>
        <w:ind w:firstLine="640"/>
        <w:jc w:val="left"/>
        <w:rPr>
          <w:rFonts w:ascii="仿宋_GB2312" w:hAnsi="Arial" w:cs="Arial"/>
          <w:b w:val="0"/>
          <w:bCs w:val="0"/>
          <w:color w:val="333333"/>
          <w:kern w:val="0"/>
          <w:sz w:val="32"/>
          <w:szCs w:val="32"/>
        </w:rPr>
      </w:pPr>
      <w:r>
        <w:rPr>
          <w:rFonts w:hint="eastAsia" w:ascii="仿宋_GB2312" w:hAnsi="Arial" w:cs="Arial"/>
          <w:b w:val="0"/>
          <w:bCs w:val="0"/>
          <w:color w:val="333333"/>
          <w:kern w:val="0"/>
          <w:sz w:val="32"/>
          <w:szCs w:val="32"/>
        </w:rPr>
        <w:t>建议政策制定时注重各类平台、企业等人才载体建设的奖补，通过政策执行推动人才载体的建设，提高各类平台、企业的行业竞争力，做大做强品牌建设，从而更大</w:t>
      </w:r>
      <w:r>
        <w:rPr>
          <w:rFonts w:hint="eastAsia" w:ascii="仿宋_GB2312" w:hAnsi="Arial" w:cs="Arial"/>
          <w:b w:val="0"/>
          <w:bCs w:val="0"/>
          <w:color w:val="333333"/>
          <w:kern w:val="0"/>
          <w:sz w:val="32"/>
          <w:szCs w:val="32"/>
          <w:lang w:eastAsia="zh-CN"/>
        </w:rPr>
        <w:t>力度地吸引</w:t>
      </w:r>
      <w:r>
        <w:rPr>
          <w:rFonts w:hint="eastAsia" w:ascii="仿宋_GB2312" w:hAnsi="Arial" w:cs="Arial"/>
          <w:b w:val="0"/>
          <w:bCs w:val="0"/>
          <w:color w:val="333333"/>
          <w:kern w:val="0"/>
          <w:sz w:val="32"/>
          <w:szCs w:val="32"/>
        </w:rPr>
        <w:t>优秀的行业人才，进一步提高人才集聚效应。</w:t>
      </w:r>
    </w:p>
    <w:p>
      <w:pPr>
        <w:widowControl/>
        <w:shd w:val="clear" w:color="auto" w:fill="FFFFFF"/>
        <w:snapToGrid w:val="0"/>
        <w:spacing w:line="580" w:lineRule="exact"/>
        <w:ind w:firstLine="643"/>
        <w:jc w:val="left"/>
        <w:rPr>
          <w:rFonts w:ascii="仿宋_GB2312" w:hAnsi="Arial" w:cs="Arial"/>
          <w:b w:val="0"/>
          <w:bCs w:val="0"/>
          <w:color w:val="333333"/>
          <w:kern w:val="0"/>
          <w:sz w:val="32"/>
          <w:szCs w:val="32"/>
        </w:rPr>
      </w:pPr>
      <w:r>
        <w:rPr>
          <w:rFonts w:hint="eastAsia" w:ascii="仿宋_GB2312" w:hAnsi="Arial" w:cs="Arial"/>
          <w:b w:val="0"/>
          <w:bCs w:val="0"/>
          <w:color w:val="333333"/>
          <w:kern w:val="0"/>
          <w:sz w:val="32"/>
          <w:szCs w:val="32"/>
        </w:rPr>
        <w:t>4.优化人才“软环境”，提升人才服务保障水平</w:t>
      </w:r>
    </w:p>
    <w:p>
      <w:pPr>
        <w:widowControl/>
        <w:shd w:val="clear" w:color="auto" w:fill="FFFFFF"/>
        <w:snapToGrid w:val="0"/>
        <w:spacing w:line="580" w:lineRule="exact"/>
        <w:ind w:firstLine="640"/>
        <w:jc w:val="left"/>
        <w:rPr>
          <w:rFonts w:ascii="仿宋_GB2312" w:hAnsi="Arial" w:cs="Arial"/>
          <w:b w:val="0"/>
          <w:bCs w:val="0"/>
          <w:color w:val="222222"/>
          <w:kern w:val="0"/>
          <w:sz w:val="32"/>
          <w:szCs w:val="32"/>
        </w:rPr>
      </w:pPr>
      <w:r>
        <w:rPr>
          <w:rFonts w:hint="eastAsia" w:ascii="仿宋_GB2312" w:hAnsi="Arial" w:cs="Arial"/>
          <w:b w:val="0"/>
          <w:bCs w:val="0"/>
          <w:color w:val="222222"/>
          <w:kern w:val="0"/>
          <w:sz w:val="32"/>
          <w:szCs w:val="32"/>
        </w:rPr>
        <w:t>围绕人才发展全周期、全链条需求，</w:t>
      </w:r>
      <w:r>
        <w:rPr>
          <w:rFonts w:hint="eastAsia" w:ascii="仿宋_GB2312" w:hAnsi="Arial" w:cs="Arial"/>
          <w:b w:val="0"/>
          <w:bCs w:val="0"/>
          <w:color w:val="333333"/>
          <w:kern w:val="0"/>
          <w:sz w:val="32"/>
          <w:szCs w:val="32"/>
        </w:rPr>
        <w:t>着力在人才关心关注的子女教育、配偶随迁、医疗与住房保障等方面办实事、解难题</w:t>
      </w:r>
      <w:r>
        <w:rPr>
          <w:rFonts w:hint="eastAsia" w:ascii="仿宋_GB2312" w:hAnsi="Arial" w:cs="Arial"/>
          <w:b w:val="0"/>
          <w:bCs w:val="0"/>
          <w:color w:val="222222"/>
          <w:kern w:val="0"/>
          <w:sz w:val="32"/>
          <w:szCs w:val="32"/>
        </w:rPr>
        <w:t>，化解人才的后顾之忧，切实从人才自身的角度出发，进一步为人才提供完善舒适的“软环境”，有效为人才提供更加全方位精细化的保障服务，从而提高人才政策吸引力度。</w:t>
      </w:r>
    </w:p>
    <w:bookmarkEnd w:id="146"/>
    <w:p>
      <w:pPr>
        <w:pStyle w:val="17"/>
        <w:snapToGrid w:val="0"/>
        <w:spacing w:before="0" w:beforeAutospacing="0" w:after="0" w:afterAutospacing="0" w:line="580" w:lineRule="exact"/>
        <w:ind w:firstLine="640" w:firstLineChars="200"/>
        <w:jc w:val="both"/>
        <w:outlineLvl w:val="1"/>
        <w:rPr>
          <w:rFonts w:ascii="楷体_GB2312" w:eastAsia="楷体_GB2312"/>
          <w:b w:val="0"/>
          <w:bCs w:val="0"/>
          <w:sz w:val="32"/>
          <w:szCs w:val="32"/>
        </w:rPr>
      </w:pPr>
      <w:bookmarkStart w:id="169" w:name="_Toc114320492"/>
      <w:bookmarkStart w:id="170" w:name="_Toc109592072"/>
      <w:r>
        <w:rPr>
          <w:rFonts w:ascii="楷体_GB2312" w:eastAsia="楷体_GB2312"/>
          <w:b w:val="0"/>
          <w:bCs w:val="0"/>
          <w:sz w:val="32"/>
          <w:szCs w:val="32"/>
        </w:rPr>
        <w:t>（</w:t>
      </w:r>
      <w:r>
        <w:rPr>
          <w:rFonts w:hint="eastAsia" w:ascii="楷体_GB2312" w:eastAsia="楷体_GB2312"/>
          <w:b w:val="0"/>
          <w:bCs w:val="0"/>
          <w:sz w:val="32"/>
          <w:szCs w:val="32"/>
        </w:rPr>
        <w:t>六</w:t>
      </w:r>
      <w:r>
        <w:rPr>
          <w:rFonts w:ascii="楷体_GB2312" w:eastAsia="楷体_GB2312"/>
          <w:b w:val="0"/>
          <w:bCs w:val="0"/>
          <w:sz w:val="32"/>
          <w:szCs w:val="32"/>
        </w:rPr>
        <w:t>）</w:t>
      </w:r>
      <w:r>
        <w:rPr>
          <w:rFonts w:hint="eastAsia" w:ascii="楷体_GB2312" w:eastAsia="楷体_GB2312"/>
          <w:b w:val="0"/>
          <w:bCs w:val="0"/>
          <w:sz w:val="32"/>
          <w:szCs w:val="32"/>
        </w:rPr>
        <w:t>综合结论</w:t>
      </w:r>
      <w:bookmarkEnd w:id="169"/>
    </w:p>
    <w:p>
      <w:pPr>
        <w:snapToGrid w:val="0"/>
        <w:spacing w:line="580" w:lineRule="exact"/>
        <w:ind w:firstLine="640"/>
        <w:rPr>
          <w:rFonts w:ascii="仿宋_GB2312"/>
          <w:b w:val="0"/>
          <w:bCs w:val="0"/>
          <w:sz w:val="32"/>
          <w:szCs w:val="32"/>
        </w:rPr>
      </w:pPr>
      <w:r>
        <w:rPr>
          <w:rFonts w:hint="eastAsia" w:ascii="仿宋_GB2312"/>
          <w:b w:val="0"/>
          <w:bCs w:val="0"/>
          <w:sz w:val="32"/>
          <w:szCs w:val="32"/>
        </w:rPr>
        <w:t>建议菏泽市结合实际情况，对“人才新政30条”进行优化调整后继续实施。</w:t>
      </w:r>
    </w:p>
    <w:p>
      <w:pPr>
        <w:adjustRightInd w:val="0"/>
        <w:snapToGrid w:val="0"/>
        <w:spacing w:line="580" w:lineRule="exact"/>
        <w:ind w:firstLine="640"/>
        <w:outlineLvl w:val="0"/>
        <w:rPr>
          <w:rFonts w:eastAsia="黑体"/>
          <w:b w:val="0"/>
          <w:bCs w:val="0"/>
          <w:color w:val="000000"/>
          <w:kern w:val="0"/>
          <w:sz w:val="32"/>
          <w:szCs w:val="32"/>
        </w:rPr>
      </w:pPr>
      <w:bookmarkStart w:id="171" w:name="_Toc114320493"/>
      <w:r>
        <w:rPr>
          <w:rFonts w:hint="eastAsia" w:eastAsia="黑体"/>
          <w:b w:val="0"/>
          <w:bCs w:val="0"/>
          <w:color w:val="000000"/>
          <w:kern w:val="0"/>
          <w:sz w:val="32"/>
          <w:szCs w:val="32"/>
        </w:rPr>
        <w:t>八</w:t>
      </w:r>
      <w:r>
        <w:rPr>
          <w:rFonts w:eastAsia="黑体"/>
          <w:b w:val="0"/>
          <w:bCs w:val="0"/>
          <w:color w:val="000000"/>
          <w:kern w:val="0"/>
          <w:sz w:val="32"/>
          <w:szCs w:val="32"/>
        </w:rPr>
        <w:t>、附件</w:t>
      </w:r>
      <w:bookmarkEnd w:id="170"/>
      <w:bookmarkEnd w:id="171"/>
    </w:p>
    <w:p>
      <w:pPr>
        <w:snapToGrid w:val="0"/>
        <w:spacing w:line="580" w:lineRule="exact"/>
        <w:ind w:firstLine="640"/>
        <w:rPr>
          <w:rFonts w:ascii="仿宋_GB2312"/>
          <w:b w:val="0"/>
          <w:bCs w:val="0"/>
          <w:sz w:val="32"/>
          <w:szCs w:val="32"/>
        </w:rPr>
      </w:pPr>
      <w:bookmarkStart w:id="172" w:name="_Toc112167425"/>
      <w:r>
        <w:rPr>
          <w:rFonts w:hint="eastAsia" w:ascii="仿宋_GB2312"/>
          <w:b w:val="0"/>
          <w:bCs w:val="0"/>
          <w:sz w:val="32"/>
          <w:szCs w:val="32"/>
        </w:rPr>
        <w:t>1.菏泽市“人才新政30条”政策兑现绩效评价得分表；</w:t>
      </w:r>
      <w:bookmarkEnd w:id="172"/>
    </w:p>
    <w:p>
      <w:pPr>
        <w:snapToGrid w:val="0"/>
        <w:spacing w:line="580" w:lineRule="exact"/>
        <w:ind w:firstLine="640"/>
        <w:rPr>
          <w:rFonts w:ascii="仿宋_GB2312"/>
          <w:b w:val="0"/>
          <w:bCs w:val="0"/>
          <w:sz w:val="32"/>
          <w:szCs w:val="32"/>
        </w:rPr>
      </w:pPr>
      <w:r>
        <w:rPr>
          <w:rFonts w:hint="eastAsia" w:ascii="仿宋_GB2312"/>
          <w:b w:val="0"/>
          <w:bCs w:val="0"/>
          <w:sz w:val="32"/>
          <w:szCs w:val="32"/>
        </w:rPr>
        <w:t>2.问题清单。</w:t>
      </w:r>
    </w:p>
    <w:p>
      <w:pPr>
        <w:pStyle w:val="2"/>
        <w:adjustRightInd w:val="0"/>
        <w:snapToGrid w:val="0"/>
        <w:spacing w:after="0" w:line="580" w:lineRule="exact"/>
        <w:ind w:left="0" w:leftChars="0" w:firstLine="0" w:firstLineChars="0"/>
        <w:jc w:val="right"/>
        <w:rPr>
          <w:rFonts w:hint="default" w:ascii="黑体" w:hAnsi="黑体" w:eastAsia="黑体"/>
          <w:b w:val="0"/>
          <w:bCs w:val="0"/>
          <w:sz w:val="32"/>
          <w:szCs w:val="32"/>
        </w:rPr>
      </w:pPr>
      <w:r>
        <w:rPr>
          <w:rFonts w:ascii="黑体" w:hAnsi="黑体" w:eastAsia="黑体"/>
          <w:b w:val="0"/>
          <w:bCs w:val="0"/>
          <w:sz w:val="32"/>
          <w:szCs w:val="32"/>
        </w:rPr>
        <w:t xml:space="preserve">       </w:t>
      </w:r>
      <w:r>
        <w:rPr>
          <w:rFonts w:hint="default" w:ascii="黑体" w:hAnsi="黑体" w:eastAsia="黑体"/>
          <w:b w:val="0"/>
          <w:bCs w:val="0"/>
          <w:sz w:val="32"/>
          <w:szCs w:val="32"/>
        </w:rPr>
        <w:t xml:space="preserve">              </w:t>
      </w:r>
    </w:p>
    <w:p>
      <w:pPr>
        <w:pStyle w:val="2"/>
        <w:adjustRightInd w:val="0"/>
        <w:snapToGrid w:val="0"/>
        <w:spacing w:after="0" w:line="580" w:lineRule="exact"/>
        <w:ind w:left="0" w:leftChars="0" w:firstLine="0" w:firstLineChars="0"/>
        <w:jc w:val="right"/>
        <w:rPr>
          <w:rFonts w:hint="default" w:ascii="黑体" w:hAnsi="黑体" w:eastAsia="黑体"/>
          <w:b w:val="0"/>
          <w:bCs w:val="0"/>
          <w:sz w:val="32"/>
          <w:szCs w:val="32"/>
        </w:rPr>
      </w:pPr>
      <w:r>
        <w:rPr>
          <w:rFonts w:hint="default" w:ascii="黑体" w:hAnsi="黑体" w:eastAsia="黑体"/>
          <w:b w:val="0"/>
          <w:bCs w:val="0"/>
          <w:sz w:val="32"/>
          <w:szCs w:val="32"/>
        </w:rPr>
        <w:t xml:space="preserve"> </w:t>
      </w:r>
      <w:r>
        <w:rPr>
          <w:rFonts w:ascii="黑体" w:hAnsi="黑体" w:eastAsia="黑体"/>
          <w:b w:val="0"/>
          <w:bCs w:val="0"/>
          <w:sz w:val="32"/>
          <w:szCs w:val="32"/>
        </w:rPr>
        <w:t xml:space="preserve"> 山东和信天程咨询管理有限公司</w:t>
      </w:r>
    </w:p>
    <w:p>
      <w:pPr>
        <w:pStyle w:val="8"/>
        <w:adjustRightInd w:val="0"/>
        <w:snapToGrid w:val="0"/>
        <w:spacing w:after="0" w:line="580" w:lineRule="exact"/>
        <w:ind w:left="0" w:firstLine="1280" w:firstLineChars="400"/>
        <w:rPr>
          <w:b w:val="0"/>
          <w:bCs w:val="0"/>
        </w:rPr>
      </w:pPr>
      <w:r>
        <w:rPr>
          <w:rFonts w:ascii="黑体" w:hAnsi="黑体" w:eastAsia="黑体"/>
          <w:b w:val="0"/>
          <w:bCs w:val="0"/>
          <w:sz w:val="32"/>
          <w:szCs w:val="32"/>
        </w:rPr>
        <w:t xml:space="preserve">                     </w:t>
      </w:r>
      <w:r>
        <w:rPr>
          <w:rFonts w:hint="eastAsia" w:ascii="黑体" w:hAnsi="黑体" w:eastAsia="黑体"/>
          <w:b w:val="0"/>
          <w:bCs w:val="0"/>
          <w:sz w:val="32"/>
          <w:szCs w:val="32"/>
        </w:rPr>
        <w:t xml:space="preserve">     </w:t>
      </w:r>
      <w:r>
        <w:rPr>
          <w:rFonts w:ascii="黑体" w:hAnsi="黑体" w:eastAsia="黑体"/>
          <w:b w:val="0"/>
          <w:bCs w:val="0"/>
          <w:sz w:val="32"/>
          <w:szCs w:val="32"/>
        </w:rPr>
        <w:t>202</w:t>
      </w:r>
      <w:r>
        <w:rPr>
          <w:rFonts w:hint="eastAsia" w:ascii="黑体" w:hAnsi="黑体" w:eastAsia="黑体"/>
          <w:b w:val="0"/>
          <w:bCs w:val="0"/>
          <w:sz w:val="32"/>
          <w:szCs w:val="32"/>
        </w:rPr>
        <w:t>2</w:t>
      </w:r>
      <w:r>
        <w:rPr>
          <w:rFonts w:ascii="黑体" w:hAnsi="黑体" w:eastAsia="黑体"/>
          <w:b w:val="0"/>
          <w:bCs w:val="0"/>
          <w:sz w:val="32"/>
          <w:szCs w:val="32"/>
        </w:rPr>
        <w:t>年</w:t>
      </w:r>
      <w:r>
        <w:rPr>
          <w:rFonts w:hint="eastAsia" w:ascii="黑体" w:hAnsi="黑体" w:eastAsia="黑体"/>
          <w:b w:val="0"/>
          <w:bCs w:val="0"/>
          <w:sz w:val="32"/>
          <w:szCs w:val="32"/>
        </w:rPr>
        <w:t>8</w:t>
      </w:r>
      <w:r>
        <w:rPr>
          <w:rFonts w:ascii="黑体" w:hAnsi="黑体" w:eastAsia="黑体"/>
          <w:b w:val="0"/>
          <w:bCs w:val="0"/>
          <w:sz w:val="32"/>
          <w:szCs w:val="32"/>
        </w:rPr>
        <w:t>月</w:t>
      </w:r>
      <w:r>
        <w:rPr>
          <w:rFonts w:hint="eastAsia" w:ascii="黑体" w:hAnsi="黑体" w:eastAsia="黑体"/>
          <w:b w:val="0"/>
          <w:bCs w:val="0"/>
          <w:sz w:val="32"/>
          <w:szCs w:val="32"/>
          <w:lang w:val="en-US" w:eastAsia="zh-CN"/>
        </w:rPr>
        <w:t>2</w:t>
      </w:r>
      <w:r>
        <w:rPr>
          <w:rFonts w:hint="eastAsia" w:ascii="黑体" w:hAnsi="黑体" w:eastAsia="黑体"/>
          <w:b w:val="0"/>
          <w:bCs w:val="0"/>
          <w:sz w:val="32"/>
          <w:szCs w:val="32"/>
        </w:rPr>
        <w:t>5</w:t>
      </w:r>
      <w:r>
        <w:rPr>
          <w:rFonts w:ascii="黑体" w:hAnsi="黑体" w:eastAsia="黑体"/>
          <w:b w:val="0"/>
          <w:bCs w:val="0"/>
          <w:sz w:val="32"/>
          <w:szCs w:val="32"/>
        </w:rPr>
        <w:t>日</w:t>
      </w:r>
    </w:p>
    <w:bookmarkEnd w:id="7"/>
    <w:p>
      <w:pPr>
        <w:adjustRightInd w:val="0"/>
        <w:snapToGrid w:val="0"/>
        <w:spacing w:line="580" w:lineRule="exact"/>
        <w:ind w:firstLine="0" w:firstLineChars="0"/>
        <w:rPr>
          <w:rFonts w:ascii="黑体" w:hAnsi="黑体" w:eastAsia="黑体" w:cs="仿宋_GB2312"/>
          <w:b w:val="0"/>
          <w:bCs w:val="0"/>
          <w:sz w:val="32"/>
          <w:szCs w:val="32"/>
        </w:rPr>
        <w:sectPr>
          <w:footerReference r:id="rId11" w:type="default"/>
          <w:pgSz w:w="11906" w:h="16838"/>
          <w:pgMar w:top="2155" w:right="1474" w:bottom="1928" w:left="1588" w:header="851" w:footer="992" w:gutter="0"/>
          <w:pgNumType w:start="1"/>
          <w:cols w:space="425" w:num="1"/>
          <w:docGrid w:linePitch="381" w:charSpace="0"/>
        </w:sectPr>
      </w:pPr>
    </w:p>
    <w:p>
      <w:pPr>
        <w:adjustRightInd w:val="0"/>
        <w:snapToGrid w:val="0"/>
        <w:spacing w:line="580" w:lineRule="exact"/>
        <w:ind w:firstLine="0" w:firstLineChars="0"/>
        <w:outlineLvl w:val="1"/>
        <w:rPr>
          <w:rFonts w:ascii="黑体" w:hAnsi="黑体" w:eastAsia="黑体" w:cs="仿宋_GB2312"/>
          <w:b w:val="0"/>
          <w:bCs w:val="0"/>
          <w:sz w:val="32"/>
          <w:szCs w:val="32"/>
        </w:rPr>
      </w:pPr>
      <w:bookmarkStart w:id="173" w:name="_Toc109592073"/>
      <w:bookmarkStart w:id="174" w:name="_Toc114320494"/>
      <w:r>
        <w:rPr>
          <w:rFonts w:hint="eastAsia" w:ascii="黑体" w:hAnsi="黑体" w:eastAsia="黑体" w:cs="仿宋_GB2312"/>
          <w:b w:val="0"/>
          <w:bCs w:val="0"/>
          <w:sz w:val="32"/>
          <w:szCs w:val="32"/>
        </w:rPr>
        <w:t>附件1：菏泽市“人才新政30条”政策兑现绩效评价得分表</w:t>
      </w:r>
      <w:bookmarkEnd w:id="173"/>
      <w:bookmarkEnd w:id="174"/>
    </w:p>
    <w:tbl>
      <w:tblPr>
        <w:tblStyle w:val="20"/>
        <w:tblW w:w="14661" w:type="dxa"/>
        <w:tblInd w:w="0" w:type="dxa"/>
        <w:tblLayout w:type="autofit"/>
        <w:tblCellMar>
          <w:top w:w="0" w:type="dxa"/>
          <w:left w:w="108" w:type="dxa"/>
          <w:bottom w:w="0" w:type="dxa"/>
          <w:right w:w="108" w:type="dxa"/>
        </w:tblCellMar>
      </w:tblPr>
      <w:tblGrid>
        <w:gridCol w:w="939"/>
        <w:gridCol w:w="971"/>
        <w:gridCol w:w="1381"/>
        <w:gridCol w:w="4184"/>
        <w:gridCol w:w="576"/>
        <w:gridCol w:w="5834"/>
        <w:gridCol w:w="776"/>
      </w:tblGrid>
      <w:tr>
        <w:tblPrEx>
          <w:tblCellMar>
            <w:top w:w="0" w:type="dxa"/>
            <w:left w:w="108" w:type="dxa"/>
            <w:bottom w:w="0" w:type="dxa"/>
            <w:right w:w="108" w:type="dxa"/>
          </w:tblCellMar>
        </w:tblPrEx>
        <w:trPr>
          <w:gridAfter w:val="1"/>
          <w:wAfter w:w="776" w:type="dxa"/>
          <w:trHeight w:val="296" w:hRule="atLeast"/>
          <w:tblHeader/>
        </w:trPr>
        <w:tc>
          <w:tcPr>
            <w:tcW w:w="9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center"/>
              <w:rPr>
                <w:rFonts w:hint="eastAsia" w:ascii="黑体" w:hAnsi="黑体" w:eastAsia="黑体" w:cs="黑体"/>
                <w:b w:val="0"/>
                <w:bCs w:val="0"/>
                <w:color w:val="000000"/>
                <w:kern w:val="0"/>
                <w:sz w:val="18"/>
                <w:szCs w:val="18"/>
              </w:rPr>
            </w:pPr>
            <w:r>
              <w:rPr>
                <w:rFonts w:hint="eastAsia" w:ascii="黑体" w:hAnsi="黑体" w:eastAsia="黑体" w:cs="黑体"/>
                <w:b w:val="0"/>
                <w:bCs w:val="0"/>
                <w:color w:val="000000"/>
                <w:kern w:val="0"/>
                <w:sz w:val="18"/>
                <w:szCs w:val="18"/>
              </w:rPr>
              <w:t>一级</w:t>
            </w:r>
          </w:p>
          <w:p>
            <w:pPr>
              <w:widowControl/>
              <w:ind w:firstLine="0" w:firstLineChars="0"/>
              <w:jc w:val="center"/>
              <w:rPr>
                <w:rFonts w:hint="eastAsia" w:ascii="黑体" w:hAnsi="黑体" w:eastAsia="黑体" w:cs="黑体"/>
                <w:b w:val="0"/>
                <w:bCs w:val="0"/>
                <w:color w:val="000000"/>
                <w:kern w:val="0"/>
                <w:sz w:val="18"/>
                <w:szCs w:val="18"/>
              </w:rPr>
            </w:pPr>
            <w:r>
              <w:rPr>
                <w:rFonts w:hint="eastAsia" w:ascii="黑体" w:hAnsi="黑体" w:eastAsia="黑体" w:cs="黑体"/>
                <w:b w:val="0"/>
                <w:bCs w:val="0"/>
                <w:color w:val="000000"/>
                <w:kern w:val="0"/>
                <w:sz w:val="18"/>
                <w:szCs w:val="18"/>
              </w:rPr>
              <w:t>指标</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ind w:firstLine="198" w:firstLineChars="110"/>
              <w:rPr>
                <w:rFonts w:hint="eastAsia" w:ascii="黑体" w:hAnsi="黑体" w:eastAsia="黑体" w:cs="黑体"/>
                <w:b w:val="0"/>
                <w:bCs w:val="0"/>
                <w:color w:val="000000"/>
                <w:kern w:val="0"/>
                <w:sz w:val="18"/>
                <w:szCs w:val="18"/>
              </w:rPr>
            </w:pPr>
            <w:r>
              <w:rPr>
                <w:rFonts w:hint="eastAsia" w:ascii="黑体" w:hAnsi="黑体" w:eastAsia="黑体" w:cs="黑体"/>
                <w:b w:val="0"/>
                <w:bCs w:val="0"/>
                <w:color w:val="000000"/>
                <w:kern w:val="0"/>
                <w:sz w:val="18"/>
                <w:szCs w:val="18"/>
              </w:rPr>
              <w:t>二级</w:t>
            </w:r>
          </w:p>
          <w:p>
            <w:pPr>
              <w:widowControl/>
              <w:ind w:firstLine="198" w:firstLineChars="110"/>
              <w:rPr>
                <w:rFonts w:hint="eastAsia" w:ascii="黑体" w:hAnsi="黑体" w:eastAsia="黑体" w:cs="黑体"/>
                <w:b w:val="0"/>
                <w:bCs w:val="0"/>
                <w:color w:val="000000"/>
                <w:kern w:val="0"/>
                <w:sz w:val="18"/>
                <w:szCs w:val="18"/>
              </w:rPr>
            </w:pPr>
            <w:r>
              <w:rPr>
                <w:rFonts w:hint="eastAsia" w:ascii="黑体" w:hAnsi="黑体" w:eastAsia="黑体" w:cs="黑体"/>
                <w:b w:val="0"/>
                <w:bCs w:val="0"/>
                <w:color w:val="000000"/>
                <w:kern w:val="0"/>
                <w:sz w:val="18"/>
                <w:szCs w:val="18"/>
              </w:rPr>
              <w:t>指标</w:t>
            </w:r>
          </w:p>
        </w:tc>
        <w:tc>
          <w:tcPr>
            <w:tcW w:w="1381"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center"/>
              <w:rPr>
                <w:rFonts w:hint="eastAsia" w:ascii="黑体" w:hAnsi="黑体" w:eastAsia="黑体" w:cs="黑体"/>
                <w:b w:val="0"/>
                <w:bCs w:val="0"/>
                <w:color w:val="000000"/>
                <w:kern w:val="0"/>
                <w:sz w:val="18"/>
                <w:szCs w:val="18"/>
              </w:rPr>
            </w:pPr>
            <w:r>
              <w:rPr>
                <w:rFonts w:hint="eastAsia" w:ascii="黑体" w:hAnsi="黑体" w:eastAsia="黑体" w:cs="黑体"/>
                <w:b w:val="0"/>
                <w:bCs w:val="0"/>
                <w:color w:val="000000"/>
                <w:kern w:val="0"/>
                <w:sz w:val="18"/>
                <w:szCs w:val="18"/>
              </w:rPr>
              <w:t>三级指标</w:t>
            </w:r>
          </w:p>
        </w:tc>
        <w:tc>
          <w:tcPr>
            <w:tcW w:w="4184"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center"/>
              <w:rPr>
                <w:rFonts w:hint="eastAsia" w:ascii="黑体" w:hAnsi="黑体" w:eastAsia="黑体" w:cs="黑体"/>
                <w:b w:val="0"/>
                <w:bCs w:val="0"/>
                <w:color w:val="000000"/>
                <w:kern w:val="0"/>
                <w:sz w:val="18"/>
                <w:szCs w:val="18"/>
              </w:rPr>
            </w:pPr>
            <w:r>
              <w:rPr>
                <w:rFonts w:hint="eastAsia" w:ascii="黑体" w:hAnsi="黑体" w:eastAsia="黑体" w:cs="黑体"/>
                <w:b w:val="0"/>
                <w:bCs w:val="0"/>
                <w:color w:val="000000"/>
                <w:kern w:val="0"/>
                <w:sz w:val="18"/>
                <w:szCs w:val="18"/>
              </w:rPr>
              <w:t>评价标准</w:t>
            </w:r>
          </w:p>
        </w:tc>
        <w:tc>
          <w:tcPr>
            <w:tcW w:w="576"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center"/>
              <w:rPr>
                <w:rFonts w:hint="eastAsia" w:ascii="黑体" w:hAnsi="黑体" w:eastAsia="黑体" w:cs="黑体"/>
                <w:b w:val="0"/>
                <w:bCs w:val="0"/>
                <w:color w:val="000000"/>
                <w:kern w:val="0"/>
                <w:sz w:val="18"/>
                <w:szCs w:val="18"/>
              </w:rPr>
            </w:pPr>
            <w:r>
              <w:rPr>
                <w:rFonts w:hint="eastAsia" w:ascii="黑体" w:hAnsi="黑体" w:eastAsia="黑体" w:cs="黑体"/>
                <w:b w:val="0"/>
                <w:bCs w:val="0"/>
                <w:color w:val="000000"/>
                <w:kern w:val="0"/>
                <w:sz w:val="18"/>
                <w:szCs w:val="18"/>
              </w:rPr>
              <w:t>得分</w:t>
            </w:r>
          </w:p>
        </w:tc>
        <w:tc>
          <w:tcPr>
            <w:tcW w:w="5834" w:type="dxa"/>
            <w:tcBorders>
              <w:top w:val="single" w:color="auto" w:sz="4" w:space="0"/>
              <w:left w:val="nil"/>
              <w:bottom w:val="single" w:color="auto" w:sz="4" w:space="0"/>
              <w:right w:val="single" w:color="auto" w:sz="4" w:space="0"/>
            </w:tcBorders>
            <w:shd w:val="clear" w:color="auto" w:fill="auto"/>
            <w:vAlign w:val="center"/>
          </w:tcPr>
          <w:p>
            <w:pPr>
              <w:widowControl/>
              <w:ind w:firstLine="198" w:firstLineChars="110"/>
              <w:jc w:val="center"/>
              <w:rPr>
                <w:rFonts w:hint="eastAsia" w:ascii="黑体" w:hAnsi="黑体" w:eastAsia="黑体" w:cs="黑体"/>
                <w:b w:val="0"/>
                <w:bCs w:val="0"/>
                <w:color w:val="000000"/>
                <w:kern w:val="0"/>
                <w:sz w:val="18"/>
                <w:szCs w:val="18"/>
              </w:rPr>
            </w:pPr>
            <w:r>
              <w:rPr>
                <w:rFonts w:hint="eastAsia" w:ascii="黑体" w:hAnsi="黑体" w:eastAsia="黑体" w:cs="黑体"/>
                <w:b w:val="0"/>
                <w:bCs w:val="0"/>
                <w:color w:val="000000"/>
                <w:kern w:val="0"/>
                <w:sz w:val="18"/>
                <w:szCs w:val="18"/>
              </w:rPr>
              <w:t>评分说明</w:t>
            </w:r>
          </w:p>
        </w:tc>
      </w:tr>
      <w:tr>
        <w:tblPrEx>
          <w:tblCellMar>
            <w:top w:w="0" w:type="dxa"/>
            <w:left w:w="108" w:type="dxa"/>
            <w:bottom w:w="0" w:type="dxa"/>
            <w:right w:w="108" w:type="dxa"/>
          </w:tblCellMar>
        </w:tblPrEx>
        <w:trPr>
          <w:gridAfter w:val="1"/>
          <w:wAfter w:w="776" w:type="dxa"/>
          <w:trHeight w:val="627" w:hRule="atLeast"/>
        </w:trPr>
        <w:tc>
          <w:tcPr>
            <w:tcW w:w="93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1政策</w:t>
            </w:r>
          </w:p>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制定</w:t>
            </w:r>
          </w:p>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（15分）</w:t>
            </w:r>
          </w:p>
        </w:tc>
        <w:tc>
          <w:tcPr>
            <w:tcW w:w="971" w:type="dxa"/>
            <w:vMerge w:val="restart"/>
            <w:tcBorders>
              <w:top w:val="nil"/>
              <w:left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1.1政策设立</w:t>
            </w:r>
          </w:p>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（9分）</w:t>
            </w:r>
          </w:p>
        </w:tc>
        <w:tc>
          <w:tcPr>
            <w:tcW w:w="1381" w:type="dxa"/>
            <w:tcBorders>
              <w:top w:val="nil"/>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1.1.1政策设立迫切性</w:t>
            </w:r>
          </w:p>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（1分）</w:t>
            </w:r>
          </w:p>
        </w:tc>
        <w:tc>
          <w:tcPr>
            <w:tcW w:w="4184" w:type="dxa"/>
            <w:tcBorders>
              <w:top w:val="nil"/>
              <w:left w:val="nil"/>
              <w:bottom w:val="single" w:color="auto" w:sz="4" w:space="0"/>
              <w:right w:val="single" w:color="auto" w:sz="4" w:space="0"/>
            </w:tcBorders>
            <w:shd w:val="clear" w:color="auto" w:fill="auto"/>
            <w:vAlign w:val="center"/>
          </w:tcPr>
          <w:p>
            <w:pPr>
              <w:widowControl/>
              <w:ind w:firstLine="0" w:firstLineChars="0"/>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该项分值1分。菏泽有人才需求且需求迫切，设立政策以解决人才需求问题得1分，否则不得分。</w:t>
            </w:r>
          </w:p>
        </w:tc>
        <w:tc>
          <w:tcPr>
            <w:tcW w:w="576" w:type="dxa"/>
            <w:tcBorders>
              <w:top w:val="nil"/>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themeColor="text1"/>
                <w:kern w:val="0"/>
                <w:sz w:val="20"/>
                <w:szCs w:val="20"/>
                <w14:textFill>
                  <w14:solidFill>
                    <w14:schemeClr w14:val="tx1"/>
                  </w14:solidFill>
                </w14:textFill>
              </w:rPr>
            </w:pPr>
            <w:r>
              <w:rPr>
                <w:rFonts w:hint="eastAsia" w:ascii="仿宋_GB2312" w:hAnsi="仿宋_GB2312" w:eastAsia="仿宋_GB2312" w:cs="仿宋_GB2312"/>
                <w:b w:val="0"/>
                <w:bCs w:val="0"/>
                <w:color w:val="000000" w:themeColor="text1"/>
                <w:kern w:val="0"/>
                <w:sz w:val="20"/>
                <w:szCs w:val="20"/>
                <w14:textFill>
                  <w14:solidFill>
                    <w14:schemeClr w14:val="tx1"/>
                  </w14:solidFill>
                </w14:textFill>
              </w:rPr>
              <w:t>1</w:t>
            </w:r>
          </w:p>
        </w:tc>
        <w:tc>
          <w:tcPr>
            <w:tcW w:w="5834"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深入剖析菏泽市存在的现实问题，比如高层次人才紧缺、政策开放度不够、人才吸引力不强、人才服务保障不充分等问题，对应提出措施，着力解决引才用才中的痛点和难点，2018年3月起草《关于加强人才支撑新旧动能转换的若干政策》，2018年6月正式印发“菏泽市人才新政30条”。</w:t>
            </w:r>
          </w:p>
        </w:tc>
      </w:tr>
      <w:tr>
        <w:tblPrEx>
          <w:tblCellMar>
            <w:top w:w="0" w:type="dxa"/>
            <w:left w:w="108" w:type="dxa"/>
            <w:bottom w:w="0" w:type="dxa"/>
            <w:right w:w="108" w:type="dxa"/>
          </w:tblCellMar>
        </w:tblPrEx>
        <w:trPr>
          <w:gridAfter w:val="1"/>
          <w:wAfter w:w="776" w:type="dxa"/>
          <w:trHeight w:val="1341" w:hRule="atLeast"/>
        </w:trPr>
        <w:tc>
          <w:tcPr>
            <w:tcW w:w="9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360"/>
              <w:jc w:val="left"/>
              <w:rPr>
                <w:rFonts w:hint="eastAsia" w:ascii="仿宋_GB2312" w:hAnsi="仿宋_GB2312" w:eastAsia="仿宋_GB2312" w:cs="仿宋_GB2312"/>
                <w:b w:val="0"/>
                <w:bCs w:val="0"/>
                <w:color w:val="000000"/>
                <w:kern w:val="0"/>
                <w:sz w:val="18"/>
                <w:szCs w:val="18"/>
              </w:rPr>
            </w:pPr>
          </w:p>
        </w:tc>
        <w:tc>
          <w:tcPr>
            <w:tcW w:w="971" w:type="dxa"/>
            <w:vMerge w:val="continue"/>
            <w:tcBorders>
              <w:left w:val="single" w:color="auto" w:sz="4" w:space="0"/>
              <w:right w:val="single" w:color="auto" w:sz="4" w:space="0"/>
            </w:tcBorders>
            <w:shd w:val="clear" w:color="auto" w:fill="auto"/>
            <w:vAlign w:val="center"/>
          </w:tcPr>
          <w:p>
            <w:pPr>
              <w:widowControl/>
              <w:ind w:firstLine="360"/>
              <w:jc w:val="left"/>
              <w:rPr>
                <w:rFonts w:hint="eastAsia" w:ascii="仿宋_GB2312" w:hAnsi="仿宋_GB2312" w:eastAsia="仿宋_GB2312" w:cs="仿宋_GB2312"/>
                <w:b w:val="0"/>
                <w:bCs w:val="0"/>
                <w:color w:val="000000"/>
                <w:kern w:val="0"/>
                <w:sz w:val="18"/>
                <w:szCs w:val="18"/>
              </w:rPr>
            </w:pPr>
          </w:p>
        </w:tc>
        <w:tc>
          <w:tcPr>
            <w:tcW w:w="1381" w:type="dxa"/>
            <w:vMerge w:val="restart"/>
            <w:tcBorders>
              <w:top w:val="nil"/>
              <w:left w:val="single" w:color="auto" w:sz="4" w:space="0"/>
              <w:bottom w:val="single" w:color="000000"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1.1.2设立依据充分性</w:t>
            </w:r>
          </w:p>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（4分）</w:t>
            </w:r>
          </w:p>
        </w:tc>
        <w:tc>
          <w:tcPr>
            <w:tcW w:w="4184" w:type="dxa"/>
            <w:tcBorders>
              <w:top w:val="nil"/>
              <w:left w:val="nil"/>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该项分值1分。菏泽市人才新政30条政策符合山东省人才政策相关要求，符合菏泽市实际情况，得0.5分；菏泽市人才新政30条政策未与相关部门同类项目或部门内部相关项目重复，得0.5分。否则根据评价情况综合得分。</w:t>
            </w:r>
          </w:p>
        </w:tc>
        <w:tc>
          <w:tcPr>
            <w:tcW w:w="576" w:type="dxa"/>
            <w:tcBorders>
              <w:top w:val="nil"/>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themeColor="text1"/>
                <w:kern w:val="0"/>
                <w:sz w:val="18"/>
                <w:szCs w:val="18"/>
                <w14:textFill>
                  <w14:solidFill>
                    <w14:schemeClr w14:val="tx1"/>
                  </w14:solidFill>
                </w14:textFill>
              </w:rPr>
            </w:pPr>
            <w:r>
              <w:rPr>
                <w:rFonts w:hint="eastAsia" w:ascii="仿宋_GB2312" w:hAnsi="仿宋_GB2312" w:eastAsia="仿宋_GB2312" w:cs="仿宋_GB2312"/>
                <w:b w:val="0"/>
                <w:bCs w:val="0"/>
                <w:color w:val="000000" w:themeColor="text1"/>
                <w:kern w:val="0"/>
                <w:sz w:val="18"/>
                <w:szCs w:val="18"/>
                <w14:textFill>
                  <w14:solidFill>
                    <w14:schemeClr w14:val="tx1"/>
                  </w14:solidFill>
                </w14:textFill>
              </w:rPr>
              <w:t>1</w:t>
            </w:r>
          </w:p>
        </w:tc>
        <w:tc>
          <w:tcPr>
            <w:tcW w:w="5834" w:type="dxa"/>
            <w:tcBorders>
              <w:top w:val="nil"/>
              <w:left w:val="nil"/>
              <w:bottom w:val="single" w:color="auto" w:sz="4" w:space="0"/>
              <w:right w:val="single" w:color="auto" w:sz="4" w:space="0"/>
            </w:tcBorders>
            <w:shd w:val="clear" w:color="auto" w:fill="auto"/>
            <w:vAlign w:val="center"/>
          </w:tcPr>
          <w:p>
            <w:pPr>
              <w:widowControl/>
              <w:ind w:firstLine="0" w:firstLineChars="0"/>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菏泽市人才新政30条政策符合《关于实施“人才兴鲁”行动打造新时代人才聚集高地的若干措施》（鲁发〔2020〕2号）政策要求，结合菏泽市市级情况制定。菏泽市人才新政30条政策未与相关部门同类项目或部门内部相关项目重复。</w:t>
            </w:r>
          </w:p>
        </w:tc>
      </w:tr>
      <w:tr>
        <w:tblPrEx>
          <w:tblCellMar>
            <w:top w:w="0" w:type="dxa"/>
            <w:left w:w="108" w:type="dxa"/>
            <w:bottom w:w="0" w:type="dxa"/>
            <w:right w:w="108" w:type="dxa"/>
          </w:tblCellMar>
        </w:tblPrEx>
        <w:trPr>
          <w:gridAfter w:val="1"/>
          <w:wAfter w:w="776" w:type="dxa"/>
          <w:trHeight w:val="760" w:hRule="atLeast"/>
        </w:trPr>
        <w:tc>
          <w:tcPr>
            <w:tcW w:w="9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360"/>
              <w:jc w:val="left"/>
              <w:rPr>
                <w:rFonts w:hint="eastAsia" w:ascii="仿宋_GB2312" w:hAnsi="仿宋_GB2312" w:eastAsia="仿宋_GB2312" w:cs="仿宋_GB2312"/>
                <w:b w:val="0"/>
                <w:bCs w:val="0"/>
                <w:color w:val="000000"/>
                <w:kern w:val="0"/>
                <w:sz w:val="18"/>
                <w:szCs w:val="18"/>
              </w:rPr>
            </w:pPr>
          </w:p>
        </w:tc>
        <w:tc>
          <w:tcPr>
            <w:tcW w:w="971" w:type="dxa"/>
            <w:vMerge w:val="continue"/>
            <w:tcBorders>
              <w:left w:val="single" w:color="auto" w:sz="4" w:space="0"/>
              <w:right w:val="single" w:color="auto" w:sz="4" w:space="0"/>
            </w:tcBorders>
            <w:shd w:val="clear" w:color="auto" w:fill="auto"/>
            <w:vAlign w:val="center"/>
          </w:tcPr>
          <w:p>
            <w:pPr>
              <w:widowControl/>
              <w:ind w:firstLine="360"/>
              <w:jc w:val="left"/>
              <w:rPr>
                <w:rFonts w:hint="eastAsia" w:ascii="仿宋_GB2312" w:hAnsi="仿宋_GB2312" w:eastAsia="仿宋_GB2312" w:cs="仿宋_GB2312"/>
                <w:b w:val="0"/>
                <w:bCs w:val="0"/>
                <w:color w:val="000000"/>
                <w:kern w:val="0"/>
                <w:sz w:val="18"/>
                <w:szCs w:val="18"/>
              </w:rPr>
            </w:pPr>
          </w:p>
        </w:tc>
        <w:tc>
          <w:tcPr>
            <w:tcW w:w="1381" w:type="dxa"/>
            <w:vMerge w:val="continue"/>
            <w:tcBorders>
              <w:top w:val="nil"/>
              <w:left w:val="single" w:color="auto" w:sz="4" w:space="0"/>
              <w:bottom w:val="single" w:color="000000" w:sz="4" w:space="0"/>
              <w:right w:val="single" w:color="auto" w:sz="4" w:space="0"/>
            </w:tcBorders>
            <w:vAlign w:val="center"/>
          </w:tcPr>
          <w:p>
            <w:pPr>
              <w:widowControl/>
              <w:ind w:firstLine="360"/>
              <w:jc w:val="center"/>
              <w:rPr>
                <w:rFonts w:hint="eastAsia" w:ascii="仿宋_GB2312" w:hAnsi="仿宋_GB2312" w:eastAsia="仿宋_GB2312" w:cs="仿宋_GB2312"/>
                <w:b w:val="0"/>
                <w:bCs w:val="0"/>
                <w:color w:val="000000"/>
                <w:kern w:val="0"/>
                <w:sz w:val="18"/>
                <w:szCs w:val="18"/>
              </w:rPr>
            </w:pPr>
          </w:p>
        </w:tc>
        <w:tc>
          <w:tcPr>
            <w:tcW w:w="4184" w:type="dxa"/>
            <w:tcBorders>
              <w:top w:val="nil"/>
              <w:left w:val="nil"/>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themeColor="text1"/>
                <w:kern w:val="0"/>
                <w:sz w:val="18"/>
                <w:szCs w:val="18"/>
                <w14:textFill>
                  <w14:solidFill>
                    <w14:schemeClr w14:val="tx1"/>
                  </w14:solidFill>
                </w14:textFill>
              </w:rPr>
            </w:pPr>
            <w:r>
              <w:rPr>
                <w:rFonts w:hint="eastAsia" w:ascii="仿宋_GB2312" w:hAnsi="仿宋_GB2312" w:eastAsia="仿宋_GB2312" w:cs="仿宋_GB2312"/>
                <w:b w:val="0"/>
                <w:bCs w:val="0"/>
                <w:color w:val="000000" w:themeColor="text1"/>
                <w:kern w:val="0"/>
                <w:sz w:val="18"/>
                <w:szCs w:val="18"/>
                <w14:textFill>
                  <w14:solidFill>
                    <w14:schemeClr w14:val="tx1"/>
                  </w14:solidFill>
                </w14:textFill>
              </w:rPr>
              <w:t>该项分值3分。政策制定前经充分调研，主要是可行性研究、专家论证、风险评估、绩效评估、集体决策等得3分，否则根据前期调研的充分情况综合得分。</w:t>
            </w:r>
          </w:p>
        </w:tc>
        <w:tc>
          <w:tcPr>
            <w:tcW w:w="576" w:type="dxa"/>
            <w:tcBorders>
              <w:top w:val="nil"/>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themeColor="text1"/>
                <w:kern w:val="0"/>
                <w:sz w:val="18"/>
                <w:szCs w:val="18"/>
                <w14:textFill>
                  <w14:solidFill>
                    <w14:schemeClr w14:val="tx1"/>
                  </w14:solidFill>
                </w14:textFill>
              </w:rPr>
            </w:pPr>
            <w:r>
              <w:rPr>
                <w:rFonts w:hint="eastAsia" w:ascii="仿宋_GB2312" w:hAnsi="仿宋_GB2312" w:eastAsia="仿宋_GB2312" w:cs="仿宋_GB2312"/>
                <w:b w:val="0"/>
                <w:bCs w:val="0"/>
                <w:color w:val="000000" w:themeColor="text1"/>
                <w:kern w:val="0"/>
                <w:sz w:val="18"/>
                <w:szCs w:val="18"/>
                <w14:textFill>
                  <w14:solidFill>
                    <w14:schemeClr w14:val="tx1"/>
                  </w14:solidFill>
                </w14:textFill>
              </w:rPr>
              <w:t>1</w:t>
            </w:r>
          </w:p>
        </w:tc>
        <w:tc>
          <w:tcPr>
            <w:tcW w:w="5834" w:type="dxa"/>
            <w:tcBorders>
              <w:top w:val="nil"/>
              <w:left w:val="nil"/>
              <w:bottom w:val="single" w:color="auto" w:sz="4" w:space="0"/>
              <w:right w:val="single" w:color="auto" w:sz="4" w:space="0"/>
            </w:tcBorders>
            <w:shd w:val="clear" w:color="auto" w:fill="auto"/>
            <w:vAlign w:val="center"/>
          </w:tcPr>
          <w:p>
            <w:pPr>
              <w:widowControl/>
              <w:ind w:firstLine="0" w:firstLineChars="0"/>
              <w:rPr>
                <w:rFonts w:hint="eastAsia" w:ascii="仿宋_GB2312" w:hAnsi="仿宋_GB2312" w:eastAsia="仿宋_GB2312" w:cs="仿宋_GB2312"/>
                <w:b w:val="0"/>
                <w:bCs w:val="0"/>
                <w:color w:val="000000" w:themeColor="text1"/>
                <w:kern w:val="0"/>
                <w:sz w:val="18"/>
                <w:szCs w:val="18"/>
                <w14:textFill>
                  <w14:solidFill>
                    <w14:schemeClr w14:val="tx1"/>
                  </w14:solidFill>
                </w14:textFill>
              </w:rPr>
            </w:pPr>
            <w:r>
              <w:rPr>
                <w:rFonts w:hint="eastAsia" w:ascii="仿宋_GB2312" w:hAnsi="仿宋_GB2312" w:eastAsia="仿宋_GB2312" w:cs="仿宋_GB2312"/>
                <w:b w:val="0"/>
                <w:bCs w:val="0"/>
                <w:color w:val="000000" w:themeColor="text1"/>
                <w:kern w:val="0"/>
                <w:sz w:val="18"/>
                <w:szCs w:val="18"/>
                <w14:textFill>
                  <w14:solidFill>
                    <w14:schemeClr w14:val="tx1"/>
                  </w14:solidFill>
                </w14:textFill>
              </w:rPr>
              <w:t>提供集体决策佐证材料，未见可行性研究、专家论证、风险评估、绩效评估等其他材料，-2分。</w:t>
            </w:r>
          </w:p>
        </w:tc>
      </w:tr>
      <w:tr>
        <w:tblPrEx>
          <w:tblCellMar>
            <w:top w:w="0" w:type="dxa"/>
            <w:left w:w="108" w:type="dxa"/>
            <w:bottom w:w="0" w:type="dxa"/>
            <w:right w:w="108" w:type="dxa"/>
          </w:tblCellMar>
        </w:tblPrEx>
        <w:trPr>
          <w:gridAfter w:val="1"/>
          <w:wAfter w:w="776" w:type="dxa"/>
          <w:trHeight w:val="507" w:hRule="atLeast"/>
        </w:trPr>
        <w:tc>
          <w:tcPr>
            <w:tcW w:w="9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360"/>
              <w:jc w:val="left"/>
              <w:rPr>
                <w:rFonts w:hint="eastAsia" w:ascii="仿宋_GB2312" w:hAnsi="仿宋_GB2312" w:eastAsia="仿宋_GB2312" w:cs="仿宋_GB2312"/>
                <w:b w:val="0"/>
                <w:bCs w:val="0"/>
                <w:color w:val="000000"/>
                <w:kern w:val="0"/>
                <w:sz w:val="18"/>
                <w:szCs w:val="18"/>
              </w:rPr>
            </w:pPr>
          </w:p>
        </w:tc>
        <w:tc>
          <w:tcPr>
            <w:tcW w:w="971" w:type="dxa"/>
            <w:vMerge w:val="continue"/>
            <w:tcBorders>
              <w:left w:val="single" w:color="auto" w:sz="4" w:space="0"/>
              <w:right w:val="single" w:color="auto" w:sz="4" w:space="0"/>
            </w:tcBorders>
            <w:shd w:val="clear" w:color="auto" w:fill="auto"/>
            <w:vAlign w:val="center"/>
          </w:tcPr>
          <w:p>
            <w:pPr>
              <w:widowControl/>
              <w:ind w:firstLine="360"/>
              <w:jc w:val="left"/>
              <w:rPr>
                <w:rFonts w:hint="eastAsia" w:ascii="仿宋_GB2312" w:hAnsi="仿宋_GB2312" w:eastAsia="仿宋_GB2312" w:cs="仿宋_GB2312"/>
                <w:b w:val="0"/>
                <w:bCs w:val="0"/>
                <w:color w:val="000000"/>
                <w:kern w:val="0"/>
                <w:sz w:val="18"/>
                <w:szCs w:val="18"/>
              </w:rPr>
            </w:pPr>
          </w:p>
        </w:tc>
        <w:tc>
          <w:tcPr>
            <w:tcW w:w="1381" w:type="dxa"/>
            <w:vMerge w:val="restart"/>
            <w:tcBorders>
              <w:top w:val="nil"/>
              <w:left w:val="single" w:color="auto" w:sz="4" w:space="0"/>
              <w:bottom w:val="single" w:color="000000"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1.1.3政策保障可靠性（2分）</w:t>
            </w:r>
          </w:p>
        </w:tc>
        <w:tc>
          <w:tcPr>
            <w:tcW w:w="4184" w:type="dxa"/>
            <w:vMerge w:val="restart"/>
            <w:tcBorders>
              <w:top w:val="nil"/>
              <w:left w:val="single" w:color="auto" w:sz="4" w:space="0"/>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该项分值2分。建立健全</w:t>
            </w:r>
            <w:r>
              <w:rPr>
                <w:rFonts w:hint="eastAsia" w:ascii="仿宋_GB2312" w:hAnsi="仿宋_GB2312" w:eastAsia="仿宋_GB2312" w:cs="仿宋_GB2312"/>
                <w:b w:val="0"/>
                <w:bCs w:val="0"/>
                <w:color w:val="000000"/>
                <w:kern w:val="0"/>
                <w:sz w:val="18"/>
                <w:szCs w:val="18"/>
                <w:lang w:eastAsia="zh-CN"/>
              </w:rPr>
              <w:t>相应的</w:t>
            </w:r>
            <w:r>
              <w:rPr>
                <w:rFonts w:hint="eastAsia" w:ascii="仿宋_GB2312" w:hAnsi="仿宋_GB2312" w:eastAsia="仿宋_GB2312" w:cs="仿宋_GB2312"/>
                <w:b w:val="0"/>
                <w:bCs w:val="0"/>
                <w:color w:val="000000"/>
                <w:kern w:val="0"/>
                <w:sz w:val="18"/>
                <w:szCs w:val="18"/>
              </w:rPr>
              <w:t>实施细则或管理办法2分，否则每缺少一项扣0.5分，扣完为止。</w:t>
            </w:r>
          </w:p>
        </w:tc>
        <w:tc>
          <w:tcPr>
            <w:tcW w:w="576" w:type="dxa"/>
            <w:vMerge w:val="restart"/>
            <w:tcBorders>
              <w:top w:val="nil"/>
              <w:left w:val="single" w:color="auto" w:sz="4" w:space="0"/>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themeColor="text1"/>
                <w:kern w:val="0"/>
                <w:sz w:val="18"/>
                <w:szCs w:val="18"/>
                <w14:textFill>
                  <w14:solidFill>
                    <w14:schemeClr w14:val="tx1"/>
                  </w14:solidFill>
                </w14:textFill>
              </w:rPr>
            </w:pPr>
            <w:r>
              <w:rPr>
                <w:rFonts w:hint="eastAsia" w:ascii="仿宋_GB2312" w:hAnsi="仿宋_GB2312" w:eastAsia="仿宋_GB2312" w:cs="仿宋_GB2312"/>
                <w:b w:val="0"/>
                <w:bCs w:val="0"/>
                <w:color w:val="000000" w:themeColor="text1"/>
                <w:kern w:val="0"/>
                <w:sz w:val="18"/>
                <w:szCs w:val="18"/>
                <w14:textFill>
                  <w14:solidFill>
                    <w14:schemeClr w14:val="tx1"/>
                  </w14:solidFill>
                </w14:textFill>
              </w:rPr>
              <w:t>2</w:t>
            </w:r>
          </w:p>
        </w:tc>
        <w:tc>
          <w:tcPr>
            <w:tcW w:w="5834" w:type="dxa"/>
            <w:vMerge w:val="restart"/>
            <w:tcBorders>
              <w:top w:val="nil"/>
              <w:left w:val="single" w:color="auto" w:sz="4" w:space="0"/>
              <w:bottom w:val="single" w:color="auto" w:sz="4" w:space="0"/>
              <w:right w:val="single" w:color="auto" w:sz="4" w:space="0"/>
            </w:tcBorders>
            <w:shd w:val="clear" w:color="auto" w:fill="auto"/>
            <w:vAlign w:val="center"/>
          </w:tcPr>
          <w:p>
            <w:pPr>
              <w:widowControl/>
              <w:ind w:firstLine="0" w:firstLineChars="0"/>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制定《菏泽市人才工作手册》，相关配套政策和措施共计33条。</w:t>
            </w:r>
          </w:p>
        </w:tc>
      </w:tr>
      <w:tr>
        <w:tblPrEx>
          <w:tblCellMar>
            <w:top w:w="0" w:type="dxa"/>
            <w:left w:w="108" w:type="dxa"/>
            <w:bottom w:w="0" w:type="dxa"/>
            <w:right w:w="108" w:type="dxa"/>
          </w:tblCellMar>
        </w:tblPrEx>
        <w:trPr>
          <w:trHeight w:val="71" w:hRule="atLeast"/>
        </w:trPr>
        <w:tc>
          <w:tcPr>
            <w:tcW w:w="9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360"/>
              <w:jc w:val="left"/>
              <w:rPr>
                <w:rFonts w:hint="eastAsia" w:ascii="仿宋_GB2312" w:hAnsi="仿宋_GB2312" w:eastAsia="仿宋_GB2312" w:cs="仿宋_GB2312"/>
                <w:b w:val="0"/>
                <w:bCs w:val="0"/>
                <w:color w:val="000000"/>
                <w:kern w:val="0"/>
                <w:sz w:val="18"/>
                <w:szCs w:val="18"/>
              </w:rPr>
            </w:pPr>
          </w:p>
        </w:tc>
        <w:tc>
          <w:tcPr>
            <w:tcW w:w="971" w:type="dxa"/>
            <w:vMerge w:val="continue"/>
            <w:tcBorders>
              <w:left w:val="single" w:color="auto" w:sz="4" w:space="0"/>
              <w:bottom w:val="single" w:color="000000" w:sz="4" w:space="0"/>
              <w:right w:val="single" w:color="auto" w:sz="4" w:space="0"/>
            </w:tcBorders>
            <w:shd w:val="clear" w:color="auto" w:fill="auto"/>
            <w:vAlign w:val="center"/>
          </w:tcPr>
          <w:p>
            <w:pPr>
              <w:widowControl/>
              <w:ind w:firstLine="360"/>
              <w:jc w:val="left"/>
              <w:rPr>
                <w:rFonts w:hint="eastAsia" w:ascii="仿宋_GB2312" w:hAnsi="仿宋_GB2312" w:eastAsia="仿宋_GB2312" w:cs="仿宋_GB2312"/>
                <w:b w:val="0"/>
                <w:bCs w:val="0"/>
                <w:color w:val="000000"/>
                <w:kern w:val="0"/>
                <w:sz w:val="18"/>
                <w:szCs w:val="18"/>
              </w:rPr>
            </w:pPr>
          </w:p>
        </w:tc>
        <w:tc>
          <w:tcPr>
            <w:tcW w:w="1381" w:type="dxa"/>
            <w:vMerge w:val="continue"/>
            <w:tcBorders>
              <w:top w:val="nil"/>
              <w:left w:val="single" w:color="auto" w:sz="4" w:space="0"/>
              <w:bottom w:val="single" w:color="000000" w:sz="4" w:space="0"/>
              <w:right w:val="single" w:color="auto" w:sz="4" w:space="0"/>
            </w:tcBorders>
            <w:vAlign w:val="center"/>
          </w:tcPr>
          <w:p>
            <w:pPr>
              <w:widowControl/>
              <w:ind w:firstLine="360"/>
              <w:jc w:val="left"/>
              <w:rPr>
                <w:rFonts w:hint="eastAsia" w:ascii="仿宋_GB2312" w:hAnsi="仿宋_GB2312" w:eastAsia="仿宋_GB2312" w:cs="仿宋_GB2312"/>
                <w:b w:val="0"/>
                <w:bCs w:val="0"/>
                <w:color w:val="000000"/>
                <w:kern w:val="0"/>
                <w:sz w:val="18"/>
                <w:szCs w:val="18"/>
              </w:rPr>
            </w:pPr>
          </w:p>
        </w:tc>
        <w:tc>
          <w:tcPr>
            <w:tcW w:w="4184" w:type="dxa"/>
            <w:vMerge w:val="continue"/>
            <w:tcBorders>
              <w:top w:val="nil"/>
              <w:left w:val="single" w:color="auto" w:sz="4" w:space="0"/>
              <w:bottom w:val="single" w:color="auto" w:sz="4" w:space="0"/>
              <w:right w:val="single" w:color="auto" w:sz="4" w:space="0"/>
            </w:tcBorders>
            <w:vAlign w:val="center"/>
          </w:tcPr>
          <w:p>
            <w:pPr>
              <w:widowControl/>
              <w:ind w:firstLine="360"/>
              <w:jc w:val="left"/>
              <w:rPr>
                <w:rFonts w:hint="eastAsia" w:ascii="仿宋_GB2312" w:hAnsi="仿宋_GB2312" w:eastAsia="仿宋_GB2312" w:cs="仿宋_GB2312"/>
                <w:b w:val="0"/>
                <w:bCs w:val="0"/>
                <w:color w:val="000000"/>
                <w:kern w:val="0"/>
                <w:sz w:val="18"/>
                <w:szCs w:val="18"/>
              </w:rPr>
            </w:pPr>
          </w:p>
        </w:tc>
        <w:tc>
          <w:tcPr>
            <w:tcW w:w="576" w:type="dxa"/>
            <w:vMerge w:val="continue"/>
            <w:tcBorders>
              <w:top w:val="nil"/>
              <w:left w:val="single" w:color="auto" w:sz="4" w:space="0"/>
              <w:bottom w:val="single" w:color="auto" w:sz="4" w:space="0"/>
              <w:right w:val="single" w:color="auto" w:sz="4" w:space="0"/>
            </w:tcBorders>
            <w:vAlign w:val="center"/>
          </w:tcPr>
          <w:p>
            <w:pPr>
              <w:widowControl/>
              <w:ind w:firstLine="360"/>
              <w:jc w:val="left"/>
              <w:rPr>
                <w:rFonts w:hint="eastAsia" w:ascii="仿宋_GB2312" w:hAnsi="仿宋_GB2312" w:eastAsia="仿宋_GB2312" w:cs="仿宋_GB2312"/>
                <w:b w:val="0"/>
                <w:bCs w:val="0"/>
                <w:color w:val="000000" w:themeColor="text1"/>
                <w:kern w:val="0"/>
                <w:sz w:val="18"/>
                <w:szCs w:val="18"/>
                <w14:textFill>
                  <w14:solidFill>
                    <w14:schemeClr w14:val="tx1"/>
                  </w14:solidFill>
                </w14:textFill>
              </w:rPr>
            </w:pPr>
          </w:p>
        </w:tc>
        <w:tc>
          <w:tcPr>
            <w:tcW w:w="5834" w:type="dxa"/>
            <w:vMerge w:val="continue"/>
            <w:tcBorders>
              <w:top w:val="nil"/>
              <w:left w:val="single" w:color="auto" w:sz="4" w:space="0"/>
              <w:bottom w:val="single" w:color="auto" w:sz="4" w:space="0"/>
              <w:right w:val="single" w:color="auto" w:sz="4" w:space="0"/>
            </w:tcBorders>
            <w:vAlign w:val="center"/>
          </w:tcPr>
          <w:p>
            <w:pPr>
              <w:widowControl/>
              <w:ind w:firstLine="360"/>
              <w:jc w:val="left"/>
              <w:rPr>
                <w:rFonts w:hint="eastAsia" w:ascii="仿宋_GB2312" w:hAnsi="仿宋_GB2312" w:eastAsia="仿宋_GB2312" w:cs="仿宋_GB2312"/>
                <w:b w:val="0"/>
                <w:bCs w:val="0"/>
                <w:color w:val="000000"/>
                <w:kern w:val="0"/>
                <w:sz w:val="18"/>
                <w:szCs w:val="18"/>
              </w:rPr>
            </w:pPr>
          </w:p>
        </w:tc>
        <w:tc>
          <w:tcPr>
            <w:tcW w:w="776" w:type="dxa"/>
            <w:tcBorders>
              <w:top w:val="nil"/>
              <w:left w:val="nil"/>
              <w:bottom w:val="nil"/>
              <w:right w:val="nil"/>
            </w:tcBorders>
            <w:shd w:val="clear" w:color="auto" w:fill="auto"/>
            <w:noWrap/>
            <w:vAlign w:val="bottom"/>
          </w:tcPr>
          <w:p>
            <w:pPr>
              <w:widowControl/>
              <w:ind w:firstLine="360"/>
              <w:jc w:val="center"/>
              <w:rPr>
                <w:rFonts w:hint="eastAsia" w:ascii="仿宋_GB2312" w:hAnsi="仿宋_GB2312" w:eastAsia="仿宋_GB2312" w:cs="仿宋_GB2312"/>
                <w:b w:val="0"/>
                <w:bCs w:val="0"/>
                <w:color w:val="000000"/>
                <w:kern w:val="0"/>
                <w:sz w:val="18"/>
                <w:szCs w:val="18"/>
              </w:rPr>
            </w:pPr>
          </w:p>
        </w:tc>
      </w:tr>
      <w:tr>
        <w:tblPrEx>
          <w:tblCellMar>
            <w:top w:w="0" w:type="dxa"/>
            <w:left w:w="108" w:type="dxa"/>
            <w:bottom w:w="0" w:type="dxa"/>
            <w:right w:w="108" w:type="dxa"/>
          </w:tblCellMar>
        </w:tblPrEx>
        <w:trPr>
          <w:trHeight w:val="1183" w:hRule="atLeast"/>
        </w:trPr>
        <w:tc>
          <w:tcPr>
            <w:tcW w:w="9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p>
        </w:tc>
        <w:tc>
          <w:tcPr>
            <w:tcW w:w="971" w:type="dxa"/>
            <w:vMerge w:val="restart"/>
            <w:tcBorders>
              <w:top w:val="nil"/>
              <w:left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1.1政策设立</w:t>
            </w:r>
          </w:p>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（9分）</w:t>
            </w:r>
          </w:p>
        </w:tc>
        <w:tc>
          <w:tcPr>
            <w:tcW w:w="1381" w:type="dxa"/>
            <w:vMerge w:val="restart"/>
            <w:tcBorders>
              <w:top w:val="nil"/>
              <w:left w:val="single" w:color="auto" w:sz="4" w:space="0"/>
              <w:bottom w:val="single" w:color="000000"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1.1.4程序合规性</w:t>
            </w:r>
          </w:p>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（2分）</w:t>
            </w:r>
          </w:p>
        </w:tc>
        <w:tc>
          <w:tcPr>
            <w:tcW w:w="4184" w:type="dxa"/>
            <w:tcBorders>
              <w:top w:val="nil"/>
              <w:left w:val="nil"/>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该项分值1分。菏泽市人才新政30条政策按照规定的程序申请设立，程序规范，资料完善，得1分，否则每一项不够规范或完善扣0.5分，扣完为止。</w:t>
            </w:r>
          </w:p>
        </w:tc>
        <w:tc>
          <w:tcPr>
            <w:tcW w:w="576" w:type="dxa"/>
            <w:tcBorders>
              <w:top w:val="nil"/>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themeColor="text1"/>
                <w:kern w:val="0"/>
                <w:sz w:val="18"/>
                <w:szCs w:val="18"/>
                <w14:textFill>
                  <w14:solidFill>
                    <w14:schemeClr w14:val="tx1"/>
                  </w14:solidFill>
                </w14:textFill>
              </w:rPr>
            </w:pPr>
            <w:r>
              <w:rPr>
                <w:rFonts w:hint="eastAsia" w:ascii="仿宋_GB2312" w:hAnsi="仿宋_GB2312" w:eastAsia="仿宋_GB2312" w:cs="仿宋_GB2312"/>
                <w:b w:val="0"/>
                <w:bCs w:val="0"/>
                <w:color w:val="000000" w:themeColor="text1"/>
                <w:kern w:val="0"/>
                <w:sz w:val="18"/>
                <w:szCs w:val="18"/>
                <w14:textFill>
                  <w14:solidFill>
                    <w14:schemeClr w14:val="tx1"/>
                  </w14:solidFill>
                </w14:textFill>
              </w:rPr>
              <w:t>1</w:t>
            </w:r>
          </w:p>
        </w:tc>
        <w:tc>
          <w:tcPr>
            <w:tcW w:w="5834" w:type="dxa"/>
            <w:tcBorders>
              <w:top w:val="nil"/>
              <w:left w:val="nil"/>
              <w:bottom w:val="single" w:color="auto" w:sz="4" w:space="0"/>
              <w:right w:val="single" w:color="auto" w:sz="4" w:space="0"/>
            </w:tcBorders>
            <w:shd w:val="clear" w:color="auto" w:fill="auto"/>
            <w:vAlign w:val="center"/>
          </w:tcPr>
          <w:p>
            <w:pPr>
              <w:widowControl/>
              <w:ind w:firstLine="0" w:firstLineChars="0"/>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2018年3月上旬，市委组织部牵头，成立政策研究起草小组，认真开展政策调研和起草工作，于3月下旬形成政策初稿，交起草小组各成员单位研究论证，进一步修改后又分别于3月28日、4月3日、4月10日召集市直有关部门、部分县区、部分用人单位集中讨论，听取各方面意见，形成《征求意见稿》。4月18日，市委组织部县级以上干部对《征求意见稿》进行了研究讨论，修改完善后提交市深改组审议，于2018年6月7日以文件形式印发。</w:t>
            </w:r>
          </w:p>
        </w:tc>
        <w:tc>
          <w:tcPr>
            <w:tcW w:w="776" w:type="dxa"/>
            <w:vAlign w:val="center"/>
          </w:tcPr>
          <w:p>
            <w:pPr>
              <w:widowControl/>
              <w:ind w:firstLine="400"/>
              <w:jc w:val="left"/>
              <w:rPr>
                <w:rFonts w:hint="eastAsia" w:ascii="仿宋_GB2312" w:hAnsi="仿宋_GB2312" w:eastAsia="仿宋_GB2312" w:cs="仿宋_GB2312"/>
                <w:b w:val="0"/>
                <w:bCs w:val="0"/>
                <w:kern w:val="0"/>
                <w:sz w:val="20"/>
                <w:szCs w:val="20"/>
              </w:rPr>
            </w:pPr>
          </w:p>
        </w:tc>
      </w:tr>
      <w:tr>
        <w:tblPrEx>
          <w:tblCellMar>
            <w:top w:w="0" w:type="dxa"/>
            <w:left w:w="108" w:type="dxa"/>
            <w:bottom w:w="0" w:type="dxa"/>
            <w:right w:w="108" w:type="dxa"/>
          </w:tblCellMar>
        </w:tblPrEx>
        <w:trPr>
          <w:trHeight w:val="364" w:hRule="atLeast"/>
        </w:trPr>
        <w:tc>
          <w:tcPr>
            <w:tcW w:w="9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360"/>
              <w:jc w:val="left"/>
              <w:rPr>
                <w:rFonts w:hint="eastAsia" w:ascii="仿宋_GB2312" w:hAnsi="仿宋_GB2312" w:eastAsia="仿宋_GB2312" w:cs="仿宋_GB2312"/>
                <w:b w:val="0"/>
                <w:bCs w:val="0"/>
                <w:color w:val="000000"/>
                <w:kern w:val="0"/>
                <w:sz w:val="18"/>
                <w:szCs w:val="18"/>
              </w:rPr>
            </w:pPr>
          </w:p>
        </w:tc>
        <w:tc>
          <w:tcPr>
            <w:tcW w:w="971" w:type="dxa"/>
            <w:vMerge w:val="continue"/>
            <w:tcBorders>
              <w:left w:val="single" w:color="auto" w:sz="4" w:space="0"/>
              <w:bottom w:val="single" w:color="000000" w:sz="4" w:space="0"/>
              <w:right w:val="single" w:color="auto" w:sz="4" w:space="0"/>
            </w:tcBorders>
            <w:shd w:val="clear" w:color="auto" w:fill="auto"/>
            <w:vAlign w:val="center"/>
          </w:tcPr>
          <w:p>
            <w:pPr>
              <w:widowControl/>
              <w:ind w:firstLine="360"/>
              <w:jc w:val="left"/>
              <w:rPr>
                <w:rFonts w:hint="eastAsia" w:ascii="仿宋_GB2312" w:hAnsi="仿宋_GB2312" w:eastAsia="仿宋_GB2312" w:cs="仿宋_GB2312"/>
                <w:b w:val="0"/>
                <w:bCs w:val="0"/>
                <w:color w:val="000000"/>
                <w:kern w:val="0"/>
                <w:sz w:val="18"/>
                <w:szCs w:val="18"/>
              </w:rPr>
            </w:pPr>
          </w:p>
        </w:tc>
        <w:tc>
          <w:tcPr>
            <w:tcW w:w="1381" w:type="dxa"/>
            <w:vMerge w:val="continue"/>
            <w:tcBorders>
              <w:top w:val="nil"/>
              <w:left w:val="single" w:color="auto" w:sz="4" w:space="0"/>
              <w:bottom w:val="single" w:color="000000" w:sz="4" w:space="0"/>
              <w:right w:val="single" w:color="auto" w:sz="4" w:space="0"/>
            </w:tcBorders>
            <w:vAlign w:val="center"/>
          </w:tcPr>
          <w:p>
            <w:pPr>
              <w:widowControl/>
              <w:ind w:firstLine="360"/>
              <w:jc w:val="center"/>
              <w:rPr>
                <w:rFonts w:hint="eastAsia" w:ascii="仿宋_GB2312" w:hAnsi="仿宋_GB2312" w:eastAsia="仿宋_GB2312" w:cs="仿宋_GB2312"/>
                <w:b w:val="0"/>
                <w:bCs w:val="0"/>
                <w:color w:val="000000"/>
                <w:kern w:val="0"/>
                <w:sz w:val="18"/>
                <w:szCs w:val="18"/>
              </w:rPr>
            </w:pPr>
          </w:p>
        </w:tc>
        <w:tc>
          <w:tcPr>
            <w:tcW w:w="4184" w:type="dxa"/>
            <w:tcBorders>
              <w:top w:val="nil"/>
              <w:left w:val="nil"/>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该项分值1分。政策的修改调整按照规定的程序进行得1分，否则每一项不够规范或完善扣0.5分，扣完为止。</w:t>
            </w:r>
          </w:p>
        </w:tc>
        <w:tc>
          <w:tcPr>
            <w:tcW w:w="576" w:type="dxa"/>
            <w:tcBorders>
              <w:top w:val="nil"/>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themeColor="text1"/>
                <w:kern w:val="0"/>
                <w:sz w:val="18"/>
                <w:szCs w:val="18"/>
                <w14:textFill>
                  <w14:solidFill>
                    <w14:schemeClr w14:val="tx1"/>
                  </w14:solidFill>
                </w14:textFill>
              </w:rPr>
            </w:pPr>
            <w:r>
              <w:rPr>
                <w:rFonts w:hint="eastAsia" w:ascii="仿宋_GB2312" w:hAnsi="仿宋_GB2312" w:eastAsia="仿宋_GB2312" w:cs="仿宋_GB2312"/>
                <w:b w:val="0"/>
                <w:bCs w:val="0"/>
                <w:color w:val="000000" w:themeColor="text1"/>
                <w:kern w:val="0"/>
                <w:sz w:val="18"/>
                <w:szCs w:val="18"/>
                <w14:textFill>
                  <w14:solidFill>
                    <w14:schemeClr w14:val="tx1"/>
                  </w14:solidFill>
                </w14:textFill>
              </w:rPr>
              <w:t>1</w:t>
            </w:r>
          </w:p>
        </w:tc>
        <w:tc>
          <w:tcPr>
            <w:tcW w:w="5834" w:type="dxa"/>
            <w:tcBorders>
              <w:top w:val="nil"/>
              <w:left w:val="nil"/>
              <w:bottom w:val="single" w:color="auto" w:sz="4" w:space="0"/>
              <w:right w:val="single" w:color="auto" w:sz="4" w:space="0"/>
            </w:tcBorders>
            <w:shd w:val="clear" w:color="auto" w:fill="auto"/>
            <w:vAlign w:val="center"/>
          </w:tcPr>
          <w:p>
            <w:pPr>
              <w:widowControl/>
              <w:ind w:firstLine="0" w:firstLineChars="0"/>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政策的修改调整由人才办等相关部门启动政策起草工作，形成初稿后，首先向各县区和市直有关单位征求意见，再次征求省委组织部人才处意见，并根据其反馈做了调整。调整后再次征求市人才工作领导小组各成员单位意见，各单位最终确认反馈后，报</w:t>
            </w:r>
            <w:r>
              <w:rPr>
                <w:rFonts w:hint="eastAsia" w:ascii="仿宋_GB2312" w:hAnsi="仿宋_GB2312" w:eastAsia="仿宋_GB2312" w:cs="仿宋_GB2312"/>
                <w:b w:val="0"/>
                <w:bCs w:val="0"/>
                <w:color w:val="000000"/>
                <w:kern w:val="0"/>
                <w:sz w:val="18"/>
                <w:szCs w:val="18"/>
                <w:lang w:eastAsia="zh-CN"/>
              </w:rPr>
              <w:t>市委、市政府</w:t>
            </w:r>
            <w:r>
              <w:rPr>
                <w:rFonts w:hint="eastAsia" w:ascii="仿宋_GB2312" w:hAnsi="仿宋_GB2312" w:eastAsia="仿宋_GB2312" w:cs="仿宋_GB2312"/>
                <w:b w:val="0"/>
                <w:bCs w:val="0"/>
                <w:color w:val="000000"/>
                <w:kern w:val="0"/>
                <w:sz w:val="18"/>
                <w:szCs w:val="18"/>
              </w:rPr>
              <w:t>同意后以文件形式印发。</w:t>
            </w:r>
          </w:p>
        </w:tc>
        <w:tc>
          <w:tcPr>
            <w:tcW w:w="776" w:type="dxa"/>
            <w:vAlign w:val="center"/>
          </w:tcPr>
          <w:p>
            <w:pPr>
              <w:widowControl/>
              <w:ind w:firstLine="400"/>
              <w:jc w:val="left"/>
              <w:rPr>
                <w:rFonts w:hint="eastAsia" w:ascii="仿宋_GB2312" w:hAnsi="仿宋_GB2312" w:eastAsia="仿宋_GB2312" w:cs="仿宋_GB2312"/>
                <w:b w:val="0"/>
                <w:bCs w:val="0"/>
                <w:kern w:val="0"/>
                <w:sz w:val="20"/>
                <w:szCs w:val="20"/>
              </w:rPr>
            </w:pPr>
          </w:p>
        </w:tc>
      </w:tr>
      <w:tr>
        <w:tblPrEx>
          <w:tblCellMar>
            <w:top w:w="0" w:type="dxa"/>
            <w:left w:w="108" w:type="dxa"/>
            <w:bottom w:w="0" w:type="dxa"/>
            <w:right w:w="108" w:type="dxa"/>
          </w:tblCellMar>
        </w:tblPrEx>
        <w:trPr>
          <w:trHeight w:val="1073" w:hRule="atLeast"/>
        </w:trPr>
        <w:tc>
          <w:tcPr>
            <w:tcW w:w="939" w:type="dxa"/>
            <w:vMerge w:val="restart"/>
            <w:tcBorders>
              <w:top w:val="single" w:color="auto" w:sz="4" w:space="0"/>
              <w:left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续上页</w:t>
            </w:r>
          </w:p>
        </w:tc>
        <w:tc>
          <w:tcPr>
            <w:tcW w:w="971" w:type="dxa"/>
            <w:vMerge w:val="restart"/>
            <w:tcBorders>
              <w:top w:val="nil"/>
              <w:left w:val="single" w:color="auto" w:sz="4" w:space="0"/>
              <w:bottom w:val="single" w:color="000000"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1.2政策质量</w:t>
            </w:r>
          </w:p>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（6分）</w:t>
            </w:r>
          </w:p>
        </w:tc>
        <w:tc>
          <w:tcPr>
            <w:tcW w:w="1381" w:type="dxa"/>
            <w:tcBorders>
              <w:top w:val="nil"/>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1.2.1政策目标合理性</w:t>
            </w:r>
          </w:p>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（2分）</w:t>
            </w:r>
          </w:p>
        </w:tc>
        <w:tc>
          <w:tcPr>
            <w:tcW w:w="4184" w:type="dxa"/>
            <w:tcBorders>
              <w:top w:val="nil"/>
              <w:left w:val="nil"/>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该项分值2分。该项政策符合国家和山东省相关政策要求并制定了目标得1分，绩效目标符合政策设立背景与现实需求得1分，若未制定政策绩效目标，且其他相关方案、计划等无绩效目标可参考内容，该项二级指标不得分。</w:t>
            </w:r>
          </w:p>
        </w:tc>
        <w:tc>
          <w:tcPr>
            <w:tcW w:w="576" w:type="dxa"/>
            <w:tcBorders>
              <w:top w:val="nil"/>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themeColor="text1"/>
                <w:kern w:val="0"/>
                <w:sz w:val="18"/>
                <w:szCs w:val="18"/>
                <w14:textFill>
                  <w14:solidFill>
                    <w14:schemeClr w14:val="tx1"/>
                  </w14:solidFill>
                </w14:textFill>
              </w:rPr>
            </w:pPr>
            <w:r>
              <w:rPr>
                <w:rFonts w:hint="eastAsia" w:ascii="仿宋_GB2312" w:hAnsi="仿宋_GB2312" w:eastAsia="仿宋_GB2312" w:cs="仿宋_GB2312"/>
                <w:b w:val="0"/>
                <w:bCs w:val="0"/>
                <w:color w:val="000000" w:themeColor="text1"/>
                <w:kern w:val="0"/>
                <w:sz w:val="18"/>
                <w:szCs w:val="18"/>
                <w14:textFill>
                  <w14:solidFill>
                    <w14:schemeClr w14:val="tx1"/>
                  </w14:solidFill>
                </w14:textFill>
              </w:rPr>
              <w:t>2</w:t>
            </w:r>
          </w:p>
        </w:tc>
        <w:tc>
          <w:tcPr>
            <w:tcW w:w="5834" w:type="dxa"/>
            <w:tcBorders>
              <w:top w:val="nil"/>
              <w:left w:val="nil"/>
              <w:bottom w:val="single" w:color="auto" w:sz="4" w:space="0"/>
              <w:right w:val="single" w:color="auto" w:sz="4" w:space="0"/>
            </w:tcBorders>
            <w:shd w:val="clear" w:color="auto" w:fill="auto"/>
            <w:vAlign w:val="center"/>
          </w:tcPr>
          <w:p>
            <w:pPr>
              <w:widowControl/>
              <w:ind w:firstLine="0" w:firstLineChars="0"/>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符合国家和山东省相关政策要求并设立政策目标，目标符合菏泽现实需求。</w:t>
            </w:r>
          </w:p>
        </w:tc>
        <w:tc>
          <w:tcPr>
            <w:tcW w:w="776" w:type="dxa"/>
            <w:vAlign w:val="center"/>
          </w:tcPr>
          <w:p>
            <w:pPr>
              <w:widowControl/>
              <w:ind w:firstLine="400"/>
              <w:jc w:val="left"/>
              <w:rPr>
                <w:rFonts w:hint="eastAsia" w:ascii="仿宋_GB2312" w:hAnsi="仿宋_GB2312" w:eastAsia="仿宋_GB2312" w:cs="仿宋_GB2312"/>
                <w:b w:val="0"/>
                <w:bCs w:val="0"/>
                <w:kern w:val="0"/>
                <w:sz w:val="20"/>
                <w:szCs w:val="20"/>
              </w:rPr>
            </w:pPr>
          </w:p>
        </w:tc>
      </w:tr>
      <w:tr>
        <w:tblPrEx>
          <w:tblCellMar>
            <w:top w:w="0" w:type="dxa"/>
            <w:left w:w="108" w:type="dxa"/>
            <w:bottom w:w="0" w:type="dxa"/>
            <w:right w:w="108" w:type="dxa"/>
          </w:tblCellMar>
        </w:tblPrEx>
        <w:trPr>
          <w:trHeight w:val="1869" w:hRule="atLeast"/>
        </w:trPr>
        <w:tc>
          <w:tcPr>
            <w:tcW w:w="939" w:type="dxa"/>
            <w:vMerge w:val="continue"/>
            <w:tcBorders>
              <w:left w:val="single" w:color="auto" w:sz="4" w:space="0"/>
              <w:right w:val="single" w:color="auto" w:sz="4" w:space="0"/>
            </w:tcBorders>
            <w:shd w:val="clear" w:color="auto" w:fill="auto"/>
            <w:vAlign w:val="center"/>
          </w:tcPr>
          <w:p>
            <w:pPr>
              <w:widowControl/>
              <w:ind w:firstLine="360"/>
              <w:jc w:val="left"/>
              <w:rPr>
                <w:rFonts w:hint="eastAsia" w:ascii="仿宋_GB2312" w:hAnsi="仿宋_GB2312" w:eastAsia="仿宋_GB2312" w:cs="仿宋_GB2312"/>
                <w:b w:val="0"/>
                <w:bCs w:val="0"/>
                <w:color w:val="000000"/>
                <w:kern w:val="0"/>
                <w:sz w:val="18"/>
                <w:szCs w:val="18"/>
              </w:rPr>
            </w:pPr>
          </w:p>
        </w:tc>
        <w:tc>
          <w:tcPr>
            <w:tcW w:w="971" w:type="dxa"/>
            <w:vMerge w:val="continue"/>
            <w:tcBorders>
              <w:top w:val="nil"/>
              <w:left w:val="single" w:color="auto" w:sz="4" w:space="0"/>
              <w:bottom w:val="single" w:color="000000" w:sz="4" w:space="0"/>
              <w:right w:val="single" w:color="auto" w:sz="4" w:space="0"/>
            </w:tcBorders>
            <w:vAlign w:val="center"/>
          </w:tcPr>
          <w:p>
            <w:pPr>
              <w:widowControl/>
              <w:ind w:firstLine="360"/>
              <w:jc w:val="left"/>
              <w:rPr>
                <w:rFonts w:hint="eastAsia" w:ascii="仿宋_GB2312" w:hAnsi="仿宋_GB2312" w:eastAsia="仿宋_GB2312" w:cs="仿宋_GB2312"/>
                <w:b w:val="0"/>
                <w:bCs w:val="0"/>
                <w:color w:val="000000"/>
                <w:kern w:val="0"/>
                <w:sz w:val="18"/>
                <w:szCs w:val="18"/>
              </w:rPr>
            </w:pPr>
          </w:p>
        </w:tc>
        <w:tc>
          <w:tcPr>
            <w:tcW w:w="1381" w:type="dxa"/>
            <w:tcBorders>
              <w:top w:val="nil"/>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1.2.2政策指标明确性</w:t>
            </w:r>
          </w:p>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（2分）</w:t>
            </w:r>
          </w:p>
        </w:tc>
        <w:tc>
          <w:tcPr>
            <w:tcW w:w="4184" w:type="dxa"/>
            <w:tcBorders>
              <w:top w:val="nil"/>
              <w:left w:val="nil"/>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该项分值2分。</w:t>
            </w:r>
            <w:r>
              <w:rPr>
                <w:rFonts w:hint="eastAsia" w:ascii="仿宋_GB2312" w:hAnsi="仿宋_GB2312" w:eastAsia="仿宋_GB2312" w:cs="仿宋_GB2312"/>
                <w:b w:val="0"/>
                <w:bCs w:val="0"/>
                <w:color w:val="000000"/>
                <w:kern w:val="0"/>
                <w:sz w:val="18"/>
                <w:szCs w:val="18"/>
              </w:rPr>
              <w:br w:type="textWrapping"/>
            </w:r>
            <w:r>
              <w:rPr>
                <w:rFonts w:hint="eastAsia" w:ascii="仿宋_GB2312" w:hAnsi="仿宋_GB2312" w:eastAsia="仿宋_GB2312" w:cs="仿宋_GB2312"/>
                <w:b w:val="0"/>
                <w:bCs w:val="0"/>
                <w:color w:val="000000"/>
                <w:kern w:val="0"/>
                <w:sz w:val="18"/>
                <w:szCs w:val="18"/>
              </w:rPr>
              <w:t>1.该项分值1分。政策目标在产出、效果等方面设置了细化的指标，指标内容清晰合理，得1分，否则每一项不细化扣减0.2分，扣完为止。2.该项分值1分。政策绩效目标通过清晰、可衡量的指标值予以体现，得1分，否则每有一项不清晰、不可衡量扣0.2分，扣完为止。</w:t>
            </w:r>
          </w:p>
        </w:tc>
        <w:tc>
          <w:tcPr>
            <w:tcW w:w="576" w:type="dxa"/>
            <w:tcBorders>
              <w:top w:val="nil"/>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themeColor="text1"/>
                <w:kern w:val="0"/>
                <w:sz w:val="18"/>
                <w:szCs w:val="18"/>
                <w14:textFill>
                  <w14:solidFill>
                    <w14:schemeClr w14:val="tx1"/>
                  </w14:solidFill>
                </w14:textFill>
              </w:rPr>
            </w:pPr>
            <w:r>
              <w:rPr>
                <w:rFonts w:hint="eastAsia" w:ascii="仿宋_GB2312" w:hAnsi="仿宋_GB2312" w:eastAsia="仿宋_GB2312" w:cs="仿宋_GB2312"/>
                <w:b w:val="0"/>
                <w:bCs w:val="0"/>
                <w:color w:val="000000" w:themeColor="text1"/>
                <w:kern w:val="0"/>
                <w:sz w:val="18"/>
                <w:szCs w:val="18"/>
                <w14:textFill>
                  <w14:solidFill>
                    <w14:schemeClr w14:val="tx1"/>
                  </w14:solidFill>
                </w14:textFill>
              </w:rPr>
              <w:t>2</w:t>
            </w:r>
          </w:p>
        </w:tc>
        <w:tc>
          <w:tcPr>
            <w:tcW w:w="5834" w:type="dxa"/>
            <w:tcBorders>
              <w:top w:val="nil"/>
              <w:left w:val="nil"/>
              <w:bottom w:val="single" w:color="auto" w:sz="4" w:space="0"/>
              <w:right w:val="single" w:color="auto" w:sz="4" w:space="0"/>
            </w:tcBorders>
            <w:shd w:val="clear" w:color="auto" w:fill="auto"/>
            <w:vAlign w:val="center"/>
          </w:tcPr>
          <w:p>
            <w:pPr>
              <w:widowControl/>
              <w:ind w:firstLine="0" w:firstLineChars="0"/>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设立产出、效益目标，有可</w:t>
            </w:r>
            <w:r>
              <w:rPr>
                <w:rFonts w:hint="eastAsia" w:ascii="仿宋_GB2312" w:hAnsi="仿宋_GB2312" w:eastAsia="仿宋_GB2312" w:cs="仿宋_GB2312"/>
                <w:b w:val="0"/>
                <w:bCs w:val="0"/>
                <w:color w:val="000000"/>
                <w:kern w:val="0"/>
                <w:sz w:val="18"/>
                <w:szCs w:val="18"/>
                <w:lang w:eastAsia="zh-CN"/>
              </w:rPr>
              <w:t>衡量的指标</w:t>
            </w:r>
            <w:r>
              <w:rPr>
                <w:rFonts w:hint="eastAsia" w:ascii="仿宋_GB2312" w:hAnsi="仿宋_GB2312" w:eastAsia="仿宋_GB2312" w:cs="仿宋_GB2312"/>
                <w:b w:val="0"/>
                <w:bCs w:val="0"/>
                <w:color w:val="000000"/>
                <w:kern w:val="0"/>
                <w:sz w:val="18"/>
                <w:szCs w:val="18"/>
              </w:rPr>
              <w:t>值。</w:t>
            </w:r>
          </w:p>
        </w:tc>
        <w:tc>
          <w:tcPr>
            <w:tcW w:w="776" w:type="dxa"/>
            <w:vAlign w:val="center"/>
          </w:tcPr>
          <w:p>
            <w:pPr>
              <w:widowControl/>
              <w:ind w:firstLine="400"/>
              <w:jc w:val="left"/>
              <w:rPr>
                <w:rFonts w:hint="eastAsia" w:ascii="仿宋_GB2312" w:hAnsi="仿宋_GB2312" w:eastAsia="仿宋_GB2312" w:cs="仿宋_GB2312"/>
                <w:b w:val="0"/>
                <w:bCs w:val="0"/>
                <w:kern w:val="0"/>
                <w:sz w:val="20"/>
                <w:szCs w:val="20"/>
              </w:rPr>
            </w:pPr>
          </w:p>
        </w:tc>
      </w:tr>
      <w:tr>
        <w:tblPrEx>
          <w:tblCellMar>
            <w:top w:w="0" w:type="dxa"/>
            <w:left w:w="108" w:type="dxa"/>
            <w:bottom w:w="0" w:type="dxa"/>
            <w:right w:w="108" w:type="dxa"/>
          </w:tblCellMar>
        </w:tblPrEx>
        <w:trPr>
          <w:trHeight w:val="1084" w:hRule="atLeast"/>
        </w:trPr>
        <w:tc>
          <w:tcPr>
            <w:tcW w:w="939" w:type="dxa"/>
            <w:vMerge w:val="continue"/>
            <w:tcBorders>
              <w:left w:val="single" w:color="auto" w:sz="4" w:space="0"/>
              <w:bottom w:val="single" w:color="auto" w:sz="4" w:space="0"/>
              <w:right w:val="single" w:color="auto" w:sz="4" w:space="0"/>
            </w:tcBorders>
            <w:shd w:val="clear" w:color="auto" w:fill="auto"/>
            <w:vAlign w:val="center"/>
          </w:tcPr>
          <w:p>
            <w:pPr>
              <w:widowControl/>
              <w:ind w:firstLine="360"/>
              <w:jc w:val="left"/>
              <w:rPr>
                <w:rFonts w:hint="eastAsia" w:ascii="仿宋_GB2312" w:hAnsi="仿宋_GB2312" w:eastAsia="仿宋_GB2312" w:cs="仿宋_GB2312"/>
                <w:b w:val="0"/>
                <w:bCs w:val="0"/>
                <w:color w:val="000000"/>
                <w:kern w:val="0"/>
                <w:sz w:val="18"/>
                <w:szCs w:val="18"/>
              </w:rPr>
            </w:pPr>
          </w:p>
        </w:tc>
        <w:tc>
          <w:tcPr>
            <w:tcW w:w="971" w:type="dxa"/>
            <w:vMerge w:val="continue"/>
            <w:tcBorders>
              <w:top w:val="nil"/>
              <w:left w:val="single" w:color="auto" w:sz="4" w:space="0"/>
              <w:bottom w:val="single" w:color="auto" w:sz="4" w:space="0"/>
              <w:right w:val="single" w:color="auto" w:sz="4" w:space="0"/>
            </w:tcBorders>
            <w:vAlign w:val="center"/>
          </w:tcPr>
          <w:p>
            <w:pPr>
              <w:widowControl/>
              <w:ind w:firstLine="360"/>
              <w:jc w:val="left"/>
              <w:rPr>
                <w:rFonts w:hint="eastAsia" w:ascii="仿宋_GB2312" w:hAnsi="仿宋_GB2312" w:eastAsia="仿宋_GB2312" w:cs="仿宋_GB2312"/>
                <w:b w:val="0"/>
                <w:bCs w:val="0"/>
                <w:color w:val="000000"/>
                <w:kern w:val="0"/>
                <w:sz w:val="18"/>
                <w:szCs w:val="18"/>
              </w:rPr>
            </w:pPr>
          </w:p>
        </w:tc>
        <w:tc>
          <w:tcPr>
            <w:tcW w:w="1381" w:type="dxa"/>
            <w:tcBorders>
              <w:top w:val="nil"/>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1.2.3政策可替代性</w:t>
            </w:r>
          </w:p>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（2分）</w:t>
            </w:r>
          </w:p>
        </w:tc>
        <w:tc>
          <w:tcPr>
            <w:tcW w:w="4184" w:type="dxa"/>
            <w:tcBorders>
              <w:top w:val="nil"/>
              <w:left w:val="nil"/>
              <w:bottom w:val="single" w:color="auto" w:sz="4" w:space="0"/>
              <w:right w:val="single" w:color="auto" w:sz="4" w:space="0"/>
            </w:tcBorders>
            <w:shd w:val="clear" w:color="auto" w:fill="auto"/>
            <w:vAlign w:val="center"/>
          </w:tcPr>
          <w:p>
            <w:pPr>
              <w:widowControl/>
              <w:ind w:firstLine="0" w:firstLineChars="0"/>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该项分值2分。“人才新政30条”政策与现有政策不重复，不可被现有政策替代、不存在交叉补贴得2分，否则每发现一处可被现有政策替代或交叉补贴情况扣1分，扣完为止。</w:t>
            </w:r>
          </w:p>
        </w:tc>
        <w:tc>
          <w:tcPr>
            <w:tcW w:w="576" w:type="dxa"/>
            <w:tcBorders>
              <w:top w:val="nil"/>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themeColor="text1"/>
                <w:kern w:val="0"/>
                <w:sz w:val="18"/>
                <w:szCs w:val="18"/>
                <w14:textFill>
                  <w14:solidFill>
                    <w14:schemeClr w14:val="tx1"/>
                  </w14:solidFill>
                </w14:textFill>
              </w:rPr>
            </w:pPr>
            <w:r>
              <w:rPr>
                <w:rFonts w:hint="eastAsia" w:ascii="仿宋_GB2312" w:hAnsi="仿宋_GB2312" w:eastAsia="仿宋_GB2312" w:cs="仿宋_GB2312"/>
                <w:b w:val="0"/>
                <w:bCs w:val="0"/>
                <w:color w:val="000000" w:themeColor="text1"/>
                <w:kern w:val="0"/>
                <w:sz w:val="18"/>
                <w:szCs w:val="18"/>
                <w14:textFill>
                  <w14:solidFill>
                    <w14:schemeClr w14:val="tx1"/>
                  </w14:solidFill>
                </w14:textFill>
              </w:rPr>
              <w:t>2</w:t>
            </w:r>
          </w:p>
        </w:tc>
        <w:tc>
          <w:tcPr>
            <w:tcW w:w="5834" w:type="dxa"/>
            <w:tcBorders>
              <w:top w:val="nil"/>
              <w:left w:val="nil"/>
              <w:bottom w:val="single" w:color="auto" w:sz="4" w:space="0"/>
              <w:right w:val="single" w:color="auto" w:sz="4" w:space="0"/>
            </w:tcBorders>
            <w:shd w:val="clear" w:color="auto" w:fill="auto"/>
            <w:vAlign w:val="center"/>
          </w:tcPr>
          <w:p>
            <w:pPr>
              <w:widowControl/>
              <w:ind w:firstLine="0" w:firstLineChars="0"/>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现场核查未发现菏泽市“人才新政30条”政策与现有政策重复，未发现可被现有政策替代和交叉补贴情况。</w:t>
            </w:r>
          </w:p>
        </w:tc>
        <w:tc>
          <w:tcPr>
            <w:tcW w:w="776" w:type="dxa"/>
            <w:vAlign w:val="center"/>
          </w:tcPr>
          <w:p>
            <w:pPr>
              <w:widowControl/>
              <w:ind w:firstLine="400"/>
              <w:jc w:val="left"/>
              <w:rPr>
                <w:rFonts w:hint="eastAsia" w:ascii="仿宋_GB2312" w:hAnsi="仿宋_GB2312" w:eastAsia="仿宋_GB2312" w:cs="仿宋_GB2312"/>
                <w:b w:val="0"/>
                <w:bCs w:val="0"/>
                <w:kern w:val="0"/>
                <w:sz w:val="20"/>
                <w:szCs w:val="20"/>
              </w:rPr>
            </w:pPr>
          </w:p>
        </w:tc>
      </w:tr>
      <w:tr>
        <w:tblPrEx>
          <w:tblCellMar>
            <w:top w:w="0" w:type="dxa"/>
            <w:left w:w="108" w:type="dxa"/>
            <w:bottom w:w="0" w:type="dxa"/>
            <w:right w:w="108" w:type="dxa"/>
          </w:tblCellMar>
        </w:tblPrEx>
        <w:trPr>
          <w:trHeight w:val="983" w:hRule="atLeast"/>
        </w:trPr>
        <w:tc>
          <w:tcPr>
            <w:tcW w:w="939" w:type="dxa"/>
            <w:vMerge w:val="restart"/>
            <w:tcBorders>
              <w:top w:val="single" w:color="auto" w:sz="4" w:space="0"/>
              <w:left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2政策</w:t>
            </w:r>
          </w:p>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执行</w:t>
            </w:r>
          </w:p>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（25分）</w:t>
            </w:r>
          </w:p>
        </w:tc>
        <w:tc>
          <w:tcPr>
            <w:tcW w:w="97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2.1政策落实</w:t>
            </w:r>
          </w:p>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（4分）</w:t>
            </w:r>
          </w:p>
        </w:tc>
        <w:tc>
          <w:tcPr>
            <w:tcW w:w="1381" w:type="dxa"/>
            <w:tcBorders>
              <w:top w:val="nil"/>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2.1.1组织管理完备性</w:t>
            </w:r>
          </w:p>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（2分）</w:t>
            </w:r>
          </w:p>
        </w:tc>
        <w:tc>
          <w:tcPr>
            <w:tcW w:w="4184" w:type="dxa"/>
            <w:tcBorders>
              <w:top w:val="nil"/>
              <w:left w:val="nil"/>
              <w:bottom w:val="single" w:color="auto" w:sz="4" w:space="0"/>
              <w:right w:val="single" w:color="auto" w:sz="4" w:space="0"/>
            </w:tcBorders>
            <w:shd w:val="clear" w:color="auto" w:fill="auto"/>
            <w:vAlign w:val="center"/>
          </w:tcPr>
          <w:p>
            <w:pPr>
              <w:widowControl/>
              <w:ind w:firstLine="0" w:firstLineChars="0"/>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该项分值2分。建立组织管理机制得1分，责任主体明确且分工明确得1分，否则每缺少一项扣1分，扣完为止。</w:t>
            </w:r>
          </w:p>
        </w:tc>
        <w:tc>
          <w:tcPr>
            <w:tcW w:w="576" w:type="dxa"/>
            <w:tcBorders>
              <w:top w:val="nil"/>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themeColor="text1"/>
                <w:kern w:val="0"/>
                <w:sz w:val="18"/>
                <w:szCs w:val="18"/>
                <w14:textFill>
                  <w14:solidFill>
                    <w14:schemeClr w14:val="tx1"/>
                  </w14:solidFill>
                </w14:textFill>
              </w:rPr>
            </w:pPr>
            <w:r>
              <w:rPr>
                <w:rFonts w:hint="eastAsia" w:ascii="仿宋_GB2312" w:hAnsi="仿宋_GB2312" w:eastAsia="仿宋_GB2312" w:cs="仿宋_GB2312"/>
                <w:b w:val="0"/>
                <w:bCs w:val="0"/>
                <w:color w:val="000000" w:themeColor="text1"/>
                <w:kern w:val="0"/>
                <w:sz w:val="18"/>
                <w:szCs w:val="18"/>
                <w14:textFill>
                  <w14:solidFill>
                    <w14:schemeClr w14:val="tx1"/>
                  </w14:solidFill>
                </w14:textFill>
              </w:rPr>
              <w:t>2</w:t>
            </w:r>
          </w:p>
        </w:tc>
        <w:tc>
          <w:tcPr>
            <w:tcW w:w="5834" w:type="dxa"/>
            <w:tcBorders>
              <w:top w:val="nil"/>
              <w:left w:val="nil"/>
              <w:bottom w:val="single" w:color="auto" w:sz="4" w:space="0"/>
              <w:right w:val="single" w:color="auto" w:sz="4" w:space="0"/>
            </w:tcBorders>
            <w:shd w:val="clear" w:color="auto" w:fill="auto"/>
            <w:vAlign w:val="center"/>
          </w:tcPr>
          <w:p>
            <w:pPr>
              <w:widowControl/>
              <w:ind w:firstLine="0" w:firstLineChars="0"/>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设立菏泽市人才工作领导小组，菏泽市“人才新政30条”政策明确各条政策的牵头部门及配合单位，《菏泽市人才工作手册》公布了人才政策实施责任单位名单及联系方式。</w:t>
            </w:r>
          </w:p>
        </w:tc>
        <w:tc>
          <w:tcPr>
            <w:tcW w:w="776" w:type="dxa"/>
            <w:vAlign w:val="center"/>
          </w:tcPr>
          <w:p>
            <w:pPr>
              <w:widowControl/>
              <w:ind w:firstLine="400"/>
              <w:jc w:val="left"/>
              <w:rPr>
                <w:rFonts w:hint="eastAsia" w:ascii="仿宋_GB2312" w:hAnsi="仿宋_GB2312" w:eastAsia="仿宋_GB2312" w:cs="仿宋_GB2312"/>
                <w:b w:val="0"/>
                <w:bCs w:val="0"/>
                <w:kern w:val="0"/>
                <w:sz w:val="20"/>
                <w:szCs w:val="20"/>
              </w:rPr>
            </w:pPr>
          </w:p>
        </w:tc>
      </w:tr>
      <w:tr>
        <w:tblPrEx>
          <w:tblCellMar>
            <w:top w:w="0" w:type="dxa"/>
            <w:left w:w="108" w:type="dxa"/>
            <w:bottom w:w="0" w:type="dxa"/>
            <w:right w:w="108" w:type="dxa"/>
          </w:tblCellMar>
        </w:tblPrEx>
        <w:trPr>
          <w:trHeight w:val="856" w:hRule="atLeast"/>
        </w:trPr>
        <w:tc>
          <w:tcPr>
            <w:tcW w:w="939" w:type="dxa"/>
            <w:vMerge w:val="continue"/>
            <w:tcBorders>
              <w:left w:val="single" w:color="auto" w:sz="4" w:space="0"/>
              <w:right w:val="single" w:color="auto" w:sz="4" w:space="0"/>
            </w:tcBorders>
            <w:shd w:val="clear" w:color="auto" w:fill="auto"/>
            <w:vAlign w:val="center"/>
          </w:tcPr>
          <w:p>
            <w:pPr>
              <w:widowControl/>
              <w:ind w:firstLine="360"/>
              <w:jc w:val="center"/>
              <w:rPr>
                <w:rFonts w:hint="eastAsia" w:ascii="仿宋_GB2312" w:hAnsi="仿宋_GB2312" w:eastAsia="仿宋_GB2312" w:cs="仿宋_GB2312"/>
                <w:b w:val="0"/>
                <w:bCs w:val="0"/>
                <w:color w:val="000000"/>
                <w:kern w:val="0"/>
                <w:sz w:val="18"/>
                <w:szCs w:val="18"/>
              </w:rPr>
            </w:pPr>
          </w:p>
        </w:tc>
        <w:tc>
          <w:tcPr>
            <w:tcW w:w="971"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360"/>
              <w:jc w:val="center"/>
              <w:rPr>
                <w:rFonts w:hint="eastAsia" w:ascii="仿宋_GB2312" w:hAnsi="仿宋_GB2312" w:eastAsia="仿宋_GB2312" w:cs="仿宋_GB2312"/>
                <w:b w:val="0"/>
                <w:bCs w:val="0"/>
                <w:color w:val="000000"/>
                <w:kern w:val="0"/>
                <w:sz w:val="18"/>
                <w:szCs w:val="18"/>
              </w:rPr>
            </w:pPr>
          </w:p>
        </w:tc>
        <w:tc>
          <w:tcPr>
            <w:tcW w:w="1381" w:type="dxa"/>
            <w:tcBorders>
              <w:top w:val="nil"/>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2.1.2政策落实计划完备性</w:t>
            </w:r>
          </w:p>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（1分）</w:t>
            </w:r>
          </w:p>
        </w:tc>
        <w:tc>
          <w:tcPr>
            <w:tcW w:w="4184" w:type="dxa"/>
            <w:tcBorders>
              <w:top w:val="nil"/>
              <w:left w:val="nil"/>
              <w:bottom w:val="single" w:color="auto" w:sz="4" w:space="0"/>
              <w:right w:val="single" w:color="auto" w:sz="4" w:space="0"/>
            </w:tcBorders>
            <w:shd w:val="clear" w:color="auto" w:fill="auto"/>
            <w:vAlign w:val="center"/>
          </w:tcPr>
          <w:p>
            <w:pPr>
              <w:widowControl/>
              <w:ind w:firstLine="0" w:firstLineChars="0"/>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该项分值1分。制定相应的工作计划，且计划完善可操性强得1分，未制定计划不得分，计划不够完善、可操作性不强，得0.5分。</w:t>
            </w:r>
          </w:p>
        </w:tc>
        <w:tc>
          <w:tcPr>
            <w:tcW w:w="576" w:type="dxa"/>
            <w:tcBorders>
              <w:top w:val="nil"/>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themeColor="text1"/>
                <w:kern w:val="0"/>
                <w:sz w:val="18"/>
                <w:szCs w:val="18"/>
                <w14:textFill>
                  <w14:solidFill>
                    <w14:schemeClr w14:val="tx1"/>
                  </w14:solidFill>
                </w14:textFill>
              </w:rPr>
            </w:pPr>
            <w:r>
              <w:rPr>
                <w:rFonts w:hint="eastAsia" w:ascii="仿宋_GB2312" w:hAnsi="仿宋_GB2312" w:eastAsia="仿宋_GB2312" w:cs="仿宋_GB2312"/>
                <w:b w:val="0"/>
                <w:bCs w:val="0"/>
                <w:color w:val="000000" w:themeColor="text1"/>
                <w:kern w:val="0"/>
                <w:sz w:val="18"/>
                <w:szCs w:val="18"/>
                <w14:textFill>
                  <w14:solidFill>
                    <w14:schemeClr w14:val="tx1"/>
                  </w14:solidFill>
                </w14:textFill>
              </w:rPr>
              <w:t>0.5</w:t>
            </w:r>
          </w:p>
        </w:tc>
        <w:tc>
          <w:tcPr>
            <w:tcW w:w="5834" w:type="dxa"/>
            <w:tcBorders>
              <w:top w:val="nil"/>
              <w:left w:val="nil"/>
              <w:bottom w:val="single" w:color="auto" w:sz="4" w:space="0"/>
              <w:right w:val="single" w:color="auto" w:sz="4" w:space="0"/>
            </w:tcBorders>
            <w:shd w:val="clear" w:color="auto" w:fill="auto"/>
            <w:vAlign w:val="center"/>
          </w:tcPr>
          <w:p>
            <w:pPr>
              <w:widowControl/>
              <w:ind w:firstLine="0" w:firstLineChars="0"/>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制定工作计划，但计划完善性不足，如《菏泽市2019年人才工作总结》制定的下步工作打算中“积极开展招才引智活动”并无将活动计划数量、时间及计划在哪些地区开展活动等具体内容。-0.5分。</w:t>
            </w:r>
          </w:p>
        </w:tc>
        <w:tc>
          <w:tcPr>
            <w:tcW w:w="776" w:type="dxa"/>
            <w:vAlign w:val="center"/>
          </w:tcPr>
          <w:p>
            <w:pPr>
              <w:widowControl/>
              <w:ind w:firstLine="400"/>
              <w:jc w:val="left"/>
              <w:rPr>
                <w:rFonts w:hint="eastAsia" w:ascii="仿宋_GB2312" w:hAnsi="仿宋_GB2312" w:eastAsia="仿宋_GB2312" w:cs="仿宋_GB2312"/>
                <w:b w:val="0"/>
                <w:bCs w:val="0"/>
                <w:kern w:val="0"/>
                <w:sz w:val="20"/>
                <w:szCs w:val="20"/>
              </w:rPr>
            </w:pPr>
          </w:p>
        </w:tc>
      </w:tr>
      <w:tr>
        <w:tblPrEx>
          <w:tblCellMar>
            <w:top w:w="0" w:type="dxa"/>
            <w:left w:w="108" w:type="dxa"/>
            <w:bottom w:w="0" w:type="dxa"/>
            <w:right w:w="108" w:type="dxa"/>
          </w:tblCellMar>
        </w:tblPrEx>
        <w:trPr>
          <w:trHeight w:val="981" w:hRule="atLeast"/>
        </w:trPr>
        <w:tc>
          <w:tcPr>
            <w:tcW w:w="939" w:type="dxa"/>
            <w:vMerge w:val="continue"/>
            <w:tcBorders>
              <w:left w:val="single" w:color="auto" w:sz="4" w:space="0"/>
              <w:bottom w:val="single" w:color="auto" w:sz="4" w:space="0"/>
              <w:right w:val="single" w:color="auto" w:sz="4" w:space="0"/>
            </w:tcBorders>
            <w:shd w:val="clear" w:color="auto" w:fill="auto"/>
            <w:vAlign w:val="center"/>
          </w:tcPr>
          <w:p>
            <w:pPr>
              <w:widowControl/>
              <w:ind w:firstLine="360"/>
              <w:jc w:val="center"/>
              <w:rPr>
                <w:rFonts w:hint="eastAsia" w:ascii="仿宋_GB2312" w:hAnsi="仿宋_GB2312" w:eastAsia="仿宋_GB2312" w:cs="仿宋_GB2312"/>
                <w:b w:val="0"/>
                <w:bCs w:val="0"/>
                <w:color w:val="000000"/>
                <w:kern w:val="0"/>
                <w:sz w:val="18"/>
                <w:szCs w:val="18"/>
              </w:rPr>
            </w:pPr>
          </w:p>
        </w:tc>
        <w:tc>
          <w:tcPr>
            <w:tcW w:w="971"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360"/>
              <w:jc w:val="center"/>
              <w:rPr>
                <w:rFonts w:hint="eastAsia" w:ascii="仿宋_GB2312" w:hAnsi="仿宋_GB2312" w:eastAsia="仿宋_GB2312" w:cs="仿宋_GB2312"/>
                <w:b w:val="0"/>
                <w:bCs w:val="0"/>
                <w:color w:val="000000"/>
                <w:kern w:val="0"/>
                <w:sz w:val="18"/>
                <w:szCs w:val="18"/>
              </w:rPr>
            </w:pPr>
          </w:p>
        </w:tc>
        <w:tc>
          <w:tcPr>
            <w:tcW w:w="1381" w:type="dxa"/>
            <w:tcBorders>
              <w:top w:val="nil"/>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2.1.3政策任务分解到位性</w:t>
            </w:r>
          </w:p>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（1分）</w:t>
            </w:r>
          </w:p>
        </w:tc>
        <w:tc>
          <w:tcPr>
            <w:tcW w:w="4184" w:type="dxa"/>
            <w:tcBorders>
              <w:top w:val="nil"/>
              <w:left w:val="nil"/>
              <w:bottom w:val="single" w:color="auto" w:sz="4" w:space="0"/>
              <w:right w:val="single" w:color="auto" w:sz="4" w:space="0"/>
            </w:tcBorders>
            <w:shd w:val="clear" w:color="auto" w:fill="auto"/>
            <w:vAlign w:val="center"/>
          </w:tcPr>
          <w:p>
            <w:pPr>
              <w:widowControl/>
              <w:ind w:firstLine="0" w:firstLineChars="0"/>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该项分值1分。将政策任务进行细化分解，且分解合理到位得1分，每出现一处明显不合理、不到位情况扣0.5分，扣完为止。</w:t>
            </w:r>
          </w:p>
        </w:tc>
        <w:tc>
          <w:tcPr>
            <w:tcW w:w="576" w:type="dxa"/>
            <w:tcBorders>
              <w:top w:val="nil"/>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themeColor="text1"/>
                <w:kern w:val="0"/>
                <w:sz w:val="18"/>
                <w:szCs w:val="18"/>
                <w14:textFill>
                  <w14:solidFill>
                    <w14:schemeClr w14:val="tx1"/>
                  </w14:solidFill>
                </w14:textFill>
              </w:rPr>
            </w:pPr>
            <w:r>
              <w:rPr>
                <w:rFonts w:hint="eastAsia" w:ascii="仿宋_GB2312" w:hAnsi="仿宋_GB2312" w:eastAsia="仿宋_GB2312" w:cs="仿宋_GB2312"/>
                <w:b w:val="0"/>
                <w:bCs w:val="0"/>
                <w:color w:val="000000" w:themeColor="text1"/>
                <w:kern w:val="0"/>
                <w:sz w:val="18"/>
                <w:szCs w:val="18"/>
                <w14:textFill>
                  <w14:solidFill>
                    <w14:schemeClr w14:val="tx1"/>
                  </w14:solidFill>
                </w14:textFill>
              </w:rPr>
              <w:t>0</w:t>
            </w:r>
          </w:p>
        </w:tc>
        <w:tc>
          <w:tcPr>
            <w:tcW w:w="5834" w:type="dxa"/>
            <w:tcBorders>
              <w:top w:val="nil"/>
              <w:left w:val="nil"/>
              <w:bottom w:val="single" w:color="auto" w:sz="4" w:space="0"/>
              <w:right w:val="single" w:color="auto" w:sz="4" w:space="0"/>
            </w:tcBorders>
            <w:shd w:val="clear" w:color="auto" w:fill="auto"/>
            <w:vAlign w:val="center"/>
          </w:tcPr>
          <w:p>
            <w:pPr>
              <w:widowControl/>
              <w:ind w:firstLine="0" w:firstLineChars="0"/>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未将政策任务进行细化分解，-1分。</w:t>
            </w:r>
          </w:p>
        </w:tc>
        <w:tc>
          <w:tcPr>
            <w:tcW w:w="776" w:type="dxa"/>
            <w:vAlign w:val="center"/>
          </w:tcPr>
          <w:p>
            <w:pPr>
              <w:widowControl/>
              <w:ind w:firstLine="400"/>
              <w:jc w:val="left"/>
              <w:rPr>
                <w:rFonts w:hint="eastAsia" w:ascii="仿宋_GB2312" w:hAnsi="仿宋_GB2312" w:eastAsia="仿宋_GB2312" w:cs="仿宋_GB2312"/>
                <w:b w:val="0"/>
                <w:bCs w:val="0"/>
                <w:kern w:val="0"/>
                <w:sz w:val="20"/>
                <w:szCs w:val="20"/>
              </w:rPr>
            </w:pPr>
          </w:p>
        </w:tc>
      </w:tr>
      <w:tr>
        <w:tblPrEx>
          <w:tblCellMar>
            <w:top w:w="0" w:type="dxa"/>
            <w:left w:w="108" w:type="dxa"/>
            <w:bottom w:w="0" w:type="dxa"/>
            <w:right w:w="108" w:type="dxa"/>
          </w:tblCellMar>
        </w:tblPrEx>
        <w:trPr>
          <w:trHeight w:val="1356" w:hRule="atLeast"/>
        </w:trPr>
        <w:tc>
          <w:tcPr>
            <w:tcW w:w="93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2政策</w:t>
            </w:r>
          </w:p>
          <w:p>
            <w:pPr>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执行</w:t>
            </w:r>
          </w:p>
          <w:p>
            <w:pPr>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（25分）</w:t>
            </w:r>
          </w:p>
        </w:tc>
        <w:tc>
          <w:tcPr>
            <w:tcW w:w="97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2.2资金支持</w:t>
            </w:r>
          </w:p>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（8分）</w:t>
            </w:r>
          </w:p>
        </w:tc>
        <w:tc>
          <w:tcPr>
            <w:tcW w:w="138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2.2.1预算编制合理性</w:t>
            </w:r>
          </w:p>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（3分）</w:t>
            </w:r>
          </w:p>
        </w:tc>
        <w:tc>
          <w:tcPr>
            <w:tcW w:w="4184" w:type="dxa"/>
            <w:tcBorders>
              <w:top w:val="nil"/>
              <w:left w:val="nil"/>
              <w:bottom w:val="single" w:color="auto" w:sz="4" w:space="0"/>
              <w:right w:val="single" w:color="auto" w:sz="4" w:space="0"/>
            </w:tcBorders>
            <w:shd w:val="clear" w:color="auto" w:fill="auto"/>
            <w:vAlign w:val="center"/>
          </w:tcPr>
          <w:p>
            <w:pPr>
              <w:widowControl/>
              <w:ind w:firstLine="0" w:firstLineChars="0"/>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该项分值1分。2020年人才新政30条政策兑现预算编制经过科学论证，预算内容与政策内容相匹配，得0.5分；预算额度测算依据充分，按照标准编制，得0.5分，否则不得分。</w:t>
            </w:r>
          </w:p>
        </w:tc>
        <w:tc>
          <w:tcPr>
            <w:tcW w:w="576" w:type="dxa"/>
            <w:tcBorders>
              <w:top w:val="nil"/>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themeColor="text1"/>
                <w:kern w:val="0"/>
                <w:sz w:val="18"/>
                <w:szCs w:val="18"/>
                <w14:textFill>
                  <w14:solidFill>
                    <w14:schemeClr w14:val="tx1"/>
                  </w14:solidFill>
                </w14:textFill>
              </w:rPr>
            </w:pPr>
            <w:r>
              <w:rPr>
                <w:rFonts w:hint="eastAsia" w:ascii="仿宋_GB2312" w:hAnsi="仿宋_GB2312" w:eastAsia="仿宋_GB2312" w:cs="仿宋_GB2312"/>
                <w:b w:val="0"/>
                <w:bCs w:val="0"/>
                <w:color w:val="000000" w:themeColor="text1"/>
                <w:kern w:val="0"/>
                <w:sz w:val="18"/>
                <w:szCs w:val="18"/>
                <w14:textFill>
                  <w14:solidFill>
                    <w14:schemeClr w14:val="tx1"/>
                  </w14:solidFill>
                </w14:textFill>
              </w:rPr>
              <w:t>0.5</w:t>
            </w:r>
          </w:p>
        </w:tc>
        <w:tc>
          <w:tcPr>
            <w:tcW w:w="5834" w:type="dxa"/>
            <w:tcBorders>
              <w:top w:val="nil"/>
              <w:left w:val="nil"/>
              <w:bottom w:val="single" w:color="auto" w:sz="4" w:space="0"/>
              <w:right w:val="single" w:color="auto" w:sz="4" w:space="0"/>
            </w:tcBorders>
            <w:shd w:val="clear" w:color="auto" w:fill="auto"/>
            <w:vAlign w:val="center"/>
          </w:tcPr>
          <w:p>
            <w:pPr>
              <w:widowControl/>
              <w:ind w:firstLine="0" w:firstLineChars="0"/>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根据《各单位申请政策兑现资金报告》，预算内容与政策内容相匹配，申请资金额度按照政策标准编制。</w:t>
            </w:r>
            <w:r>
              <w:rPr>
                <w:rFonts w:hint="eastAsia" w:ascii="仿宋_GB2312" w:hAnsi="仿宋_GB2312" w:eastAsia="仿宋_GB2312" w:cs="仿宋_GB2312"/>
                <w:b w:val="0"/>
                <w:bCs w:val="0"/>
                <w:color w:val="000000" w:themeColor="text1"/>
                <w:kern w:val="0"/>
                <w:sz w:val="18"/>
                <w:szCs w:val="18"/>
                <w14:textFill>
                  <w14:solidFill>
                    <w14:schemeClr w14:val="tx1"/>
                  </w14:solidFill>
                </w14:textFill>
              </w:rPr>
              <w:t>存在个别政策兑现资金未纳入该项政策资金统一管理拨付，如乡村之星、和谐使者等资金，-0.5分。</w:t>
            </w:r>
          </w:p>
        </w:tc>
        <w:tc>
          <w:tcPr>
            <w:tcW w:w="776" w:type="dxa"/>
            <w:vAlign w:val="center"/>
          </w:tcPr>
          <w:p>
            <w:pPr>
              <w:widowControl/>
              <w:ind w:firstLine="400"/>
              <w:jc w:val="left"/>
              <w:rPr>
                <w:rFonts w:hint="eastAsia" w:ascii="仿宋_GB2312" w:hAnsi="仿宋_GB2312" w:eastAsia="仿宋_GB2312" w:cs="仿宋_GB2312"/>
                <w:b w:val="0"/>
                <w:bCs w:val="0"/>
                <w:kern w:val="0"/>
                <w:sz w:val="20"/>
                <w:szCs w:val="20"/>
              </w:rPr>
            </w:pPr>
          </w:p>
        </w:tc>
      </w:tr>
      <w:tr>
        <w:tblPrEx>
          <w:tblCellMar>
            <w:top w:w="0" w:type="dxa"/>
            <w:left w:w="108" w:type="dxa"/>
            <w:bottom w:w="0" w:type="dxa"/>
            <w:right w:w="108" w:type="dxa"/>
          </w:tblCellMar>
        </w:tblPrEx>
        <w:trPr>
          <w:trHeight w:val="1172" w:hRule="atLeast"/>
        </w:trPr>
        <w:tc>
          <w:tcPr>
            <w:tcW w:w="9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ind w:firstLine="360"/>
              <w:jc w:val="center"/>
              <w:rPr>
                <w:rFonts w:hint="eastAsia" w:ascii="仿宋_GB2312" w:hAnsi="仿宋_GB2312" w:eastAsia="仿宋_GB2312" w:cs="仿宋_GB2312"/>
                <w:b w:val="0"/>
                <w:bCs w:val="0"/>
                <w:color w:val="000000"/>
                <w:kern w:val="0"/>
                <w:sz w:val="18"/>
                <w:szCs w:val="18"/>
              </w:rPr>
            </w:pPr>
          </w:p>
        </w:tc>
        <w:tc>
          <w:tcPr>
            <w:tcW w:w="97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360"/>
              <w:jc w:val="left"/>
              <w:rPr>
                <w:rFonts w:hint="eastAsia" w:ascii="仿宋_GB2312" w:hAnsi="仿宋_GB2312" w:eastAsia="仿宋_GB2312" w:cs="仿宋_GB2312"/>
                <w:b w:val="0"/>
                <w:bCs w:val="0"/>
                <w:color w:val="000000"/>
                <w:kern w:val="0"/>
                <w:sz w:val="18"/>
                <w:szCs w:val="18"/>
              </w:rPr>
            </w:pPr>
          </w:p>
        </w:tc>
        <w:tc>
          <w:tcPr>
            <w:tcW w:w="1381"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rPr>
                <w:rFonts w:hint="eastAsia" w:ascii="仿宋_GB2312" w:hAnsi="仿宋_GB2312" w:eastAsia="仿宋_GB2312" w:cs="仿宋_GB2312"/>
                <w:b w:val="0"/>
                <w:bCs w:val="0"/>
                <w:color w:val="000000"/>
                <w:kern w:val="0"/>
                <w:sz w:val="18"/>
                <w:szCs w:val="18"/>
              </w:rPr>
            </w:pPr>
          </w:p>
        </w:tc>
        <w:tc>
          <w:tcPr>
            <w:tcW w:w="4184" w:type="dxa"/>
            <w:tcBorders>
              <w:top w:val="nil"/>
              <w:left w:val="nil"/>
              <w:bottom w:val="single" w:color="auto" w:sz="4" w:space="0"/>
              <w:right w:val="single" w:color="auto" w:sz="4" w:space="0"/>
            </w:tcBorders>
            <w:shd w:val="clear" w:color="auto" w:fill="auto"/>
            <w:vAlign w:val="center"/>
          </w:tcPr>
          <w:p>
            <w:pPr>
              <w:widowControl/>
              <w:ind w:firstLine="0" w:firstLineChars="0"/>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该项分值2分。（1）2020年人才新政30条政策兑现资金分配有测算依据得1分，否则不得分；（2）政策兑现资金分配测算依据充分得1分，否则不得分。</w:t>
            </w:r>
          </w:p>
        </w:tc>
        <w:tc>
          <w:tcPr>
            <w:tcW w:w="576" w:type="dxa"/>
            <w:tcBorders>
              <w:top w:val="nil"/>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themeColor="text1"/>
                <w:kern w:val="0"/>
                <w:sz w:val="18"/>
                <w:szCs w:val="18"/>
                <w14:textFill>
                  <w14:solidFill>
                    <w14:schemeClr w14:val="tx1"/>
                  </w14:solidFill>
                </w14:textFill>
              </w:rPr>
            </w:pPr>
            <w:r>
              <w:rPr>
                <w:rFonts w:hint="eastAsia" w:ascii="仿宋_GB2312" w:hAnsi="仿宋_GB2312" w:eastAsia="仿宋_GB2312" w:cs="仿宋_GB2312"/>
                <w:b w:val="0"/>
                <w:bCs w:val="0"/>
                <w:color w:val="000000" w:themeColor="text1"/>
                <w:kern w:val="0"/>
                <w:sz w:val="18"/>
                <w:szCs w:val="18"/>
                <w14:textFill>
                  <w14:solidFill>
                    <w14:schemeClr w14:val="tx1"/>
                  </w14:solidFill>
                </w14:textFill>
              </w:rPr>
              <w:t>2</w:t>
            </w:r>
          </w:p>
        </w:tc>
        <w:tc>
          <w:tcPr>
            <w:tcW w:w="5834" w:type="dxa"/>
            <w:tcBorders>
              <w:top w:val="nil"/>
              <w:left w:val="nil"/>
              <w:bottom w:val="single" w:color="auto" w:sz="4" w:space="0"/>
              <w:right w:val="single" w:color="auto" w:sz="4" w:space="0"/>
            </w:tcBorders>
            <w:shd w:val="clear" w:color="auto" w:fill="auto"/>
            <w:vAlign w:val="center"/>
          </w:tcPr>
          <w:p>
            <w:pPr>
              <w:widowControl/>
              <w:ind w:firstLine="0" w:firstLineChars="0"/>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根据菏泽市“人才新政30条”政策标准、《各单位申请政策兑现资金报告》及相关平台、人员等认定清单确定资金分配。</w:t>
            </w:r>
          </w:p>
        </w:tc>
        <w:tc>
          <w:tcPr>
            <w:tcW w:w="776" w:type="dxa"/>
            <w:vAlign w:val="center"/>
          </w:tcPr>
          <w:p>
            <w:pPr>
              <w:widowControl/>
              <w:ind w:firstLine="400"/>
              <w:jc w:val="left"/>
              <w:rPr>
                <w:rFonts w:hint="eastAsia" w:ascii="仿宋_GB2312" w:hAnsi="仿宋_GB2312" w:eastAsia="仿宋_GB2312" w:cs="仿宋_GB2312"/>
                <w:b w:val="0"/>
                <w:bCs w:val="0"/>
                <w:kern w:val="0"/>
                <w:sz w:val="20"/>
                <w:szCs w:val="20"/>
              </w:rPr>
            </w:pPr>
          </w:p>
          <w:p>
            <w:pPr>
              <w:pStyle w:val="2"/>
              <w:ind w:left="560"/>
              <w:rPr>
                <w:rFonts w:hint="eastAsia" w:ascii="仿宋_GB2312" w:hAnsi="仿宋_GB2312" w:eastAsia="仿宋_GB2312" w:cs="仿宋_GB2312"/>
                <w:b w:val="0"/>
                <w:bCs w:val="0"/>
              </w:rPr>
            </w:pPr>
          </w:p>
          <w:p>
            <w:pPr>
              <w:pStyle w:val="2"/>
              <w:ind w:left="560"/>
              <w:rPr>
                <w:rFonts w:hint="eastAsia" w:ascii="仿宋_GB2312" w:hAnsi="仿宋_GB2312" w:eastAsia="仿宋_GB2312" w:cs="仿宋_GB2312"/>
                <w:b w:val="0"/>
                <w:bCs w:val="0"/>
              </w:rPr>
            </w:pPr>
          </w:p>
        </w:tc>
      </w:tr>
      <w:tr>
        <w:tblPrEx>
          <w:tblCellMar>
            <w:top w:w="0" w:type="dxa"/>
            <w:left w:w="108" w:type="dxa"/>
            <w:bottom w:w="0" w:type="dxa"/>
            <w:right w:w="108" w:type="dxa"/>
          </w:tblCellMar>
        </w:tblPrEx>
        <w:trPr>
          <w:trHeight w:val="1081" w:hRule="atLeast"/>
        </w:trPr>
        <w:tc>
          <w:tcPr>
            <w:tcW w:w="9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ind w:firstLine="0" w:firstLineChars="0"/>
              <w:jc w:val="center"/>
              <w:rPr>
                <w:rFonts w:hint="eastAsia" w:ascii="仿宋_GB2312" w:hAnsi="仿宋_GB2312" w:eastAsia="仿宋_GB2312" w:cs="仿宋_GB2312"/>
                <w:b w:val="0"/>
                <w:bCs w:val="0"/>
                <w:color w:val="000000"/>
                <w:kern w:val="0"/>
                <w:sz w:val="18"/>
                <w:szCs w:val="18"/>
              </w:rPr>
            </w:pPr>
          </w:p>
        </w:tc>
        <w:tc>
          <w:tcPr>
            <w:tcW w:w="97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p>
        </w:tc>
        <w:tc>
          <w:tcPr>
            <w:tcW w:w="1381"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2.2.2资金到位率</w:t>
            </w:r>
            <w:r>
              <w:rPr>
                <w:rFonts w:hint="eastAsia" w:ascii="仿宋_GB2312" w:hAnsi="仿宋_GB2312" w:eastAsia="仿宋_GB2312" w:cs="仿宋_GB2312"/>
                <w:b w:val="0"/>
                <w:bCs w:val="0"/>
                <w:color w:val="000000"/>
                <w:kern w:val="0"/>
                <w:sz w:val="18"/>
                <w:szCs w:val="18"/>
              </w:rPr>
              <w:br w:type="textWrapping"/>
            </w:r>
            <w:r>
              <w:rPr>
                <w:rFonts w:hint="eastAsia" w:ascii="仿宋_GB2312" w:hAnsi="仿宋_GB2312" w:eastAsia="仿宋_GB2312" w:cs="仿宋_GB2312"/>
                <w:b w:val="0"/>
                <w:bCs w:val="0"/>
                <w:color w:val="000000"/>
                <w:kern w:val="0"/>
                <w:sz w:val="18"/>
                <w:szCs w:val="18"/>
              </w:rPr>
              <w:t>（1分）</w:t>
            </w:r>
          </w:p>
        </w:tc>
        <w:tc>
          <w:tcPr>
            <w:tcW w:w="4184" w:type="dxa"/>
            <w:tcBorders>
              <w:top w:val="nil"/>
              <w:left w:val="nil"/>
              <w:bottom w:val="single" w:color="auto" w:sz="4" w:space="0"/>
              <w:right w:val="single" w:color="auto" w:sz="4" w:space="0"/>
            </w:tcBorders>
            <w:shd w:val="clear" w:color="auto" w:fill="auto"/>
            <w:vAlign w:val="center"/>
          </w:tcPr>
          <w:p>
            <w:pPr>
              <w:widowControl/>
              <w:ind w:firstLine="0" w:firstLineChars="0"/>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实际到位资金与预算资金的比率，用以反映和考核该项目资金落实情况对项目实施的总体保障程度。</w:t>
            </w:r>
            <w:r>
              <w:rPr>
                <w:rFonts w:hint="eastAsia" w:ascii="仿宋_GB2312" w:hAnsi="仿宋_GB2312" w:eastAsia="仿宋_GB2312" w:cs="仿宋_GB2312"/>
                <w:b w:val="0"/>
                <w:bCs w:val="0"/>
                <w:color w:val="000000"/>
                <w:kern w:val="0"/>
                <w:sz w:val="18"/>
                <w:szCs w:val="18"/>
              </w:rPr>
              <w:br w:type="textWrapping"/>
            </w:r>
            <w:r>
              <w:rPr>
                <w:rFonts w:hint="eastAsia" w:ascii="仿宋_GB2312" w:hAnsi="仿宋_GB2312" w:eastAsia="仿宋_GB2312" w:cs="仿宋_GB2312"/>
                <w:b w:val="0"/>
                <w:bCs w:val="0"/>
                <w:color w:val="000000"/>
                <w:kern w:val="0"/>
                <w:sz w:val="18"/>
                <w:szCs w:val="18"/>
              </w:rPr>
              <w:t>资金到位率=（实际到位资金/预算资金）×100%。</w:t>
            </w:r>
          </w:p>
        </w:tc>
        <w:tc>
          <w:tcPr>
            <w:tcW w:w="576" w:type="dxa"/>
            <w:tcBorders>
              <w:top w:val="nil"/>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1</w:t>
            </w:r>
          </w:p>
        </w:tc>
        <w:tc>
          <w:tcPr>
            <w:tcW w:w="5834" w:type="dxa"/>
            <w:tcBorders>
              <w:top w:val="nil"/>
              <w:left w:val="nil"/>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该项分值1分。指标分值=该项目资金到位率*指标满分值1分。</w:t>
            </w:r>
          </w:p>
        </w:tc>
        <w:tc>
          <w:tcPr>
            <w:tcW w:w="776" w:type="dxa"/>
            <w:vAlign w:val="center"/>
          </w:tcPr>
          <w:p>
            <w:pPr>
              <w:widowControl/>
              <w:ind w:firstLine="400"/>
              <w:jc w:val="left"/>
              <w:rPr>
                <w:rFonts w:hint="eastAsia" w:ascii="仿宋_GB2312" w:hAnsi="仿宋_GB2312" w:eastAsia="仿宋_GB2312" w:cs="仿宋_GB2312"/>
                <w:b w:val="0"/>
                <w:bCs w:val="0"/>
                <w:kern w:val="0"/>
                <w:sz w:val="20"/>
                <w:szCs w:val="20"/>
              </w:rPr>
            </w:pPr>
          </w:p>
        </w:tc>
      </w:tr>
      <w:tr>
        <w:tblPrEx>
          <w:tblCellMar>
            <w:top w:w="0" w:type="dxa"/>
            <w:left w:w="108" w:type="dxa"/>
            <w:bottom w:w="0" w:type="dxa"/>
            <w:right w:w="108" w:type="dxa"/>
          </w:tblCellMar>
        </w:tblPrEx>
        <w:trPr>
          <w:trHeight w:val="1081" w:hRule="atLeast"/>
        </w:trPr>
        <w:tc>
          <w:tcPr>
            <w:tcW w:w="9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ind w:firstLine="0" w:firstLineChars="0"/>
              <w:jc w:val="center"/>
              <w:rPr>
                <w:rFonts w:hint="eastAsia" w:ascii="仿宋_GB2312" w:hAnsi="仿宋_GB2312" w:eastAsia="仿宋_GB2312" w:cs="仿宋_GB2312"/>
                <w:b w:val="0"/>
                <w:bCs w:val="0"/>
                <w:color w:val="000000"/>
                <w:kern w:val="0"/>
                <w:sz w:val="18"/>
                <w:szCs w:val="18"/>
              </w:rPr>
            </w:pPr>
          </w:p>
        </w:tc>
        <w:tc>
          <w:tcPr>
            <w:tcW w:w="97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p>
        </w:tc>
        <w:tc>
          <w:tcPr>
            <w:tcW w:w="1381"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2.2.3预算执行率</w:t>
            </w:r>
          </w:p>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（2分）</w:t>
            </w:r>
          </w:p>
        </w:tc>
        <w:tc>
          <w:tcPr>
            <w:tcW w:w="4184" w:type="dxa"/>
            <w:tcBorders>
              <w:top w:val="nil"/>
              <w:left w:val="nil"/>
              <w:bottom w:val="single" w:color="auto" w:sz="4" w:space="0"/>
              <w:right w:val="single" w:color="auto" w:sz="4" w:space="0"/>
            </w:tcBorders>
            <w:shd w:val="clear" w:color="auto" w:fill="auto"/>
            <w:vAlign w:val="center"/>
          </w:tcPr>
          <w:p>
            <w:pPr>
              <w:widowControl/>
              <w:ind w:firstLine="0" w:firstLineChars="0"/>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该项分值2分。指标分值=预算执行率*指标满分值2分，执行率低于30%，该项二级指标不得分。</w:t>
            </w:r>
          </w:p>
        </w:tc>
        <w:tc>
          <w:tcPr>
            <w:tcW w:w="576" w:type="dxa"/>
            <w:tcBorders>
              <w:top w:val="nil"/>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1.88</w:t>
            </w:r>
          </w:p>
        </w:tc>
        <w:tc>
          <w:tcPr>
            <w:tcW w:w="5834" w:type="dxa"/>
            <w:tcBorders>
              <w:top w:val="nil"/>
              <w:left w:val="nil"/>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预算资金2271.42万元，实际支出2140.616万元，结转结余130.804万元，预算执行率94.24%，得分1.88，-0.12分。</w:t>
            </w:r>
          </w:p>
        </w:tc>
        <w:tc>
          <w:tcPr>
            <w:tcW w:w="776" w:type="dxa"/>
            <w:vAlign w:val="center"/>
          </w:tcPr>
          <w:p>
            <w:pPr>
              <w:widowControl/>
              <w:ind w:firstLine="400"/>
              <w:jc w:val="left"/>
              <w:rPr>
                <w:rFonts w:hint="eastAsia" w:ascii="仿宋_GB2312" w:hAnsi="仿宋_GB2312" w:eastAsia="仿宋_GB2312" w:cs="仿宋_GB2312"/>
                <w:b w:val="0"/>
                <w:bCs w:val="0"/>
                <w:kern w:val="0"/>
                <w:sz w:val="20"/>
                <w:szCs w:val="20"/>
              </w:rPr>
            </w:pPr>
          </w:p>
          <w:p>
            <w:pPr>
              <w:pStyle w:val="2"/>
              <w:ind w:left="560"/>
              <w:rPr>
                <w:rFonts w:hint="eastAsia" w:ascii="仿宋_GB2312" w:hAnsi="仿宋_GB2312" w:eastAsia="仿宋_GB2312" w:cs="仿宋_GB2312"/>
                <w:b w:val="0"/>
                <w:bCs w:val="0"/>
              </w:rPr>
            </w:pPr>
          </w:p>
          <w:p>
            <w:pPr>
              <w:pStyle w:val="2"/>
              <w:ind w:left="560"/>
              <w:rPr>
                <w:rFonts w:hint="eastAsia" w:ascii="仿宋_GB2312" w:hAnsi="仿宋_GB2312" w:eastAsia="仿宋_GB2312" w:cs="仿宋_GB2312"/>
                <w:b w:val="0"/>
                <w:bCs w:val="0"/>
              </w:rPr>
            </w:pPr>
          </w:p>
        </w:tc>
      </w:tr>
      <w:tr>
        <w:tblPrEx>
          <w:tblCellMar>
            <w:top w:w="0" w:type="dxa"/>
            <w:left w:w="108" w:type="dxa"/>
            <w:bottom w:w="0" w:type="dxa"/>
            <w:right w:w="108" w:type="dxa"/>
          </w:tblCellMar>
        </w:tblPrEx>
        <w:trPr>
          <w:trHeight w:val="1635" w:hRule="atLeast"/>
        </w:trPr>
        <w:tc>
          <w:tcPr>
            <w:tcW w:w="9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ind w:firstLine="360"/>
              <w:jc w:val="center"/>
              <w:rPr>
                <w:rFonts w:hint="eastAsia" w:ascii="仿宋_GB2312" w:hAnsi="仿宋_GB2312" w:eastAsia="仿宋_GB2312" w:cs="仿宋_GB2312"/>
                <w:b w:val="0"/>
                <w:bCs w:val="0"/>
                <w:color w:val="000000"/>
                <w:kern w:val="0"/>
                <w:sz w:val="18"/>
                <w:szCs w:val="18"/>
              </w:rPr>
            </w:pPr>
          </w:p>
        </w:tc>
        <w:tc>
          <w:tcPr>
            <w:tcW w:w="97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360"/>
              <w:jc w:val="left"/>
              <w:rPr>
                <w:rFonts w:hint="eastAsia" w:ascii="仿宋_GB2312" w:hAnsi="仿宋_GB2312" w:eastAsia="仿宋_GB2312" w:cs="仿宋_GB2312"/>
                <w:b w:val="0"/>
                <w:bCs w:val="0"/>
                <w:color w:val="000000"/>
                <w:kern w:val="0"/>
                <w:sz w:val="18"/>
                <w:szCs w:val="18"/>
              </w:rPr>
            </w:pPr>
          </w:p>
        </w:tc>
        <w:tc>
          <w:tcPr>
            <w:tcW w:w="1381"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2.2.4资金使用合规性</w:t>
            </w:r>
          </w:p>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（2分）</w:t>
            </w:r>
          </w:p>
        </w:tc>
        <w:tc>
          <w:tcPr>
            <w:tcW w:w="4184" w:type="dxa"/>
            <w:tcBorders>
              <w:top w:val="nil"/>
              <w:left w:val="nil"/>
              <w:bottom w:val="single" w:color="auto" w:sz="4" w:space="0"/>
              <w:right w:val="single" w:color="auto" w:sz="4" w:space="0"/>
            </w:tcBorders>
            <w:shd w:val="clear" w:color="auto" w:fill="auto"/>
            <w:vAlign w:val="center"/>
          </w:tcPr>
          <w:p>
            <w:pPr>
              <w:widowControl/>
              <w:ind w:firstLine="0" w:firstLineChars="0"/>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该项分值2分。每发现1处支出依据不合规的扣0.5分；发现不符合“人才新政30条”预算批复规定的用途扣0.5分；每发现一处挤占、挪用、截留、改变用途问题，扣0.5分，扣完为止。若出现挤占、挪用、截留、改变用途等问题超过资金总额的20%，则该项二级指标不得分。</w:t>
            </w:r>
          </w:p>
        </w:tc>
        <w:tc>
          <w:tcPr>
            <w:tcW w:w="576" w:type="dxa"/>
            <w:tcBorders>
              <w:top w:val="nil"/>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themeColor="text1"/>
                <w:kern w:val="0"/>
                <w:sz w:val="18"/>
                <w:szCs w:val="18"/>
                <w14:textFill>
                  <w14:solidFill>
                    <w14:schemeClr w14:val="tx1"/>
                  </w14:solidFill>
                </w14:textFill>
              </w:rPr>
            </w:pPr>
            <w:r>
              <w:rPr>
                <w:rFonts w:hint="eastAsia" w:ascii="仿宋_GB2312" w:hAnsi="仿宋_GB2312" w:eastAsia="仿宋_GB2312" w:cs="仿宋_GB2312"/>
                <w:b w:val="0"/>
                <w:bCs w:val="0"/>
                <w:color w:val="000000" w:themeColor="text1"/>
                <w:kern w:val="0"/>
                <w:sz w:val="18"/>
                <w:szCs w:val="18"/>
                <w14:textFill>
                  <w14:solidFill>
                    <w14:schemeClr w14:val="tx1"/>
                  </w14:solidFill>
                </w14:textFill>
              </w:rPr>
              <w:t>2</w:t>
            </w:r>
          </w:p>
        </w:tc>
        <w:tc>
          <w:tcPr>
            <w:tcW w:w="5834" w:type="dxa"/>
            <w:tcBorders>
              <w:top w:val="nil"/>
              <w:left w:val="nil"/>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未发现相关问题</w:t>
            </w:r>
          </w:p>
        </w:tc>
        <w:tc>
          <w:tcPr>
            <w:tcW w:w="776" w:type="dxa"/>
            <w:vAlign w:val="center"/>
          </w:tcPr>
          <w:p>
            <w:pPr>
              <w:widowControl/>
              <w:ind w:firstLine="400"/>
              <w:jc w:val="left"/>
              <w:rPr>
                <w:rFonts w:hint="eastAsia" w:ascii="仿宋_GB2312" w:hAnsi="仿宋_GB2312" w:eastAsia="仿宋_GB2312" w:cs="仿宋_GB2312"/>
                <w:b w:val="0"/>
                <w:bCs w:val="0"/>
                <w:kern w:val="0"/>
                <w:sz w:val="20"/>
                <w:szCs w:val="20"/>
              </w:rPr>
            </w:pPr>
          </w:p>
        </w:tc>
      </w:tr>
      <w:tr>
        <w:tblPrEx>
          <w:tblCellMar>
            <w:top w:w="0" w:type="dxa"/>
            <w:left w:w="108" w:type="dxa"/>
            <w:bottom w:w="0" w:type="dxa"/>
            <w:right w:w="108" w:type="dxa"/>
          </w:tblCellMar>
        </w:tblPrEx>
        <w:trPr>
          <w:trHeight w:val="1073" w:hRule="atLeast"/>
        </w:trPr>
        <w:tc>
          <w:tcPr>
            <w:tcW w:w="93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2政策</w:t>
            </w:r>
          </w:p>
          <w:p>
            <w:pPr>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执行</w:t>
            </w:r>
          </w:p>
          <w:p>
            <w:pPr>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（25分）</w:t>
            </w:r>
          </w:p>
        </w:tc>
        <w:tc>
          <w:tcPr>
            <w:tcW w:w="97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2.3政策执行管理</w:t>
            </w:r>
          </w:p>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（5分）</w:t>
            </w:r>
          </w:p>
        </w:tc>
        <w:tc>
          <w:tcPr>
            <w:tcW w:w="1381"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2.3.1管理制度健全性</w:t>
            </w:r>
          </w:p>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（3分）</w:t>
            </w:r>
          </w:p>
        </w:tc>
        <w:tc>
          <w:tcPr>
            <w:tcW w:w="4184" w:type="dxa"/>
            <w:tcBorders>
              <w:top w:val="nil"/>
              <w:left w:val="nil"/>
              <w:bottom w:val="single" w:color="auto" w:sz="4" w:space="0"/>
              <w:right w:val="single" w:color="auto" w:sz="4" w:space="0"/>
            </w:tcBorders>
            <w:shd w:val="clear" w:color="auto" w:fill="auto"/>
            <w:vAlign w:val="center"/>
          </w:tcPr>
          <w:p>
            <w:pPr>
              <w:widowControl/>
              <w:ind w:firstLine="0" w:firstLineChars="0"/>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该项分值3分，健全人才专项资金审核拨付办法、人才培育、人才激励机制，申报、审核、公示等相关流程说明，“留才”机制得3分，否则每缺少一项扣1分，扣完为止。</w:t>
            </w:r>
          </w:p>
        </w:tc>
        <w:tc>
          <w:tcPr>
            <w:tcW w:w="576" w:type="dxa"/>
            <w:tcBorders>
              <w:top w:val="nil"/>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themeColor="text1"/>
                <w:kern w:val="0"/>
                <w:sz w:val="18"/>
                <w:szCs w:val="18"/>
                <w14:textFill>
                  <w14:solidFill>
                    <w14:schemeClr w14:val="tx1"/>
                  </w14:solidFill>
                </w14:textFill>
              </w:rPr>
            </w:pPr>
            <w:r>
              <w:rPr>
                <w:rFonts w:hint="eastAsia" w:ascii="仿宋_GB2312" w:hAnsi="仿宋_GB2312" w:eastAsia="仿宋_GB2312" w:cs="仿宋_GB2312"/>
                <w:b w:val="0"/>
                <w:bCs w:val="0"/>
                <w:color w:val="000000" w:themeColor="text1"/>
                <w:kern w:val="0"/>
                <w:sz w:val="18"/>
                <w:szCs w:val="18"/>
                <w14:textFill>
                  <w14:solidFill>
                    <w14:schemeClr w14:val="tx1"/>
                  </w14:solidFill>
                </w14:textFill>
              </w:rPr>
              <w:t>1.8</w:t>
            </w:r>
          </w:p>
        </w:tc>
        <w:tc>
          <w:tcPr>
            <w:tcW w:w="5834" w:type="dxa"/>
            <w:tcBorders>
              <w:top w:val="nil"/>
              <w:left w:val="nil"/>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人才培育、激励机制不够健全，-1分。</w:t>
            </w:r>
          </w:p>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制定《菏泽市市级人才专项资金审核拨付暂行办法》，各主管部门未制定具体的人才专项资金审核拨付暂行办</w:t>
            </w:r>
            <w:r>
              <w:rPr>
                <w:rFonts w:hint="eastAsia" w:ascii="仿宋_GB2312" w:hAnsi="仿宋_GB2312" w:eastAsia="仿宋_GB2312" w:cs="仿宋_GB2312"/>
                <w:b w:val="0"/>
                <w:bCs w:val="0"/>
                <w:color w:val="000000" w:themeColor="text1"/>
                <w:kern w:val="0"/>
                <w:sz w:val="18"/>
                <w:szCs w:val="18"/>
                <w14:textFill>
                  <w14:solidFill>
                    <w14:schemeClr w14:val="tx1"/>
                  </w14:solidFill>
                </w14:textFill>
              </w:rPr>
              <w:t>法，-0.2分。</w:t>
            </w:r>
          </w:p>
        </w:tc>
        <w:tc>
          <w:tcPr>
            <w:tcW w:w="776" w:type="dxa"/>
            <w:vAlign w:val="center"/>
          </w:tcPr>
          <w:p>
            <w:pPr>
              <w:widowControl/>
              <w:ind w:firstLine="400"/>
              <w:jc w:val="left"/>
              <w:rPr>
                <w:rFonts w:hint="eastAsia" w:ascii="仿宋_GB2312" w:hAnsi="仿宋_GB2312" w:eastAsia="仿宋_GB2312" w:cs="仿宋_GB2312"/>
                <w:b w:val="0"/>
                <w:bCs w:val="0"/>
                <w:kern w:val="0"/>
                <w:sz w:val="20"/>
                <w:szCs w:val="20"/>
              </w:rPr>
            </w:pPr>
          </w:p>
        </w:tc>
      </w:tr>
      <w:tr>
        <w:tblPrEx>
          <w:tblCellMar>
            <w:top w:w="0" w:type="dxa"/>
            <w:left w:w="108" w:type="dxa"/>
            <w:bottom w:w="0" w:type="dxa"/>
            <w:right w:w="108" w:type="dxa"/>
          </w:tblCellMar>
        </w:tblPrEx>
        <w:trPr>
          <w:trHeight w:val="988" w:hRule="atLeast"/>
        </w:trPr>
        <w:tc>
          <w:tcPr>
            <w:tcW w:w="9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ind w:firstLine="360"/>
              <w:jc w:val="center"/>
              <w:rPr>
                <w:rFonts w:hint="eastAsia" w:ascii="仿宋_GB2312" w:hAnsi="仿宋_GB2312" w:eastAsia="仿宋_GB2312" w:cs="仿宋_GB2312"/>
                <w:b w:val="0"/>
                <w:bCs w:val="0"/>
                <w:color w:val="000000"/>
                <w:kern w:val="0"/>
                <w:sz w:val="18"/>
                <w:szCs w:val="18"/>
              </w:rPr>
            </w:pPr>
          </w:p>
        </w:tc>
        <w:tc>
          <w:tcPr>
            <w:tcW w:w="971"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360"/>
              <w:jc w:val="center"/>
              <w:rPr>
                <w:rFonts w:hint="eastAsia" w:ascii="仿宋_GB2312" w:hAnsi="仿宋_GB2312" w:eastAsia="仿宋_GB2312" w:cs="仿宋_GB2312"/>
                <w:b w:val="0"/>
                <w:bCs w:val="0"/>
                <w:color w:val="000000"/>
                <w:kern w:val="0"/>
                <w:sz w:val="18"/>
                <w:szCs w:val="18"/>
              </w:rPr>
            </w:pPr>
          </w:p>
        </w:tc>
        <w:tc>
          <w:tcPr>
            <w:tcW w:w="138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2.3.2制度执行有效性</w:t>
            </w:r>
          </w:p>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（2分）</w:t>
            </w:r>
          </w:p>
        </w:tc>
        <w:tc>
          <w:tcPr>
            <w:tcW w:w="4184" w:type="dxa"/>
            <w:tcBorders>
              <w:top w:val="nil"/>
              <w:left w:val="nil"/>
              <w:bottom w:val="single" w:color="auto" w:sz="4" w:space="0"/>
              <w:right w:val="single" w:color="auto" w:sz="4" w:space="0"/>
            </w:tcBorders>
            <w:shd w:val="clear" w:color="auto" w:fill="auto"/>
            <w:vAlign w:val="center"/>
          </w:tcPr>
          <w:p>
            <w:pPr>
              <w:widowControl/>
              <w:ind w:firstLine="0" w:firstLineChars="0"/>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该项分值1分。严格执行相关管理制度得1分，每发现一处未严格执行相关制度，扣0.2分，扣完为止。</w:t>
            </w:r>
          </w:p>
        </w:tc>
        <w:tc>
          <w:tcPr>
            <w:tcW w:w="576" w:type="dxa"/>
            <w:tcBorders>
              <w:top w:val="nil"/>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themeColor="text1"/>
                <w:kern w:val="0"/>
                <w:sz w:val="18"/>
                <w:szCs w:val="18"/>
                <w14:textFill>
                  <w14:solidFill>
                    <w14:schemeClr w14:val="tx1"/>
                  </w14:solidFill>
                </w14:textFill>
              </w:rPr>
            </w:pPr>
            <w:r>
              <w:rPr>
                <w:rFonts w:hint="eastAsia" w:ascii="仿宋_GB2312" w:hAnsi="仿宋_GB2312" w:eastAsia="仿宋_GB2312" w:cs="仿宋_GB2312"/>
                <w:b w:val="0"/>
                <w:bCs w:val="0"/>
                <w:color w:val="000000" w:themeColor="text1"/>
                <w:kern w:val="0"/>
                <w:sz w:val="18"/>
                <w:szCs w:val="18"/>
                <w14:textFill>
                  <w14:solidFill>
                    <w14:schemeClr w14:val="tx1"/>
                  </w14:solidFill>
                </w14:textFill>
              </w:rPr>
              <w:t>0.6</w:t>
            </w:r>
          </w:p>
        </w:tc>
        <w:tc>
          <w:tcPr>
            <w:tcW w:w="5834" w:type="dxa"/>
            <w:tcBorders>
              <w:top w:val="nil"/>
              <w:left w:val="nil"/>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市属企业引进高校毕业生生活补贴中，发现2处（闫箫仿、张洲鹤）签订劳动合同时间不足3年，-0.4分。</w:t>
            </w:r>
          </w:p>
        </w:tc>
        <w:tc>
          <w:tcPr>
            <w:tcW w:w="776" w:type="dxa"/>
            <w:vAlign w:val="center"/>
          </w:tcPr>
          <w:p>
            <w:pPr>
              <w:widowControl/>
              <w:ind w:firstLine="400"/>
              <w:jc w:val="left"/>
              <w:rPr>
                <w:rFonts w:hint="eastAsia" w:ascii="仿宋_GB2312" w:hAnsi="仿宋_GB2312" w:eastAsia="仿宋_GB2312" w:cs="仿宋_GB2312"/>
                <w:b w:val="0"/>
                <w:bCs w:val="0"/>
                <w:kern w:val="0"/>
                <w:sz w:val="20"/>
                <w:szCs w:val="20"/>
              </w:rPr>
            </w:pPr>
          </w:p>
        </w:tc>
      </w:tr>
      <w:tr>
        <w:tblPrEx>
          <w:tblCellMar>
            <w:top w:w="0" w:type="dxa"/>
            <w:left w:w="108" w:type="dxa"/>
            <w:bottom w:w="0" w:type="dxa"/>
            <w:right w:w="108" w:type="dxa"/>
          </w:tblCellMar>
        </w:tblPrEx>
        <w:trPr>
          <w:trHeight w:val="690" w:hRule="atLeast"/>
        </w:trPr>
        <w:tc>
          <w:tcPr>
            <w:tcW w:w="9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ind w:firstLine="360"/>
              <w:jc w:val="center"/>
              <w:rPr>
                <w:rFonts w:hint="eastAsia" w:ascii="仿宋_GB2312" w:hAnsi="仿宋_GB2312" w:eastAsia="仿宋_GB2312" w:cs="仿宋_GB2312"/>
                <w:b w:val="0"/>
                <w:bCs w:val="0"/>
                <w:color w:val="000000"/>
                <w:kern w:val="0"/>
                <w:sz w:val="18"/>
                <w:szCs w:val="18"/>
              </w:rPr>
            </w:pPr>
          </w:p>
        </w:tc>
        <w:tc>
          <w:tcPr>
            <w:tcW w:w="971"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360"/>
              <w:jc w:val="center"/>
              <w:rPr>
                <w:rFonts w:hint="eastAsia" w:ascii="仿宋_GB2312" w:hAnsi="仿宋_GB2312" w:eastAsia="仿宋_GB2312" w:cs="仿宋_GB2312"/>
                <w:b w:val="0"/>
                <w:bCs w:val="0"/>
                <w:color w:val="000000"/>
                <w:kern w:val="0"/>
                <w:sz w:val="18"/>
                <w:szCs w:val="18"/>
              </w:rPr>
            </w:pPr>
          </w:p>
        </w:tc>
        <w:tc>
          <w:tcPr>
            <w:tcW w:w="1381"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360"/>
              <w:jc w:val="center"/>
              <w:rPr>
                <w:rFonts w:hint="eastAsia" w:ascii="仿宋_GB2312" w:hAnsi="仿宋_GB2312" w:eastAsia="仿宋_GB2312" w:cs="仿宋_GB2312"/>
                <w:b w:val="0"/>
                <w:bCs w:val="0"/>
                <w:color w:val="000000"/>
                <w:kern w:val="0"/>
                <w:sz w:val="18"/>
                <w:szCs w:val="18"/>
              </w:rPr>
            </w:pPr>
          </w:p>
        </w:tc>
        <w:tc>
          <w:tcPr>
            <w:tcW w:w="4184" w:type="dxa"/>
            <w:tcBorders>
              <w:top w:val="nil"/>
              <w:left w:val="nil"/>
              <w:bottom w:val="single" w:color="auto" w:sz="4" w:space="0"/>
              <w:right w:val="single" w:color="auto" w:sz="4" w:space="0"/>
            </w:tcBorders>
            <w:shd w:val="clear" w:color="auto" w:fill="auto"/>
            <w:vAlign w:val="center"/>
          </w:tcPr>
          <w:p>
            <w:pPr>
              <w:widowControl/>
              <w:ind w:firstLine="0" w:firstLineChars="0"/>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该项分值1分。制度执行的佐证资料齐全得1分，否则每缺少一项扣0.2分。</w:t>
            </w:r>
          </w:p>
        </w:tc>
        <w:tc>
          <w:tcPr>
            <w:tcW w:w="576" w:type="dxa"/>
            <w:tcBorders>
              <w:top w:val="nil"/>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themeColor="text1"/>
                <w:kern w:val="0"/>
                <w:sz w:val="18"/>
                <w:szCs w:val="18"/>
                <w14:textFill>
                  <w14:solidFill>
                    <w14:schemeClr w14:val="tx1"/>
                  </w14:solidFill>
                </w14:textFill>
              </w:rPr>
            </w:pPr>
            <w:r>
              <w:rPr>
                <w:rFonts w:hint="eastAsia" w:ascii="仿宋_GB2312" w:hAnsi="仿宋_GB2312" w:eastAsia="仿宋_GB2312" w:cs="仿宋_GB2312"/>
                <w:b w:val="0"/>
                <w:bCs w:val="0"/>
                <w:color w:val="000000" w:themeColor="text1"/>
                <w:kern w:val="0"/>
                <w:sz w:val="18"/>
                <w:szCs w:val="18"/>
                <w14:textFill>
                  <w14:solidFill>
                    <w14:schemeClr w14:val="tx1"/>
                  </w14:solidFill>
                </w14:textFill>
              </w:rPr>
              <w:t>1</w:t>
            </w:r>
          </w:p>
        </w:tc>
        <w:tc>
          <w:tcPr>
            <w:tcW w:w="5834" w:type="dxa"/>
            <w:tcBorders>
              <w:top w:val="nil"/>
              <w:left w:val="nil"/>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制度执行的佐证资料较为齐全</w:t>
            </w:r>
          </w:p>
        </w:tc>
        <w:tc>
          <w:tcPr>
            <w:tcW w:w="776" w:type="dxa"/>
            <w:vAlign w:val="center"/>
          </w:tcPr>
          <w:p>
            <w:pPr>
              <w:widowControl/>
              <w:ind w:firstLine="400"/>
              <w:jc w:val="left"/>
              <w:rPr>
                <w:rFonts w:hint="eastAsia" w:ascii="仿宋_GB2312" w:hAnsi="仿宋_GB2312" w:eastAsia="仿宋_GB2312" w:cs="仿宋_GB2312"/>
                <w:b w:val="0"/>
                <w:bCs w:val="0"/>
                <w:kern w:val="0"/>
                <w:sz w:val="20"/>
                <w:szCs w:val="20"/>
              </w:rPr>
            </w:pPr>
          </w:p>
        </w:tc>
      </w:tr>
      <w:tr>
        <w:tblPrEx>
          <w:tblCellMar>
            <w:top w:w="0" w:type="dxa"/>
            <w:left w:w="108" w:type="dxa"/>
            <w:bottom w:w="0" w:type="dxa"/>
            <w:right w:w="108" w:type="dxa"/>
          </w:tblCellMar>
        </w:tblPrEx>
        <w:trPr>
          <w:trHeight w:val="983" w:hRule="atLeast"/>
        </w:trPr>
        <w:tc>
          <w:tcPr>
            <w:tcW w:w="9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ind w:firstLine="360"/>
              <w:jc w:val="center"/>
              <w:rPr>
                <w:rFonts w:hint="eastAsia" w:ascii="仿宋_GB2312" w:hAnsi="仿宋_GB2312" w:eastAsia="仿宋_GB2312" w:cs="仿宋_GB2312"/>
                <w:b w:val="0"/>
                <w:bCs w:val="0"/>
                <w:color w:val="000000"/>
                <w:kern w:val="0"/>
                <w:sz w:val="18"/>
                <w:szCs w:val="18"/>
              </w:rPr>
            </w:pPr>
          </w:p>
        </w:tc>
        <w:tc>
          <w:tcPr>
            <w:tcW w:w="97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2.4政策监督</w:t>
            </w:r>
          </w:p>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（8分）</w:t>
            </w:r>
          </w:p>
        </w:tc>
        <w:tc>
          <w:tcPr>
            <w:tcW w:w="1381"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2.4.1政策监督机制健全性（3分）</w:t>
            </w:r>
          </w:p>
        </w:tc>
        <w:tc>
          <w:tcPr>
            <w:tcW w:w="4184" w:type="dxa"/>
            <w:tcBorders>
              <w:top w:val="nil"/>
              <w:left w:val="nil"/>
              <w:bottom w:val="single" w:color="auto" w:sz="4" w:space="0"/>
              <w:right w:val="single" w:color="auto" w:sz="4" w:space="0"/>
            </w:tcBorders>
            <w:shd w:val="clear" w:color="auto" w:fill="auto"/>
            <w:vAlign w:val="center"/>
          </w:tcPr>
          <w:p>
            <w:pPr>
              <w:widowControl/>
              <w:ind w:firstLine="0" w:firstLineChars="0"/>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该项分值为3分。政策监督机制健全得3分，否则该项不得分。</w:t>
            </w:r>
          </w:p>
        </w:tc>
        <w:tc>
          <w:tcPr>
            <w:tcW w:w="576" w:type="dxa"/>
            <w:tcBorders>
              <w:top w:val="nil"/>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themeColor="text1"/>
                <w:kern w:val="0"/>
                <w:sz w:val="18"/>
                <w:szCs w:val="18"/>
                <w14:textFill>
                  <w14:solidFill>
                    <w14:schemeClr w14:val="tx1"/>
                  </w14:solidFill>
                </w14:textFill>
              </w:rPr>
            </w:pPr>
            <w:r>
              <w:rPr>
                <w:rFonts w:hint="eastAsia" w:ascii="仿宋_GB2312" w:hAnsi="仿宋_GB2312" w:eastAsia="仿宋_GB2312" w:cs="仿宋_GB2312"/>
                <w:b w:val="0"/>
                <w:bCs w:val="0"/>
                <w:color w:val="000000" w:themeColor="text1"/>
                <w:kern w:val="0"/>
                <w:sz w:val="18"/>
                <w:szCs w:val="18"/>
                <w14:textFill>
                  <w14:solidFill>
                    <w14:schemeClr w14:val="tx1"/>
                  </w14:solidFill>
                </w14:textFill>
              </w:rPr>
              <w:t>0</w:t>
            </w:r>
          </w:p>
        </w:tc>
        <w:tc>
          <w:tcPr>
            <w:tcW w:w="5834" w:type="dxa"/>
            <w:tcBorders>
              <w:top w:val="nil"/>
              <w:left w:val="nil"/>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未见政策监督机制，-3分。</w:t>
            </w:r>
          </w:p>
        </w:tc>
        <w:tc>
          <w:tcPr>
            <w:tcW w:w="776" w:type="dxa"/>
            <w:vAlign w:val="center"/>
          </w:tcPr>
          <w:p>
            <w:pPr>
              <w:widowControl/>
              <w:ind w:firstLine="400"/>
              <w:jc w:val="left"/>
              <w:rPr>
                <w:rFonts w:hint="eastAsia" w:ascii="仿宋_GB2312" w:hAnsi="仿宋_GB2312" w:eastAsia="仿宋_GB2312" w:cs="仿宋_GB2312"/>
                <w:b w:val="0"/>
                <w:bCs w:val="0"/>
                <w:kern w:val="0"/>
                <w:sz w:val="20"/>
                <w:szCs w:val="20"/>
              </w:rPr>
            </w:pPr>
          </w:p>
        </w:tc>
      </w:tr>
      <w:tr>
        <w:tblPrEx>
          <w:tblCellMar>
            <w:top w:w="0" w:type="dxa"/>
            <w:left w:w="108" w:type="dxa"/>
            <w:bottom w:w="0" w:type="dxa"/>
            <w:right w:w="108" w:type="dxa"/>
          </w:tblCellMar>
        </w:tblPrEx>
        <w:trPr>
          <w:trHeight w:val="1125" w:hRule="atLeast"/>
        </w:trPr>
        <w:tc>
          <w:tcPr>
            <w:tcW w:w="9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p>
        </w:tc>
        <w:tc>
          <w:tcPr>
            <w:tcW w:w="97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p>
        </w:tc>
        <w:tc>
          <w:tcPr>
            <w:tcW w:w="138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2.4.2政策监督有效性</w:t>
            </w:r>
          </w:p>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（5分）</w:t>
            </w:r>
          </w:p>
        </w:tc>
        <w:tc>
          <w:tcPr>
            <w:tcW w:w="4184" w:type="dxa"/>
            <w:tcBorders>
              <w:top w:val="nil"/>
              <w:left w:val="nil"/>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该项分值3分。严格执行政策监督机制得3分，否则，每发现一处未执行政策监督机制扣1分，扣完为止。未建立政策监督机制，该项三级指标不得分。</w:t>
            </w:r>
          </w:p>
        </w:tc>
        <w:tc>
          <w:tcPr>
            <w:tcW w:w="576" w:type="dxa"/>
            <w:tcBorders>
              <w:top w:val="nil"/>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themeColor="text1"/>
                <w:kern w:val="0"/>
                <w:sz w:val="18"/>
                <w:szCs w:val="18"/>
                <w14:textFill>
                  <w14:solidFill>
                    <w14:schemeClr w14:val="tx1"/>
                  </w14:solidFill>
                </w14:textFill>
              </w:rPr>
            </w:pPr>
            <w:r>
              <w:rPr>
                <w:rFonts w:hint="eastAsia" w:ascii="仿宋_GB2312" w:hAnsi="仿宋_GB2312" w:eastAsia="仿宋_GB2312" w:cs="仿宋_GB2312"/>
                <w:b w:val="0"/>
                <w:bCs w:val="0"/>
                <w:color w:val="000000" w:themeColor="text1"/>
                <w:kern w:val="0"/>
                <w:sz w:val="18"/>
                <w:szCs w:val="18"/>
                <w14:textFill>
                  <w14:solidFill>
                    <w14:schemeClr w14:val="tx1"/>
                  </w14:solidFill>
                </w14:textFill>
              </w:rPr>
              <w:t>0</w:t>
            </w:r>
          </w:p>
        </w:tc>
        <w:tc>
          <w:tcPr>
            <w:tcW w:w="5834" w:type="dxa"/>
            <w:tcBorders>
              <w:top w:val="nil"/>
              <w:left w:val="nil"/>
              <w:bottom w:val="single" w:color="auto" w:sz="4" w:space="0"/>
              <w:right w:val="single" w:color="auto" w:sz="4" w:space="0"/>
            </w:tcBorders>
            <w:shd w:val="clear" w:color="auto" w:fill="auto"/>
            <w:vAlign w:val="center"/>
          </w:tcPr>
          <w:p>
            <w:pPr>
              <w:widowControl/>
              <w:ind w:firstLine="0" w:firstLineChars="0"/>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未见执行政策监督机制佐证资料，-3分。</w:t>
            </w:r>
          </w:p>
        </w:tc>
        <w:tc>
          <w:tcPr>
            <w:tcW w:w="776" w:type="dxa"/>
            <w:vAlign w:val="center"/>
          </w:tcPr>
          <w:p>
            <w:pPr>
              <w:widowControl/>
              <w:ind w:firstLine="400"/>
              <w:jc w:val="left"/>
              <w:rPr>
                <w:rFonts w:hint="eastAsia" w:ascii="仿宋_GB2312" w:hAnsi="仿宋_GB2312" w:eastAsia="仿宋_GB2312" w:cs="仿宋_GB2312"/>
                <w:b w:val="0"/>
                <w:bCs w:val="0"/>
                <w:kern w:val="0"/>
                <w:sz w:val="20"/>
                <w:szCs w:val="20"/>
              </w:rPr>
            </w:pPr>
          </w:p>
        </w:tc>
      </w:tr>
      <w:tr>
        <w:tblPrEx>
          <w:tblCellMar>
            <w:top w:w="0" w:type="dxa"/>
            <w:left w:w="108" w:type="dxa"/>
            <w:bottom w:w="0" w:type="dxa"/>
            <w:right w:w="108" w:type="dxa"/>
          </w:tblCellMar>
        </w:tblPrEx>
        <w:trPr>
          <w:trHeight w:val="1410" w:hRule="atLeast"/>
        </w:trPr>
        <w:tc>
          <w:tcPr>
            <w:tcW w:w="9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360"/>
              <w:jc w:val="left"/>
              <w:rPr>
                <w:rFonts w:hint="eastAsia" w:ascii="仿宋_GB2312" w:hAnsi="仿宋_GB2312" w:eastAsia="仿宋_GB2312" w:cs="仿宋_GB2312"/>
                <w:b w:val="0"/>
                <w:bCs w:val="0"/>
                <w:color w:val="000000"/>
                <w:kern w:val="0"/>
                <w:sz w:val="18"/>
                <w:szCs w:val="18"/>
              </w:rPr>
            </w:pPr>
          </w:p>
        </w:tc>
        <w:tc>
          <w:tcPr>
            <w:tcW w:w="97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360"/>
              <w:jc w:val="left"/>
              <w:rPr>
                <w:rFonts w:hint="eastAsia" w:ascii="仿宋_GB2312" w:hAnsi="仿宋_GB2312" w:eastAsia="仿宋_GB2312" w:cs="仿宋_GB2312"/>
                <w:b w:val="0"/>
                <w:bCs w:val="0"/>
                <w:color w:val="000000"/>
                <w:kern w:val="0"/>
                <w:sz w:val="18"/>
                <w:szCs w:val="18"/>
              </w:rPr>
            </w:pPr>
          </w:p>
        </w:tc>
        <w:tc>
          <w:tcPr>
            <w:tcW w:w="1381"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360"/>
              <w:jc w:val="left"/>
              <w:rPr>
                <w:rFonts w:hint="eastAsia" w:ascii="仿宋_GB2312" w:hAnsi="仿宋_GB2312" w:eastAsia="仿宋_GB2312" w:cs="仿宋_GB2312"/>
                <w:b w:val="0"/>
                <w:bCs w:val="0"/>
                <w:color w:val="000000"/>
                <w:kern w:val="0"/>
                <w:sz w:val="18"/>
                <w:szCs w:val="18"/>
              </w:rPr>
            </w:pPr>
          </w:p>
        </w:tc>
        <w:tc>
          <w:tcPr>
            <w:tcW w:w="4184" w:type="dxa"/>
            <w:tcBorders>
              <w:top w:val="nil"/>
              <w:left w:val="nil"/>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该项分值为2分。对发现的问题及时整改且整改到位得2分，否则每缺少一项扣1分，扣完为止。政策执行监督、监管过程中未发现问题，本项二级指标得2分。</w:t>
            </w:r>
          </w:p>
        </w:tc>
        <w:tc>
          <w:tcPr>
            <w:tcW w:w="576" w:type="dxa"/>
            <w:tcBorders>
              <w:top w:val="nil"/>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themeColor="text1"/>
                <w:kern w:val="0"/>
                <w:sz w:val="18"/>
                <w:szCs w:val="18"/>
                <w14:textFill>
                  <w14:solidFill>
                    <w14:schemeClr w14:val="tx1"/>
                  </w14:solidFill>
                </w14:textFill>
              </w:rPr>
            </w:pPr>
            <w:r>
              <w:rPr>
                <w:rFonts w:hint="eastAsia" w:ascii="仿宋_GB2312" w:hAnsi="仿宋_GB2312" w:eastAsia="仿宋_GB2312" w:cs="仿宋_GB2312"/>
                <w:b w:val="0"/>
                <w:bCs w:val="0"/>
                <w:color w:val="000000" w:themeColor="text1"/>
                <w:kern w:val="0"/>
                <w:sz w:val="18"/>
                <w:szCs w:val="18"/>
                <w14:textFill>
                  <w14:solidFill>
                    <w14:schemeClr w14:val="tx1"/>
                  </w14:solidFill>
                </w14:textFill>
              </w:rPr>
              <w:t>0</w:t>
            </w:r>
          </w:p>
        </w:tc>
        <w:tc>
          <w:tcPr>
            <w:tcW w:w="5834" w:type="dxa"/>
            <w:tcBorders>
              <w:top w:val="nil"/>
              <w:left w:val="nil"/>
              <w:bottom w:val="single" w:color="auto" w:sz="4" w:space="0"/>
              <w:right w:val="single" w:color="auto" w:sz="4" w:space="0"/>
            </w:tcBorders>
            <w:shd w:val="clear" w:color="auto" w:fill="auto"/>
            <w:vAlign w:val="center"/>
          </w:tcPr>
          <w:p>
            <w:pPr>
              <w:widowControl/>
              <w:ind w:firstLine="0" w:firstLineChars="0"/>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未见执行政策监督机制佐证资料，-2分。</w:t>
            </w:r>
          </w:p>
        </w:tc>
        <w:tc>
          <w:tcPr>
            <w:tcW w:w="776" w:type="dxa"/>
            <w:vAlign w:val="center"/>
          </w:tcPr>
          <w:p>
            <w:pPr>
              <w:widowControl/>
              <w:ind w:firstLine="400"/>
              <w:jc w:val="left"/>
              <w:rPr>
                <w:rFonts w:hint="eastAsia" w:ascii="仿宋_GB2312" w:hAnsi="仿宋_GB2312" w:eastAsia="仿宋_GB2312" w:cs="仿宋_GB2312"/>
                <w:b w:val="0"/>
                <w:bCs w:val="0"/>
                <w:kern w:val="0"/>
                <w:sz w:val="20"/>
                <w:szCs w:val="20"/>
              </w:rPr>
            </w:pPr>
          </w:p>
        </w:tc>
      </w:tr>
      <w:tr>
        <w:tblPrEx>
          <w:tblCellMar>
            <w:top w:w="0" w:type="dxa"/>
            <w:left w:w="108" w:type="dxa"/>
            <w:bottom w:w="0" w:type="dxa"/>
            <w:right w:w="108" w:type="dxa"/>
          </w:tblCellMar>
        </w:tblPrEx>
        <w:trPr>
          <w:trHeight w:val="1015" w:hRule="atLeast"/>
        </w:trPr>
        <w:tc>
          <w:tcPr>
            <w:tcW w:w="93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3政策</w:t>
            </w:r>
          </w:p>
          <w:p>
            <w:pPr>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产出</w:t>
            </w:r>
          </w:p>
          <w:p>
            <w:pPr>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（35分）</w:t>
            </w:r>
          </w:p>
        </w:tc>
        <w:tc>
          <w:tcPr>
            <w:tcW w:w="97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3.1政策产出数量（30分）</w:t>
            </w:r>
          </w:p>
        </w:tc>
        <w:tc>
          <w:tcPr>
            <w:tcW w:w="1381"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3.1.1“实施动能转换领军人才特殊支持计划”完成率（3分）</w:t>
            </w:r>
          </w:p>
        </w:tc>
        <w:tc>
          <w:tcPr>
            <w:tcW w:w="4184" w:type="dxa"/>
            <w:tcBorders>
              <w:top w:val="nil"/>
              <w:left w:val="nil"/>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该项分值为3分。对照“人才新政30条”的“实施动能转换领军人才特殊支持计划”政策，完成本条政策全部内容得3分，否则根据实际完成情况进行赋分。得分=政策实际完成数/3*指标满分值3分。</w:t>
            </w:r>
          </w:p>
        </w:tc>
        <w:tc>
          <w:tcPr>
            <w:tcW w:w="576" w:type="dxa"/>
            <w:tcBorders>
              <w:top w:val="nil"/>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themeColor="text1"/>
                <w:kern w:val="0"/>
                <w:sz w:val="18"/>
                <w:szCs w:val="18"/>
                <w14:textFill>
                  <w14:solidFill>
                    <w14:schemeClr w14:val="tx1"/>
                  </w14:solidFill>
                </w14:textFill>
              </w:rPr>
            </w:pPr>
            <w:r>
              <w:rPr>
                <w:rFonts w:hint="eastAsia" w:ascii="仿宋_GB2312" w:hAnsi="仿宋_GB2312" w:eastAsia="仿宋_GB2312" w:cs="仿宋_GB2312"/>
                <w:b w:val="0"/>
                <w:bCs w:val="0"/>
                <w:color w:val="000000" w:themeColor="text1"/>
                <w:kern w:val="0"/>
                <w:sz w:val="18"/>
                <w:szCs w:val="18"/>
                <w14:textFill>
                  <w14:solidFill>
                    <w14:schemeClr w14:val="tx1"/>
                  </w14:solidFill>
                </w14:textFill>
              </w:rPr>
              <w:t>3</w:t>
            </w:r>
          </w:p>
        </w:tc>
        <w:tc>
          <w:tcPr>
            <w:tcW w:w="5834" w:type="dxa"/>
            <w:tcBorders>
              <w:top w:val="nil"/>
              <w:left w:val="nil"/>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1.2021年3月20日，公布首批动能转换领军人才名单15名，创新类10名，创业企业类5名。</w:t>
            </w:r>
            <w:r>
              <w:rPr>
                <w:rFonts w:hint="eastAsia" w:ascii="仿宋_GB2312" w:hAnsi="仿宋_GB2312" w:eastAsia="仿宋_GB2312" w:cs="仿宋_GB2312"/>
                <w:b w:val="0"/>
                <w:bCs w:val="0"/>
                <w:color w:val="000000"/>
                <w:kern w:val="0"/>
                <w:sz w:val="18"/>
                <w:szCs w:val="18"/>
              </w:rPr>
              <w:br w:type="textWrapping"/>
            </w:r>
            <w:r>
              <w:rPr>
                <w:rFonts w:hint="eastAsia" w:ascii="仿宋_GB2312" w:hAnsi="仿宋_GB2312" w:eastAsia="仿宋_GB2312" w:cs="仿宋_GB2312"/>
                <w:b w:val="0"/>
                <w:bCs w:val="0"/>
                <w:color w:val="000000"/>
                <w:kern w:val="0"/>
                <w:sz w:val="18"/>
                <w:szCs w:val="18"/>
              </w:rPr>
              <w:t>2.认定创新类10名。</w:t>
            </w:r>
            <w:r>
              <w:rPr>
                <w:rFonts w:hint="eastAsia" w:ascii="仿宋_GB2312" w:hAnsi="仿宋_GB2312" w:eastAsia="仿宋_GB2312" w:cs="仿宋_GB2312"/>
                <w:b w:val="0"/>
                <w:bCs w:val="0"/>
                <w:color w:val="000000"/>
                <w:kern w:val="0"/>
                <w:sz w:val="18"/>
                <w:szCs w:val="18"/>
              </w:rPr>
              <w:br w:type="textWrapping"/>
            </w:r>
            <w:r>
              <w:rPr>
                <w:rFonts w:hint="eastAsia" w:ascii="仿宋_GB2312" w:hAnsi="仿宋_GB2312" w:eastAsia="仿宋_GB2312" w:cs="仿宋_GB2312"/>
                <w:b w:val="0"/>
                <w:bCs w:val="0"/>
                <w:color w:val="000000"/>
                <w:kern w:val="0"/>
                <w:sz w:val="18"/>
                <w:szCs w:val="18"/>
              </w:rPr>
              <w:t>3.认定创业企业类5名。</w:t>
            </w:r>
          </w:p>
        </w:tc>
        <w:tc>
          <w:tcPr>
            <w:tcW w:w="776" w:type="dxa"/>
            <w:vAlign w:val="center"/>
          </w:tcPr>
          <w:p>
            <w:pPr>
              <w:widowControl/>
              <w:ind w:firstLine="400"/>
              <w:jc w:val="left"/>
              <w:rPr>
                <w:rFonts w:hint="eastAsia" w:ascii="仿宋_GB2312" w:hAnsi="仿宋_GB2312" w:eastAsia="仿宋_GB2312" w:cs="仿宋_GB2312"/>
                <w:b w:val="0"/>
                <w:bCs w:val="0"/>
                <w:kern w:val="0"/>
                <w:sz w:val="20"/>
                <w:szCs w:val="20"/>
              </w:rPr>
            </w:pPr>
          </w:p>
        </w:tc>
      </w:tr>
      <w:tr>
        <w:tblPrEx>
          <w:tblCellMar>
            <w:top w:w="0" w:type="dxa"/>
            <w:left w:w="108" w:type="dxa"/>
            <w:bottom w:w="0" w:type="dxa"/>
            <w:right w:w="108" w:type="dxa"/>
          </w:tblCellMar>
        </w:tblPrEx>
        <w:trPr>
          <w:trHeight w:val="1444" w:hRule="atLeast"/>
        </w:trPr>
        <w:tc>
          <w:tcPr>
            <w:tcW w:w="9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ind w:firstLine="360"/>
              <w:jc w:val="center"/>
              <w:rPr>
                <w:rFonts w:hint="eastAsia" w:ascii="仿宋_GB2312" w:hAnsi="仿宋_GB2312" w:eastAsia="仿宋_GB2312" w:cs="仿宋_GB2312"/>
                <w:b w:val="0"/>
                <w:bCs w:val="0"/>
                <w:color w:val="000000"/>
                <w:kern w:val="0"/>
                <w:sz w:val="18"/>
                <w:szCs w:val="18"/>
              </w:rPr>
            </w:pPr>
          </w:p>
        </w:tc>
        <w:tc>
          <w:tcPr>
            <w:tcW w:w="97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360"/>
              <w:jc w:val="left"/>
              <w:rPr>
                <w:rFonts w:hint="eastAsia" w:ascii="仿宋_GB2312" w:hAnsi="仿宋_GB2312" w:eastAsia="仿宋_GB2312" w:cs="仿宋_GB2312"/>
                <w:b w:val="0"/>
                <w:bCs w:val="0"/>
                <w:color w:val="000000"/>
                <w:kern w:val="0"/>
                <w:sz w:val="18"/>
                <w:szCs w:val="18"/>
              </w:rPr>
            </w:pPr>
          </w:p>
        </w:tc>
        <w:tc>
          <w:tcPr>
            <w:tcW w:w="1381"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3.1.2“加大高端人才支持力度”完成率</w:t>
            </w:r>
          </w:p>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（3分）</w:t>
            </w:r>
          </w:p>
        </w:tc>
        <w:tc>
          <w:tcPr>
            <w:tcW w:w="4184" w:type="dxa"/>
            <w:tcBorders>
              <w:top w:val="nil"/>
              <w:left w:val="nil"/>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该项分值为3分。</w:t>
            </w:r>
            <w:r>
              <w:rPr>
                <w:rFonts w:hint="eastAsia" w:ascii="仿宋_GB2312" w:hAnsi="仿宋_GB2312" w:eastAsia="仿宋_GB2312" w:cs="仿宋_GB2312"/>
                <w:b w:val="0"/>
                <w:bCs w:val="0"/>
                <w:color w:val="000000"/>
                <w:kern w:val="0"/>
                <w:sz w:val="18"/>
                <w:szCs w:val="18"/>
                <w:lang w:eastAsia="zh-CN"/>
              </w:rPr>
              <w:t>对照</w:t>
            </w:r>
            <w:r>
              <w:rPr>
                <w:rFonts w:hint="eastAsia" w:ascii="仿宋_GB2312" w:hAnsi="仿宋_GB2312" w:eastAsia="仿宋_GB2312" w:cs="仿宋_GB2312"/>
                <w:b w:val="0"/>
                <w:bCs w:val="0"/>
                <w:color w:val="000000"/>
                <w:kern w:val="0"/>
                <w:sz w:val="18"/>
                <w:szCs w:val="18"/>
              </w:rPr>
              <w:t>“人才新政30条”的“加大高端人才支持力度”政策，完成本条政策全部内容得3分，否则根据实际完成情况进行赋分。得分=政策实际完成数/3*指标满分值3分。</w:t>
            </w:r>
          </w:p>
        </w:tc>
        <w:tc>
          <w:tcPr>
            <w:tcW w:w="576" w:type="dxa"/>
            <w:tcBorders>
              <w:top w:val="nil"/>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themeColor="text1"/>
                <w:kern w:val="0"/>
                <w:sz w:val="18"/>
                <w:szCs w:val="18"/>
                <w14:textFill>
                  <w14:solidFill>
                    <w14:schemeClr w14:val="tx1"/>
                  </w14:solidFill>
                </w14:textFill>
              </w:rPr>
            </w:pPr>
            <w:r>
              <w:rPr>
                <w:rFonts w:hint="eastAsia" w:ascii="仿宋_GB2312" w:hAnsi="仿宋_GB2312" w:eastAsia="仿宋_GB2312" w:cs="仿宋_GB2312"/>
                <w:b w:val="0"/>
                <w:bCs w:val="0"/>
                <w:color w:val="000000" w:themeColor="text1"/>
                <w:kern w:val="0"/>
                <w:sz w:val="18"/>
                <w:szCs w:val="18"/>
                <w14:textFill>
                  <w14:solidFill>
                    <w14:schemeClr w14:val="tx1"/>
                  </w14:solidFill>
                </w14:textFill>
              </w:rPr>
              <w:t>3</w:t>
            </w:r>
          </w:p>
        </w:tc>
        <w:tc>
          <w:tcPr>
            <w:tcW w:w="5834" w:type="dxa"/>
            <w:tcBorders>
              <w:top w:val="nil"/>
              <w:left w:val="nil"/>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4.认定市级“一事一议”引才2各，林建国团队及谭文、张丹团队。</w:t>
            </w:r>
            <w:r>
              <w:rPr>
                <w:rFonts w:hint="eastAsia" w:ascii="仿宋_GB2312" w:hAnsi="仿宋_GB2312" w:eastAsia="仿宋_GB2312" w:cs="仿宋_GB2312"/>
                <w:b w:val="0"/>
                <w:bCs w:val="0"/>
                <w:color w:val="000000"/>
                <w:kern w:val="0"/>
                <w:sz w:val="18"/>
                <w:szCs w:val="18"/>
              </w:rPr>
              <w:br w:type="textWrapping"/>
            </w:r>
            <w:r>
              <w:rPr>
                <w:rFonts w:hint="eastAsia" w:ascii="仿宋_GB2312" w:hAnsi="仿宋_GB2312" w:eastAsia="仿宋_GB2312" w:cs="仿宋_GB2312"/>
                <w:b w:val="0"/>
                <w:bCs w:val="0"/>
                <w:color w:val="000000"/>
                <w:kern w:val="0"/>
                <w:sz w:val="18"/>
                <w:szCs w:val="18"/>
              </w:rPr>
              <w:t>5.根据《省级人才工程配套资金奖励汇总表》及资金拨付凭证，已对省级及以上重点人才工程入选者进行了奖励</w:t>
            </w:r>
            <w:r>
              <w:rPr>
                <w:rFonts w:hint="eastAsia" w:ascii="仿宋_GB2312" w:hAnsi="仿宋_GB2312" w:eastAsia="仿宋_GB2312" w:cs="仿宋_GB2312"/>
                <w:b w:val="0"/>
                <w:bCs w:val="0"/>
                <w:color w:val="000000"/>
                <w:kern w:val="0"/>
                <w:sz w:val="18"/>
                <w:szCs w:val="18"/>
              </w:rPr>
              <w:br w:type="textWrapping"/>
            </w:r>
            <w:r>
              <w:rPr>
                <w:rFonts w:hint="eastAsia" w:ascii="仿宋_GB2312" w:hAnsi="仿宋_GB2312" w:eastAsia="仿宋_GB2312" w:cs="仿宋_GB2312"/>
                <w:b w:val="0"/>
                <w:bCs w:val="0"/>
                <w:color w:val="000000"/>
                <w:kern w:val="0"/>
                <w:sz w:val="18"/>
                <w:szCs w:val="18"/>
              </w:rPr>
              <w:t>6.根据《市级人才工程奖励人员名单》及相关财务凭证，实施突贡专家人才工程并给予奖励。</w:t>
            </w:r>
          </w:p>
        </w:tc>
        <w:tc>
          <w:tcPr>
            <w:tcW w:w="776" w:type="dxa"/>
            <w:vAlign w:val="center"/>
          </w:tcPr>
          <w:p>
            <w:pPr>
              <w:widowControl/>
              <w:ind w:firstLine="400"/>
              <w:jc w:val="left"/>
              <w:rPr>
                <w:rFonts w:hint="eastAsia" w:ascii="仿宋_GB2312" w:hAnsi="仿宋_GB2312" w:eastAsia="仿宋_GB2312" w:cs="仿宋_GB2312"/>
                <w:b w:val="0"/>
                <w:bCs w:val="0"/>
                <w:kern w:val="0"/>
                <w:sz w:val="20"/>
                <w:szCs w:val="20"/>
              </w:rPr>
            </w:pPr>
          </w:p>
        </w:tc>
      </w:tr>
      <w:tr>
        <w:tblPrEx>
          <w:tblCellMar>
            <w:top w:w="0" w:type="dxa"/>
            <w:left w:w="108" w:type="dxa"/>
            <w:bottom w:w="0" w:type="dxa"/>
            <w:right w:w="108" w:type="dxa"/>
          </w:tblCellMar>
        </w:tblPrEx>
        <w:trPr>
          <w:trHeight w:val="1202" w:hRule="atLeast"/>
        </w:trPr>
        <w:tc>
          <w:tcPr>
            <w:tcW w:w="9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ind w:firstLine="360"/>
              <w:jc w:val="center"/>
              <w:rPr>
                <w:rFonts w:hint="eastAsia" w:ascii="仿宋_GB2312" w:hAnsi="仿宋_GB2312" w:eastAsia="仿宋_GB2312" w:cs="仿宋_GB2312"/>
                <w:b w:val="0"/>
                <w:bCs w:val="0"/>
                <w:color w:val="000000"/>
                <w:kern w:val="0"/>
                <w:sz w:val="18"/>
                <w:szCs w:val="18"/>
              </w:rPr>
            </w:pPr>
          </w:p>
        </w:tc>
        <w:tc>
          <w:tcPr>
            <w:tcW w:w="97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ind w:firstLine="0" w:firstLineChars="0"/>
              <w:jc w:val="center"/>
              <w:rPr>
                <w:rFonts w:hint="eastAsia" w:ascii="仿宋_GB2312" w:hAnsi="仿宋_GB2312" w:eastAsia="仿宋_GB2312" w:cs="仿宋_GB2312"/>
                <w:b w:val="0"/>
                <w:bCs w:val="0"/>
                <w:color w:val="000000"/>
                <w:kern w:val="0"/>
                <w:sz w:val="18"/>
                <w:szCs w:val="18"/>
              </w:rPr>
            </w:pPr>
          </w:p>
        </w:tc>
        <w:tc>
          <w:tcPr>
            <w:tcW w:w="1381"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3.1.3“实施高校毕业生集聚工程”完成率</w:t>
            </w:r>
          </w:p>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（3分）</w:t>
            </w:r>
          </w:p>
        </w:tc>
        <w:tc>
          <w:tcPr>
            <w:tcW w:w="4184" w:type="dxa"/>
            <w:tcBorders>
              <w:top w:val="nil"/>
              <w:left w:val="nil"/>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该项分值为3分。对照“人才新政30条”的“实施高校毕业生集聚工程”政策，完成本条政策全部内容得3分，否则根据实际完成情况进行赋分。得分=政策实际完成数/3*指标满分值3分。</w:t>
            </w:r>
          </w:p>
        </w:tc>
        <w:tc>
          <w:tcPr>
            <w:tcW w:w="576" w:type="dxa"/>
            <w:tcBorders>
              <w:top w:val="nil"/>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themeColor="text1"/>
                <w:kern w:val="0"/>
                <w:sz w:val="18"/>
                <w:szCs w:val="18"/>
                <w14:textFill>
                  <w14:solidFill>
                    <w14:schemeClr w14:val="tx1"/>
                  </w14:solidFill>
                </w14:textFill>
              </w:rPr>
            </w:pPr>
            <w:r>
              <w:rPr>
                <w:rFonts w:hint="eastAsia" w:ascii="仿宋_GB2312" w:hAnsi="仿宋_GB2312" w:eastAsia="仿宋_GB2312" w:cs="仿宋_GB2312"/>
                <w:b w:val="0"/>
                <w:bCs w:val="0"/>
                <w:color w:val="000000" w:themeColor="text1"/>
                <w:kern w:val="0"/>
                <w:sz w:val="18"/>
                <w:szCs w:val="18"/>
                <w14:textFill>
                  <w14:solidFill>
                    <w14:schemeClr w14:val="tx1"/>
                  </w14:solidFill>
                </w14:textFill>
              </w:rPr>
              <w:t>3</w:t>
            </w:r>
          </w:p>
        </w:tc>
        <w:tc>
          <w:tcPr>
            <w:tcW w:w="5834" w:type="dxa"/>
            <w:tcBorders>
              <w:top w:val="nil"/>
              <w:left w:val="nil"/>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7.根据《市广播电视台及市直公立医院引进急需紧缺高层次人才申请补贴人员名单》及相关财务凭证，市属事业单位本硕博补贴已按政策标准进行实施。根据《菏泽市市直事业单位引进高层次人才汇总名单》，中小学招聘高层次人才按政策执行。</w:t>
            </w:r>
            <w:r>
              <w:rPr>
                <w:rFonts w:hint="eastAsia" w:ascii="仿宋_GB2312" w:hAnsi="仿宋_GB2312" w:eastAsia="仿宋_GB2312" w:cs="仿宋_GB2312"/>
                <w:b w:val="0"/>
                <w:bCs w:val="0"/>
                <w:color w:val="000000"/>
                <w:kern w:val="0"/>
                <w:sz w:val="18"/>
                <w:szCs w:val="18"/>
              </w:rPr>
              <w:br w:type="textWrapping"/>
            </w:r>
            <w:r>
              <w:rPr>
                <w:rFonts w:hint="eastAsia" w:ascii="仿宋_GB2312" w:hAnsi="仿宋_GB2312" w:eastAsia="仿宋_GB2312" w:cs="仿宋_GB2312"/>
                <w:b w:val="0"/>
                <w:bCs w:val="0"/>
                <w:color w:val="000000"/>
                <w:kern w:val="0"/>
                <w:sz w:val="18"/>
                <w:szCs w:val="18"/>
              </w:rPr>
              <w:t>8.根据《县区企业引进高校毕业生补贴发放汇总表》及相关财务凭证、《市属企业引进高校毕业生补贴发放汇总表》及相关财务凭证，企业引进高校毕业生补贴已发放。但企业在职人员深造后返回企业的，无人申请深造学费奖励。</w:t>
            </w:r>
            <w:r>
              <w:rPr>
                <w:rFonts w:hint="eastAsia" w:ascii="仿宋_GB2312" w:hAnsi="仿宋_GB2312" w:eastAsia="仿宋_GB2312" w:cs="仿宋_GB2312"/>
                <w:b w:val="0"/>
                <w:bCs w:val="0"/>
                <w:color w:val="000000"/>
                <w:kern w:val="0"/>
                <w:sz w:val="18"/>
                <w:szCs w:val="18"/>
              </w:rPr>
              <w:br w:type="textWrapping"/>
            </w:r>
            <w:r>
              <w:rPr>
                <w:rFonts w:hint="eastAsia" w:ascii="仿宋_GB2312" w:hAnsi="仿宋_GB2312" w:eastAsia="仿宋_GB2312" w:cs="仿宋_GB2312"/>
                <w:b w:val="0"/>
                <w:bCs w:val="0"/>
                <w:color w:val="000000"/>
                <w:kern w:val="0"/>
                <w:sz w:val="18"/>
                <w:szCs w:val="18"/>
              </w:rPr>
              <w:t>9.推行备案管理，实行聘任制，用人单位自主招聘，人才办在面试环节派人监督。但无人申请引才奖励。</w:t>
            </w:r>
          </w:p>
        </w:tc>
        <w:tc>
          <w:tcPr>
            <w:tcW w:w="776" w:type="dxa"/>
            <w:vAlign w:val="center"/>
          </w:tcPr>
          <w:p>
            <w:pPr>
              <w:widowControl/>
              <w:ind w:firstLine="400"/>
              <w:jc w:val="left"/>
              <w:rPr>
                <w:rFonts w:hint="eastAsia" w:ascii="仿宋_GB2312" w:hAnsi="仿宋_GB2312" w:eastAsia="仿宋_GB2312" w:cs="仿宋_GB2312"/>
                <w:b w:val="0"/>
                <w:bCs w:val="0"/>
                <w:kern w:val="0"/>
                <w:sz w:val="20"/>
                <w:szCs w:val="20"/>
              </w:rPr>
            </w:pPr>
          </w:p>
        </w:tc>
      </w:tr>
      <w:tr>
        <w:tblPrEx>
          <w:tblCellMar>
            <w:top w:w="0" w:type="dxa"/>
            <w:left w:w="108" w:type="dxa"/>
            <w:bottom w:w="0" w:type="dxa"/>
            <w:right w:w="108" w:type="dxa"/>
          </w:tblCellMar>
        </w:tblPrEx>
        <w:trPr>
          <w:trHeight w:val="2030" w:hRule="atLeast"/>
        </w:trPr>
        <w:tc>
          <w:tcPr>
            <w:tcW w:w="9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p>
        </w:tc>
        <w:tc>
          <w:tcPr>
            <w:tcW w:w="97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p>
        </w:tc>
        <w:tc>
          <w:tcPr>
            <w:tcW w:w="1381"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3.1.4“加大技术技能人才培育力度”完成率（3分）</w:t>
            </w:r>
          </w:p>
        </w:tc>
        <w:tc>
          <w:tcPr>
            <w:tcW w:w="4184" w:type="dxa"/>
            <w:tcBorders>
              <w:top w:val="nil"/>
              <w:left w:val="nil"/>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该项分值为3分。对照“人才新政30条”的“加大技术技能人才培育力度”政策，完成本条政策全部内容得3分，否则根据实际完成情况进行赋分。得分=政策实际完成数/3*指标满分值3分。</w:t>
            </w:r>
          </w:p>
        </w:tc>
        <w:tc>
          <w:tcPr>
            <w:tcW w:w="576" w:type="dxa"/>
            <w:tcBorders>
              <w:top w:val="nil"/>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themeColor="text1"/>
                <w:kern w:val="0"/>
                <w:sz w:val="18"/>
                <w:szCs w:val="18"/>
                <w14:textFill>
                  <w14:solidFill>
                    <w14:schemeClr w14:val="tx1"/>
                  </w14:solidFill>
                </w14:textFill>
              </w:rPr>
            </w:pPr>
            <w:r>
              <w:rPr>
                <w:rFonts w:hint="eastAsia" w:ascii="仿宋_GB2312" w:hAnsi="仿宋_GB2312" w:eastAsia="仿宋_GB2312" w:cs="仿宋_GB2312"/>
                <w:b w:val="0"/>
                <w:bCs w:val="0"/>
                <w:color w:val="000000" w:themeColor="text1"/>
                <w:kern w:val="0"/>
                <w:sz w:val="18"/>
                <w:szCs w:val="18"/>
                <w14:textFill>
                  <w14:solidFill>
                    <w14:schemeClr w14:val="tx1"/>
                  </w14:solidFill>
                </w14:textFill>
              </w:rPr>
              <w:t>3</w:t>
            </w:r>
          </w:p>
        </w:tc>
        <w:tc>
          <w:tcPr>
            <w:tcW w:w="5834" w:type="dxa"/>
            <w:tcBorders>
              <w:top w:val="nil"/>
              <w:left w:val="nil"/>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10.实施市级人才工程遴选机制。但市拔尖人才19年之后未再评选，乡村之星、首席技师、和谐使者仍然在原实施单位进行，相应的奖励也由原实施单位从业务经费支出。未将资金整合到人才政策资金中。</w:t>
            </w:r>
            <w:r>
              <w:rPr>
                <w:rFonts w:hint="eastAsia" w:ascii="仿宋_GB2312" w:hAnsi="仿宋_GB2312" w:eastAsia="仿宋_GB2312" w:cs="仿宋_GB2312"/>
                <w:b w:val="0"/>
                <w:bCs w:val="0"/>
                <w:color w:val="000000"/>
                <w:kern w:val="0"/>
                <w:sz w:val="18"/>
                <w:szCs w:val="18"/>
              </w:rPr>
              <w:br w:type="textWrapping"/>
            </w:r>
            <w:r>
              <w:rPr>
                <w:rFonts w:hint="eastAsia" w:ascii="仿宋_GB2312" w:hAnsi="仿宋_GB2312" w:eastAsia="仿宋_GB2312" w:cs="仿宋_GB2312"/>
                <w:b w:val="0"/>
                <w:bCs w:val="0"/>
                <w:color w:val="000000"/>
                <w:kern w:val="0"/>
                <w:sz w:val="18"/>
                <w:szCs w:val="18"/>
              </w:rPr>
              <w:t>11.根据《企业专技人员申报高级职称奖励人员名单》及相关财务凭证，企业高级职称奖励资金按政策执行（人社局）。</w:t>
            </w:r>
            <w:r>
              <w:rPr>
                <w:rFonts w:hint="eastAsia" w:ascii="仿宋_GB2312" w:hAnsi="仿宋_GB2312" w:eastAsia="仿宋_GB2312" w:cs="仿宋_GB2312"/>
                <w:b w:val="0"/>
                <w:bCs w:val="0"/>
                <w:color w:val="000000"/>
                <w:kern w:val="0"/>
                <w:sz w:val="18"/>
                <w:szCs w:val="18"/>
              </w:rPr>
              <w:br w:type="textWrapping"/>
            </w:r>
            <w:r>
              <w:rPr>
                <w:rFonts w:hint="eastAsia" w:ascii="仿宋_GB2312" w:hAnsi="仿宋_GB2312" w:eastAsia="仿宋_GB2312" w:cs="仿宋_GB2312"/>
                <w:b w:val="0"/>
                <w:bCs w:val="0"/>
                <w:color w:val="000000"/>
                <w:kern w:val="0"/>
                <w:sz w:val="18"/>
                <w:szCs w:val="18"/>
              </w:rPr>
              <w:t>12.根据《企业职工高级技师职业资格奖励人员名单》及相关财务凭证，企业高级技师奖励按政策执行（人社局）。</w:t>
            </w:r>
          </w:p>
        </w:tc>
        <w:tc>
          <w:tcPr>
            <w:tcW w:w="776" w:type="dxa"/>
            <w:vAlign w:val="center"/>
          </w:tcPr>
          <w:p>
            <w:pPr>
              <w:widowControl/>
              <w:ind w:firstLine="400"/>
              <w:jc w:val="left"/>
              <w:rPr>
                <w:rFonts w:hint="eastAsia" w:ascii="仿宋_GB2312" w:hAnsi="仿宋_GB2312" w:eastAsia="仿宋_GB2312" w:cs="仿宋_GB2312"/>
                <w:b w:val="0"/>
                <w:bCs w:val="0"/>
                <w:kern w:val="0"/>
                <w:sz w:val="20"/>
                <w:szCs w:val="20"/>
              </w:rPr>
            </w:pPr>
          </w:p>
        </w:tc>
      </w:tr>
      <w:tr>
        <w:tblPrEx>
          <w:tblCellMar>
            <w:top w:w="0" w:type="dxa"/>
            <w:left w:w="108" w:type="dxa"/>
            <w:bottom w:w="0" w:type="dxa"/>
            <w:right w:w="108" w:type="dxa"/>
          </w:tblCellMar>
        </w:tblPrEx>
        <w:trPr>
          <w:trHeight w:val="750" w:hRule="atLeast"/>
        </w:trPr>
        <w:tc>
          <w:tcPr>
            <w:tcW w:w="93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续上页</w:t>
            </w:r>
          </w:p>
        </w:tc>
        <w:tc>
          <w:tcPr>
            <w:tcW w:w="97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续上页</w:t>
            </w:r>
          </w:p>
        </w:tc>
        <w:tc>
          <w:tcPr>
            <w:tcW w:w="1381"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3.1.5“创优做强人才创新平台”完成率</w:t>
            </w:r>
          </w:p>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（3分）</w:t>
            </w:r>
          </w:p>
        </w:tc>
        <w:tc>
          <w:tcPr>
            <w:tcW w:w="4184" w:type="dxa"/>
            <w:tcBorders>
              <w:top w:val="nil"/>
              <w:left w:val="nil"/>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该项分值为3分。对照“人才新政30条”的“创优做强人才创新平台”政策，完成本条政策全部内容得3分，否则根据实际完成情况进行赋分。得分=政策实际完成数/3*指标满分值3分。</w:t>
            </w:r>
          </w:p>
        </w:tc>
        <w:tc>
          <w:tcPr>
            <w:tcW w:w="576" w:type="dxa"/>
            <w:tcBorders>
              <w:top w:val="nil"/>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themeColor="text1"/>
                <w:kern w:val="0"/>
                <w:sz w:val="18"/>
                <w:szCs w:val="18"/>
                <w14:textFill>
                  <w14:solidFill>
                    <w14:schemeClr w14:val="tx1"/>
                  </w14:solidFill>
                </w14:textFill>
              </w:rPr>
            </w:pPr>
            <w:r>
              <w:rPr>
                <w:rFonts w:hint="eastAsia" w:ascii="仿宋_GB2312" w:hAnsi="仿宋_GB2312" w:eastAsia="仿宋_GB2312" w:cs="仿宋_GB2312"/>
                <w:b w:val="0"/>
                <w:bCs w:val="0"/>
                <w:color w:val="000000" w:themeColor="text1"/>
                <w:kern w:val="0"/>
                <w:sz w:val="18"/>
                <w:szCs w:val="18"/>
                <w14:textFill>
                  <w14:solidFill>
                    <w14:schemeClr w14:val="tx1"/>
                  </w14:solidFill>
                </w14:textFill>
              </w:rPr>
              <w:t>3</w:t>
            </w:r>
          </w:p>
        </w:tc>
        <w:tc>
          <w:tcPr>
            <w:tcW w:w="5834" w:type="dxa"/>
            <w:tcBorders>
              <w:top w:val="nil"/>
              <w:left w:val="nil"/>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13.根据《创新创业平台奖励汇总表》及相关财务凭证，新认定的创新创业平台已按政策进行奖励。</w:t>
            </w:r>
            <w:r>
              <w:rPr>
                <w:rFonts w:hint="eastAsia" w:ascii="仿宋_GB2312" w:hAnsi="仿宋_GB2312" w:eastAsia="仿宋_GB2312" w:cs="仿宋_GB2312"/>
                <w:b w:val="0"/>
                <w:bCs w:val="0"/>
                <w:color w:val="000000"/>
                <w:kern w:val="0"/>
                <w:sz w:val="18"/>
                <w:szCs w:val="18"/>
              </w:rPr>
              <w:br w:type="textWrapping"/>
            </w:r>
            <w:r>
              <w:rPr>
                <w:rFonts w:hint="eastAsia" w:ascii="仿宋_GB2312" w:hAnsi="仿宋_GB2312" w:eastAsia="仿宋_GB2312" w:cs="仿宋_GB2312"/>
                <w:b w:val="0"/>
                <w:bCs w:val="0"/>
                <w:color w:val="000000"/>
                <w:kern w:val="0"/>
                <w:sz w:val="18"/>
                <w:szCs w:val="18"/>
              </w:rPr>
              <w:t>14.根据《创新创业平台奖励汇总表》及相关财务凭证，新认定的院士工作站、孵化器、高技能人才培训基地、技能大师特色工作站等进行了奖励。但引智成果示范推广基地现已不再申报。</w:t>
            </w:r>
            <w:r>
              <w:rPr>
                <w:rFonts w:hint="eastAsia" w:ascii="仿宋_GB2312" w:hAnsi="仿宋_GB2312" w:eastAsia="仿宋_GB2312" w:cs="仿宋_GB2312"/>
                <w:b w:val="0"/>
                <w:bCs w:val="0"/>
                <w:color w:val="000000"/>
                <w:kern w:val="0"/>
                <w:sz w:val="18"/>
                <w:szCs w:val="18"/>
              </w:rPr>
              <w:br w:type="textWrapping"/>
            </w:r>
            <w:r>
              <w:rPr>
                <w:rFonts w:hint="eastAsia" w:ascii="仿宋_GB2312" w:hAnsi="仿宋_GB2312" w:eastAsia="仿宋_GB2312" w:cs="仿宋_GB2312"/>
                <w:b w:val="0"/>
                <w:bCs w:val="0"/>
                <w:color w:val="000000"/>
                <w:kern w:val="0"/>
                <w:sz w:val="18"/>
                <w:szCs w:val="18"/>
              </w:rPr>
              <w:t>15.根据《高校院所分支机构奖励汇总表》，目前已设立山东省农业科学院（菏泽）道地药材产业技术研究院、山东省产业技术研究院湖西分院、单县青山羊产业研究院且正式运营。</w:t>
            </w:r>
          </w:p>
        </w:tc>
        <w:tc>
          <w:tcPr>
            <w:tcW w:w="776" w:type="dxa"/>
            <w:vAlign w:val="center"/>
          </w:tcPr>
          <w:p>
            <w:pPr>
              <w:widowControl/>
              <w:ind w:firstLine="400"/>
              <w:jc w:val="left"/>
              <w:rPr>
                <w:rFonts w:hint="eastAsia" w:ascii="仿宋_GB2312" w:hAnsi="仿宋_GB2312" w:eastAsia="仿宋_GB2312" w:cs="仿宋_GB2312"/>
                <w:b w:val="0"/>
                <w:bCs w:val="0"/>
                <w:kern w:val="0"/>
                <w:sz w:val="20"/>
                <w:szCs w:val="20"/>
              </w:rPr>
            </w:pPr>
          </w:p>
        </w:tc>
      </w:tr>
      <w:tr>
        <w:tblPrEx>
          <w:tblCellMar>
            <w:top w:w="0" w:type="dxa"/>
            <w:left w:w="108" w:type="dxa"/>
            <w:bottom w:w="0" w:type="dxa"/>
            <w:right w:w="108" w:type="dxa"/>
          </w:tblCellMar>
        </w:tblPrEx>
        <w:trPr>
          <w:trHeight w:val="333" w:hRule="atLeast"/>
        </w:trPr>
        <w:tc>
          <w:tcPr>
            <w:tcW w:w="9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ind w:firstLine="0" w:firstLineChars="0"/>
              <w:jc w:val="center"/>
              <w:rPr>
                <w:rFonts w:hint="eastAsia" w:ascii="仿宋_GB2312" w:hAnsi="仿宋_GB2312" w:eastAsia="仿宋_GB2312" w:cs="仿宋_GB2312"/>
                <w:b w:val="0"/>
                <w:bCs w:val="0"/>
                <w:color w:val="000000"/>
                <w:kern w:val="0"/>
                <w:sz w:val="18"/>
                <w:szCs w:val="18"/>
              </w:rPr>
            </w:pPr>
          </w:p>
        </w:tc>
        <w:tc>
          <w:tcPr>
            <w:tcW w:w="97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ind w:firstLine="0" w:firstLineChars="0"/>
              <w:jc w:val="center"/>
              <w:rPr>
                <w:rFonts w:hint="eastAsia" w:ascii="仿宋_GB2312" w:hAnsi="仿宋_GB2312" w:eastAsia="仿宋_GB2312" w:cs="仿宋_GB2312"/>
                <w:b w:val="0"/>
                <w:bCs w:val="0"/>
                <w:color w:val="000000"/>
                <w:kern w:val="0"/>
                <w:sz w:val="18"/>
                <w:szCs w:val="18"/>
              </w:rPr>
            </w:pPr>
          </w:p>
        </w:tc>
        <w:tc>
          <w:tcPr>
            <w:tcW w:w="1381"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3.1.6“加大人才融资扶持”完成率</w:t>
            </w:r>
          </w:p>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（3分）</w:t>
            </w:r>
          </w:p>
        </w:tc>
        <w:tc>
          <w:tcPr>
            <w:tcW w:w="4184" w:type="dxa"/>
            <w:tcBorders>
              <w:top w:val="nil"/>
              <w:left w:val="nil"/>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该项分值为3分。对照“人才新政30条”的“加大人才融资扶持”政策，完成本条政策全部内容得3分，否则根据实际完成情况进行赋分。得分=政策实际完成数/3*指标满分值3分。</w:t>
            </w:r>
          </w:p>
        </w:tc>
        <w:tc>
          <w:tcPr>
            <w:tcW w:w="576" w:type="dxa"/>
            <w:tcBorders>
              <w:top w:val="nil"/>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themeColor="text1"/>
                <w:kern w:val="0"/>
                <w:sz w:val="18"/>
                <w:szCs w:val="18"/>
                <w14:textFill>
                  <w14:solidFill>
                    <w14:schemeClr w14:val="tx1"/>
                  </w14:solidFill>
                </w14:textFill>
              </w:rPr>
            </w:pPr>
            <w:r>
              <w:rPr>
                <w:rFonts w:hint="eastAsia" w:ascii="仿宋_GB2312" w:hAnsi="仿宋_GB2312" w:eastAsia="仿宋_GB2312" w:cs="仿宋_GB2312"/>
                <w:b w:val="0"/>
                <w:bCs w:val="0"/>
                <w:color w:val="000000" w:themeColor="text1"/>
                <w:kern w:val="0"/>
                <w:sz w:val="18"/>
                <w:szCs w:val="18"/>
                <w14:textFill>
                  <w14:solidFill>
                    <w14:schemeClr w14:val="tx1"/>
                  </w14:solidFill>
                </w14:textFill>
              </w:rPr>
              <w:t>1</w:t>
            </w:r>
          </w:p>
        </w:tc>
        <w:tc>
          <w:tcPr>
            <w:tcW w:w="5834" w:type="dxa"/>
            <w:tcBorders>
              <w:top w:val="nil"/>
              <w:left w:val="nil"/>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16、17未执行，-2分。</w:t>
            </w:r>
            <w:r>
              <w:rPr>
                <w:rFonts w:hint="eastAsia" w:ascii="仿宋_GB2312" w:hAnsi="仿宋_GB2312" w:eastAsia="仿宋_GB2312" w:cs="仿宋_GB2312"/>
                <w:b w:val="0"/>
                <w:bCs w:val="0"/>
                <w:color w:val="000000"/>
                <w:kern w:val="0"/>
                <w:sz w:val="18"/>
                <w:szCs w:val="18"/>
              </w:rPr>
              <w:br w:type="textWrapping"/>
            </w:r>
            <w:r>
              <w:rPr>
                <w:rFonts w:hint="eastAsia" w:ascii="仿宋_GB2312" w:hAnsi="仿宋_GB2312" w:eastAsia="仿宋_GB2312" w:cs="仿宋_GB2312"/>
                <w:b w:val="0"/>
                <w:bCs w:val="0"/>
                <w:color w:val="000000"/>
                <w:kern w:val="0"/>
                <w:sz w:val="18"/>
                <w:szCs w:val="18"/>
              </w:rPr>
              <w:t>18.根据《2020年菏泽市创业贷款管理服务中心工作总结》及《创业担保贷款发放明细》，2020年新增发放创业担保贷款17.33亿元。</w:t>
            </w:r>
          </w:p>
        </w:tc>
        <w:tc>
          <w:tcPr>
            <w:tcW w:w="776" w:type="dxa"/>
            <w:vAlign w:val="center"/>
          </w:tcPr>
          <w:p>
            <w:pPr>
              <w:widowControl/>
              <w:ind w:firstLine="400"/>
              <w:jc w:val="left"/>
              <w:rPr>
                <w:rFonts w:hint="eastAsia" w:ascii="仿宋_GB2312" w:hAnsi="仿宋_GB2312" w:eastAsia="仿宋_GB2312" w:cs="仿宋_GB2312"/>
                <w:b w:val="0"/>
                <w:bCs w:val="0"/>
                <w:kern w:val="0"/>
                <w:sz w:val="20"/>
                <w:szCs w:val="20"/>
              </w:rPr>
            </w:pPr>
          </w:p>
        </w:tc>
      </w:tr>
      <w:tr>
        <w:tblPrEx>
          <w:tblCellMar>
            <w:top w:w="0" w:type="dxa"/>
            <w:left w:w="108" w:type="dxa"/>
            <w:bottom w:w="0" w:type="dxa"/>
            <w:right w:w="108" w:type="dxa"/>
          </w:tblCellMar>
        </w:tblPrEx>
        <w:trPr>
          <w:trHeight w:val="606" w:hRule="atLeast"/>
        </w:trPr>
        <w:tc>
          <w:tcPr>
            <w:tcW w:w="9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p>
        </w:tc>
        <w:tc>
          <w:tcPr>
            <w:tcW w:w="97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p>
        </w:tc>
        <w:tc>
          <w:tcPr>
            <w:tcW w:w="1381"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3.1.7“提高科技人才成果收益”完成率</w:t>
            </w:r>
          </w:p>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（2分）</w:t>
            </w:r>
          </w:p>
        </w:tc>
        <w:tc>
          <w:tcPr>
            <w:tcW w:w="4184" w:type="dxa"/>
            <w:tcBorders>
              <w:top w:val="nil"/>
              <w:left w:val="nil"/>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该项分值为2分。对照“人才新政30条”的“提高科技人才成果收益”政策，完成本条政策全部内容得2分，否则根据实际完成情况进行赋分。得分=政策实际完成数/2*指标满分值2分。</w:t>
            </w:r>
          </w:p>
        </w:tc>
        <w:tc>
          <w:tcPr>
            <w:tcW w:w="576" w:type="dxa"/>
            <w:tcBorders>
              <w:top w:val="nil"/>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themeColor="text1"/>
                <w:kern w:val="0"/>
                <w:sz w:val="18"/>
                <w:szCs w:val="18"/>
                <w14:textFill>
                  <w14:solidFill>
                    <w14:schemeClr w14:val="tx1"/>
                  </w14:solidFill>
                </w14:textFill>
              </w:rPr>
            </w:pPr>
            <w:r>
              <w:rPr>
                <w:rFonts w:hint="eastAsia" w:ascii="仿宋_GB2312" w:hAnsi="仿宋_GB2312" w:eastAsia="仿宋_GB2312" w:cs="仿宋_GB2312"/>
                <w:b w:val="0"/>
                <w:bCs w:val="0"/>
                <w:color w:val="000000" w:themeColor="text1"/>
                <w:kern w:val="0"/>
                <w:sz w:val="18"/>
                <w:szCs w:val="18"/>
                <w14:textFill>
                  <w14:solidFill>
                    <w14:schemeClr w14:val="tx1"/>
                  </w14:solidFill>
                </w14:textFill>
              </w:rPr>
              <w:t>2</w:t>
            </w:r>
          </w:p>
        </w:tc>
        <w:tc>
          <w:tcPr>
            <w:tcW w:w="5834" w:type="dxa"/>
            <w:tcBorders>
              <w:top w:val="nil"/>
              <w:left w:val="nil"/>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2020年农科院实现小麦新品种菏麦29、大豆新品种菏豆33两项成果转化。</w:t>
            </w:r>
          </w:p>
        </w:tc>
        <w:tc>
          <w:tcPr>
            <w:tcW w:w="776" w:type="dxa"/>
            <w:vAlign w:val="center"/>
          </w:tcPr>
          <w:p>
            <w:pPr>
              <w:widowControl/>
              <w:ind w:firstLine="400"/>
              <w:jc w:val="left"/>
              <w:rPr>
                <w:rFonts w:hint="eastAsia" w:ascii="仿宋_GB2312" w:hAnsi="仿宋_GB2312" w:eastAsia="仿宋_GB2312" w:cs="仿宋_GB2312"/>
                <w:b w:val="0"/>
                <w:bCs w:val="0"/>
                <w:kern w:val="0"/>
                <w:sz w:val="20"/>
                <w:szCs w:val="20"/>
              </w:rPr>
            </w:pPr>
          </w:p>
        </w:tc>
      </w:tr>
      <w:tr>
        <w:tblPrEx>
          <w:tblCellMar>
            <w:top w:w="0" w:type="dxa"/>
            <w:left w:w="108" w:type="dxa"/>
            <w:bottom w:w="0" w:type="dxa"/>
            <w:right w:w="108" w:type="dxa"/>
          </w:tblCellMar>
        </w:tblPrEx>
        <w:trPr>
          <w:trHeight w:val="2792" w:hRule="atLeast"/>
        </w:trPr>
        <w:tc>
          <w:tcPr>
            <w:tcW w:w="9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360"/>
              <w:jc w:val="left"/>
              <w:rPr>
                <w:rFonts w:hint="eastAsia" w:ascii="仿宋_GB2312" w:hAnsi="仿宋_GB2312" w:eastAsia="仿宋_GB2312" w:cs="仿宋_GB2312"/>
                <w:b w:val="0"/>
                <w:bCs w:val="0"/>
                <w:color w:val="000000"/>
                <w:kern w:val="0"/>
                <w:sz w:val="18"/>
                <w:szCs w:val="18"/>
              </w:rPr>
            </w:pPr>
          </w:p>
        </w:tc>
        <w:tc>
          <w:tcPr>
            <w:tcW w:w="97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360"/>
              <w:jc w:val="left"/>
              <w:rPr>
                <w:rFonts w:hint="eastAsia" w:ascii="仿宋_GB2312" w:hAnsi="仿宋_GB2312" w:eastAsia="仿宋_GB2312" w:cs="仿宋_GB2312"/>
                <w:b w:val="0"/>
                <w:bCs w:val="0"/>
                <w:color w:val="000000"/>
                <w:kern w:val="0"/>
                <w:sz w:val="18"/>
                <w:szCs w:val="18"/>
              </w:rPr>
            </w:pPr>
          </w:p>
        </w:tc>
        <w:tc>
          <w:tcPr>
            <w:tcW w:w="1381"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3.1.8“加强人才服务保障”完成率</w:t>
            </w:r>
          </w:p>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（4分）</w:t>
            </w:r>
          </w:p>
        </w:tc>
        <w:tc>
          <w:tcPr>
            <w:tcW w:w="4184" w:type="dxa"/>
            <w:tcBorders>
              <w:top w:val="nil"/>
              <w:left w:val="nil"/>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该项分值为4分。对照“人才新政30条”的“加强人才服务保障”政策，完成本条政策全部内容得4分，否则根据实际完成情况进行赋分。得分=政策实际完成数/4*指标满分值4分。</w:t>
            </w:r>
          </w:p>
        </w:tc>
        <w:tc>
          <w:tcPr>
            <w:tcW w:w="576" w:type="dxa"/>
            <w:tcBorders>
              <w:top w:val="nil"/>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themeColor="text1"/>
                <w:kern w:val="0"/>
                <w:sz w:val="18"/>
                <w:szCs w:val="18"/>
                <w14:textFill>
                  <w14:solidFill>
                    <w14:schemeClr w14:val="tx1"/>
                  </w14:solidFill>
                </w14:textFill>
              </w:rPr>
            </w:pPr>
            <w:r>
              <w:rPr>
                <w:rFonts w:hint="eastAsia" w:ascii="仿宋_GB2312" w:hAnsi="仿宋_GB2312" w:eastAsia="仿宋_GB2312" w:cs="仿宋_GB2312"/>
                <w:b w:val="0"/>
                <w:bCs w:val="0"/>
                <w:color w:val="000000" w:themeColor="text1"/>
                <w:kern w:val="0"/>
                <w:sz w:val="18"/>
                <w:szCs w:val="18"/>
                <w14:textFill>
                  <w14:solidFill>
                    <w14:schemeClr w14:val="tx1"/>
                  </w14:solidFill>
                </w14:textFill>
              </w:rPr>
              <w:t>3.5</w:t>
            </w:r>
          </w:p>
        </w:tc>
        <w:tc>
          <w:tcPr>
            <w:tcW w:w="5834"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21.执行，如：《关于组建菏泽职业学院高端化工研究院的皮肤》，研究院所需编制纳入市级高层次人才编制专项管理。</w:t>
            </w:r>
            <w:r>
              <w:rPr>
                <w:rFonts w:hint="eastAsia" w:ascii="仿宋_GB2312" w:hAnsi="仿宋_GB2312" w:eastAsia="仿宋_GB2312" w:cs="仿宋_GB2312"/>
                <w:b w:val="0"/>
                <w:bCs w:val="0"/>
                <w:color w:val="000000"/>
                <w:kern w:val="0"/>
                <w:sz w:val="18"/>
                <w:szCs w:val="18"/>
              </w:rPr>
              <w:br w:type="textWrapping"/>
            </w:r>
            <w:r>
              <w:rPr>
                <w:rFonts w:hint="eastAsia" w:ascii="仿宋_GB2312" w:hAnsi="仿宋_GB2312" w:eastAsia="仿宋_GB2312" w:cs="仿宋_GB2312"/>
                <w:b w:val="0"/>
                <w:bCs w:val="0"/>
                <w:color w:val="000000"/>
                <w:kern w:val="0"/>
                <w:sz w:val="18"/>
                <w:szCs w:val="18"/>
              </w:rPr>
              <w:t>22.未见相关材料，-0.5分。</w:t>
            </w:r>
            <w:r>
              <w:rPr>
                <w:rFonts w:hint="eastAsia" w:ascii="仿宋_GB2312" w:hAnsi="仿宋_GB2312" w:eastAsia="仿宋_GB2312" w:cs="仿宋_GB2312"/>
                <w:b w:val="0"/>
                <w:bCs w:val="0"/>
                <w:color w:val="000000"/>
                <w:kern w:val="0"/>
                <w:sz w:val="18"/>
                <w:szCs w:val="18"/>
              </w:rPr>
              <w:br w:type="textWrapping"/>
            </w:r>
            <w:r>
              <w:rPr>
                <w:rFonts w:hint="eastAsia" w:ascii="仿宋_GB2312" w:hAnsi="仿宋_GB2312" w:eastAsia="仿宋_GB2312" w:cs="仿宋_GB2312"/>
                <w:b w:val="0"/>
                <w:bCs w:val="0"/>
                <w:color w:val="000000"/>
                <w:kern w:val="0"/>
                <w:sz w:val="18"/>
                <w:szCs w:val="18"/>
              </w:rPr>
              <w:t>23.山东省人力资源和社会保障厅公布菏泽市高层次人才绿色通道服务专项清单，旅游景点、交通出行、就医、体育健身绿色通道。《菏泽市直高层次人才子女入学管理办法》明确保障学校清单。设立了人才专户。</w:t>
            </w:r>
            <w:r>
              <w:rPr>
                <w:rFonts w:hint="eastAsia" w:ascii="仿宋_GB2312" w:hAnsi="仿宋_GB2312" w:eastAsia="仿宋_GB2312" w:cs="仿宋_GB2312"/>
                <w:b w:val="0"/>
                <w:bCs w:val="0"/>
                <w:color w:val="000000"/>
                <w:kern w:val="0"/>
                <w:sz w:val="18"/>
                <w:szCs w:val="18"/>
              </w:rPr>
              <w:br w:type="textWrapping"/>
            </w:r>
            <w:r>
              <w:rPr>
                <w:rFonts w:hint="eastAsia" w:ascii="仿宋_GB2312" w:hAnsi="仿宋_GB2312" w:eastAsia="仿宋_GB2312" w:cs="仿宋_GB2312"/>
                <w:b w:val="0"/>
                <w:bCs w:val="0"/>
                <w:color w:val="000000"/>
                <w:kern w:val="0"/>
                <w:sz w:val="18"/>
                <w:szCs w:val="18"/>
              </w:rPr>
              <w:t>24.根据《高层次人才购房补贴人员名单》及相关凭证，已执行。自2018年新政实施以来，享受公积金贷款优惠的高学历人才199户，涉及6800余万元，机关事业单位占89.44%，国企2.51%，私企8.54%。</w:t>
            </w:r>
          </w:p>
        </w:tc>
        <w:tc>
          <w:tcPr>
            <w:tcW w:w="776" w:type="dxa"/>
            <w:vAlign w:val="center"/>
          </w:tcPr>
          <w:p>
            <w:pPr>
              <w:widowControl/>
              <w:ind w:firstLine="400"/>
              <w:jc w:val="left"/>
              <w:rPr>
                <w:rFonts w:hint="eastAsia" w:ascii="仿宋_GB2312" w:hAnsi="仿宋_GB2312" w:eastAsia="仿宋_GB2312" w:cs="仿宋_GB2312"/>
                <w:b w:val="0"/>
                <w:bCs w:val="0"/>
                <w:kern w:val="0"/>
                <w:sz w:val="20"/>
                <w:szCs w:val="20"/>
              </w:rPr>
            </w:pPr>
          </w:p>
        </w:tc>
      </w:tr>
      <w:tr>
        <w:tblPrEx>
          <w:tblCellMar>
            <w:top w:w="0" w:type="dxa"/>
            <w:left w:w="108" w:type="dxa"/>
            <w:bottom w:w="0" w:type="dxa"/>
            <w:right w:w="108" w:type="dxa"/>
          </w:tblCellMar>
        </w:tblPrEx>
        <w:trPr>
          <w:trHeight w:val="760" w:hRule="atLeast"/>
        </w:trPr>
        <w:tc>
          <w:tcPr>
            <w:tcW w:w="939" w:type="dxa"/>
            <w:vMerge w:val="restart"/>
            <w:tcBorders>
              <w:top w:val="single" w:color="auto" w:sz="4" w:space="0"/>
              <w:left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续上页</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续上页</w:t>
            </w:r>
          </w:p>
        </w:tc>
        <w:tc>
          <w:tcPr>
            <w:tcW w:w="13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3.1.9“强化政治引领和政治吸纳”完成率</w:t>
            </w:r>
          </w:p>
          <w:p>
            <w:pPr>
              <w:widowControl/>
              <w:ind w:firstLine="0" w:firstLineChars="0"/>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（2分）</w:t>
            </w:r>
          </w:p>
        </w:tc>
        <w:tc>
          <w:tcPr>
            <w:tcW w:w="4184" w:type="dxa"/>
            <w:tcBorders>
              <w:top w:val="nil"/>
              <w:left w:val="nil"/>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该项分值为2分。对照“人才新政30条”的“强化政治引领和政治吸纳”政策，完成本条政策全部内容得2分，否则根据实际完成情况进行赋分。</w:t>
            </w:r>
          </w:p>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得分=政策实际完成数/2*指标满分值2分。</w:t>
            </w:r>
          </w:p>
        </w:tc>
        <w:tc>
          <w:tcPr>
            <w:tcW w:w="576" w:type="dxa"/>
            <w:tcBorders>
              <w:top w:val="nil"/>
              <w:left w:val="single" w:color="auto" w:sz="4" w:space="0"/>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themeColor="text1"/>
                <w:kern w:val="0"/>
                <w:sz w:val="18"/>
                <w:szCs w:val="18"/>
                <w14:textFill>
                  <w14:solidFill>
                    <w14:schemeClr w14:val="tx1"/>
                  </w14:solidFill>
                </w14:textFill>
              </w:rPr>
            </w:pPr>
            <w:r>
              <w:rPr>
                <w:rFonts w:hint="eastAsia" w:ascii="仿宋_GB2312" w:hAnsi="仿宋_GB2312" w:eastAsia="仿宋_GB2312" w:cs="仿宋_GB2312"/>
                <w:b w:val="0"/>
                <w:bCs w:val="0"/>
                <w:color w:val="000000" w:themeColor="text1"/>
                <w:kern w:val="0"/>
                <w:sz w:val="18"/>
                <w:szCs w:val="18"/>
                <w14:textFill>
                  <w14:solidFill>
                    <w14:schemeClr w14:val="tx1"/>
                  </w14:solidFill>
                </w14:textFill>
              </w:rPr>
              <w:t>2</w:t>
            </w:r>
          </w:p>
        </w:tc>
        <w:tc>
          <w:tcPr>
            <w:tcW w:w="5834" w:type="dxa"/>
            <w:tcBorders>
              <w:top w:val="single" w:color="auto" w:sz="4" w:space="0"/>
              <w:left w:val="single" w:color="auto" w:sz="4" w:space="0"/>
              <w:bottom w:val="single" w:color="000000"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25.26，邀请相关专家参加世界牡丹大会、第三届山东省新旧动能转化国家战略乡村振兴与产业发展论坛等并作报告；菏泽对接长三角一体化国家战略对策研究、关于加快菏泽市三产融合（新六产）发展对策研究等</w:t>
            </w:r>
          </w:p>
        </w:tc>
        <w:tc>
          <w:tcPr>
            <w:tcW w:w="776" w:type="dxa"/>
            <w:vAlign w:val="center"/>
          </w:tcPr>
          <w:p>
            <w:pPr>
              <w:widowControl/>
              <w:ind w:firstLine="400"/>
              <w:jc w:val="left"/>
              <w:rPr>
                <w:rFonts w:hint="eastAsia" w:ascii="仿宋_GB2312" w:hAnsi="仿宋_GB2312" w:eastAsia="仿宋_GB2312" w:cs="仿宋_GB2312"/>
                <w:b w:val="0"/>
                <w:bCs w:val="0"/>
                <w:kern w:val="0"/>
                <w:sz w:val="20"/>
                <w:szCs w:val="20"/>
              </w:rPr>
            </w:pPr>
          </w:p>
        </w:tc>
      </w:tr>
      <w:tr>
        <w:tblPrEx>
          <w:tblCellMar>
            <w:top w:w="0" w:type="dxa"/>
            <w:left w:w="108" w:type="dxa"/>
            <w:bottom w:w="0" w:type="dxa"/>
            <w:right w:w="108" w:type="dxa"/>
          </w:tblCellMar>
        </w:tblPrEx>
        <w:trPr>
          <w:trHeight w:val="760" w:hRule="atLeast"/>
        </w:trPr>
        <w:tc>
          <w:tcPr>
            <w:tcW w:w="939" w:type="dxa"/>
            <w:vMerge w:val="continue"/>
            <w:tcBorders>
              <w:left w:val="single" w:color="auto" w:sz="4" w:space="0"/>
              <w:right w:val="single" w:color="auto" w:sz="4" w:space="0"/>
            </w:tcBorders>
            <w:shd w:val="clear" w:color="auto" w:fill="auto"/>
            <w:vAlign w:val="center"/>
          </w:tcPr>
          <w:p>
            <w:pPr>
              <w:ind w:firstLine="0" w:firstLineChars="0"/>
              <w:jc w:val="center"/>
              <w:rPr>
                <w:rFonts w:hint="eastAsia" w:ascii="仿宋_GB2312" w:hAnsi="仿宋_GB2312" w:eastAsia="仿宋_GB2312" w:cs="仿宋_GB2312"/>
                <w:b w:val="0"/>
                <w:bCs w:val="0"/>
                <w:color w:val="000000"/>
                <w:kern w:val="0"/>
                <w:sz w:val="18"/>
                <w:szCs w:val="18"/>
              </w:rPr>
            </w:pPr>
          </w:p>
        </w:tc>
        <w:tc>
          <w:tcPr>
            <w:tcW w:w="971" w:type="dxa"/>
            <w:tcBorders>
              <w:top w:val="single" w:color="auto" w:sz="4" w:space="0"/>
              <w:left w:val="single" w:color="auto" w:sz="4" w:space="0"/>
              <w:bottom w:val="single" w:color="000000"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3.1政策产出数量（30分）</w:t>
            </w:r>
          </w:p>
        </w:tc>
        <w:tc>
          <w:tcPr>
            <w:tcW w:w="13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3.1.10“打造特殊鲜明的引才品牌”完成率（4分）</w:t>
            </w:r>
          </w:p>
        </w:tc>
        <w:tc>
          <w:tcPr>
            <w:tcW w:w="4184" w:type="dxa"/>
            <w:tcBorders>
              <w:top w:val="nil"/>
              <w:left w:val="nil"/>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该项分值为4分。对照“人才新政30条”的“打造特殊鲜明的引才品牌”政策，完成本条政策全部内容得4分，否则根据实际完成情况进行赋分。</w:t>
            </w:r>
          </w:p>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得分=政策实际完成数/4*指标满分值4分。</w:t>
            </w:r>
          </w:p>
        </w:tc>
        <w:tc>
          <w:tcPr>
            <w:tcW w:w="576" w:type="dxa"/>
            <w:tcBorders>
              <w:top w:val="nil"/>
              <w:left w:val="single" w:color="auto" w:sz="4" w:space="0"/>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themeColor="text1"/>
                <w:kern w:val="0"/>
                <w:sz w:val="18"/>
                <w:szCs w:val="18"/>
                <w14:textFill>
                  <w14:solidFill>
                    <w14:schemeClr w14:val="tx1"/>
                  </w14:solidFill>
                </w14:textFill>
              </w:rPr>
            </w:pPr>
            <w:r>
              <w:rPr>
                <w:rFonts w:hint="eastAsia" w:ascii="仿宋_GB2312" w:hAnsi="仿宋_GB2312" w:eastAsia="仿宋_GB2312" w:cs="仿宋_GB2312"/>
                <w:b w:val="0"/>
                <w:bCs w:val="0"/>
                <w:color w:val="000000" w:themeColor="text1"/>
                <w:kern w:val="0"/>
                <w:sz w:val="18"/>
                <w:szCs w:val="18"/>
                <w14:textFill>
                  <w14:solidFill>
                    <w14:schemeClr w14:val="tx1"/>
                  </w14:solidFill>
                </w14:textFill>
              </w:rPr>
              <w:t>4</w:t>
            </w:r>
          </w:p>
        </w:tc>
        <w:tc>
          <w:tcPr>
            <w:tcW w:w="5834" w:type="dxa"/>
            <w:tcBorders>
              <w:top w:val="nil"/>
              <w:left w:val="single" w:color="auto" w:sz="4" w:space="0"/>
              <w:bottom w:val="single" w:color="000000"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27.山东菏泽—名校人才直通车开进山东大学、登录吉林大学、西北农林科技大学。</w:t>
            </w:r>
            <w:r>
              <w:rPr>
                <w:rFonts w:hint="eastAsia" w:ascii="仿宋_GB2312" w:hAnsi="仿宋_GB2312" w:eastAsia="仿宋_GB2312" w:cs="仿宋_GB2312"/>
                <w:b w:val="0"/>
                <w:bCs w:val="0"/>
                <w:color w:val="000000"/>
                <w:kern w:val="0"/>
                <w:sz w:val="18"/>
                <w:szCs w:val="18"/>
              </w:rPr>
              <w:br w:type="textWrapping"/>
            </w:r>
            <w:r>
              <w:rPr>
                <w:rFonts w:hint="eastAsia" w:ascii="仿宋_GB2312" w:hAnsi="仿宋_GB2312" w:eastAsia="仿宋_GB2312" w:cs="仿宋_GB2312"/>
                <w:b w:val="0"/>
                <w:bCs w:val="0"/>
                <w:color w:val="000000"/>
                <w:kern w:val="0"/>
                <w:sz w:val="18"/>
                <w:szCs w:val="18"/>
              </w:rPr>
              <w:t>28.设立6各海外招才引智工作站</w:t>
            </w:r>
            <w:r>
              <w:rPr>
                <w:rFonts w:hint="eastAsia" w:ascii="仿宋_GB2312" w:hAnsi="仿宋_GB2312" w:eastAsia="仿宋_GB2312" w:cs="仿宋_GB2312"/>
                <w:b w:val="0"/>
                <w:bCs w:val="0"/>
                <w:color w:val="000000"/>
                <w:kern w:val="0"/>
                <w:sz w:val="18"/>
                <w:szCs w:val="18"/>
              </w:rPr>
              <w:br w:type="textWrapping"/>
            </w:r>
            <w:r>
              <w:rPr>
                <w:rFonts w:hint="eastAsia" w:ascii="仿宋_GB2312" w:hAnsi="仿宋_GB2312" w:eastAsia="仿宋_GB2312" w:cs="仿宋_GB2312"/>
                <w:b w:val="0"/>
                <w:bCs w:val="0"/>
                <w:color w:val="000000"/>
                <w:kern w:val="0"/>
                <w:sz w:val="18"/>
                <w:szCs w:val="18"/>
              </w:rPr>
              <w:t>29.设立6各国内招才引智工作站。</w:t>
            </w:r>
            <w:r>
              <w:rPr>
                <w:rFonts w:hint="eastAsia" w:ascii="仿宋_GB2312" w:hAnsi="仿宋_GB2312" w:eastAsia="仿宋_GB2312" w:cs="仿宋_GB2312"/>
                <w:b w:val="0"/>
                <w:bCs w:val="0"/>
                <w:color w:val="000000"/>
                <w:kern w:val="0"/>
                <w:sz w:val="18"/>
                <w:szCs w:val="18"/>
              </w:rPr>
              <w:br w:type="textWrapping"/>
            </w:r>
            <w:r>
              <w:rPr>
                <w:rFonts w:hint="eastAsia" w:ascii="仿宋_GB2312" w:hAnsi="仿宋_GB2312" w:eastAsia="仿宋_GB2312" w:cs="仿宋_GB2312"/>
                <w:b w:val="0"/>
                <w:bCs w:val="0"/>
                <w:color w:val="000000"/>
                <w:kern w:val="0"/>
                <w:sz w:val="18"/>
                <w:szCs w:val="18"/>
              </w:rPr>
              <w:t>30.设立牡丹友谊奖并给予奖励，2020年度奖励9人。</w:t>
            </w:r>
          </w:p>
        </w:tc>
        <w:tc>
          <w:tcPr>
            <w:tcW w:w="776" w:type="dxa"/>
            <w:vAlign w:val="center"/>
          </w:tcPr>
          <w:p>
            <w:pPr>
              <w:widowControl/>
              <w:ind w:firstLine="400"/>
              <w:jc w:val="left"/>
              <w:rPr>
                <w:rFonts w:hint="eastAsia" w:ascii="仿宋_GB2312" w:hAnsi="仿宋_GB2312" w:eastAsia="仿宋_GB2312" w:cs="仿宋_GB2312"/>
                <w:b w:val="0"/>
                <w:bCs w:val="0"/>
                <w:kern w:val="0"/>
                <w:sz w:val="20"/>
                <w:szCs w:val="20"/>
              </w:rPr>
            </w:pPr>
          </w:p>
        </w:tc>
      </w:tr>
      <w:tr>
        <w:tblPrEx>
          <w:tblCellMar>
            <w:top w:w="0" w:type="dxa"/>
            <w:left w:w="108" w:type="dxa"/>
            <w:bottom w:w="0" w:type="dxa"/>
            <w:right w:w="108" w:type="dxa"/>
          </w:tblCellMar>
        </w:tblPrEx>
        <w:trPr>
          <w:trHeight w:val="814" w:hRule="atLeast"/>
        </w:trPr>
        <w:tc>
          <w:tcPr>
            <w:tcW w:w="939" w:type="dxa"/>
            <w:vMerge w:val="continue"/>
            <w:tcBorders>
              <w:left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p>
        </w:tc>
        <w:tc>
          <w:tcPr>
            <w:tcW w:w="971" w:type="dxa"/>
            <w:vMerge w:val="restart"/>
            <w:tcBorders>
              <w:top w:val="nil"/>
              <w:left w:val="single" w:color="auto" w:sz="4" w:space="0"/>
              <w:bottom w:val="nil"/>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3.2政策产出质量（4分）</w:t>
            </w:r>
          </w:p>
        </w:tc>
        <w:tc>
          <w:tcPr>
            <w:tcW w:w="1381" w:type="dxa"/>
            <w:tcBorders>
              <w:top w:val="nil"/>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3.2.1政策覆盖率</w:t>
            </w:r>
          </w:p>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（2分）</w:t>
            </w:r>
          </w:p>
        </w:tc>
        <w:tc>
          <w:tcPr>
            <w:tcW w:w="4184" w:type="dxa"/>
            <w:tcBorders>
              <w:top w:val="nil"/>
              <w:left w:val="nil"/>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该项分值为2分。对符合政策支持条件的单位、个人应补尽补得2分，没发现一处应补未补扣0.2分，扣完为止。</w:t>
            </w:r>
          </w:p>
        </w:tc>
        <w:tc>
          <w:tcPr>
            <w:tcW w:w="576" w:type="dxa"/>
            <w:tcBorders>
              <w:top w:val="nil"/>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themeColor="text1"/>
                <w:kern w:val="0"/>
                <w:sz w:val="18"/>
                <w:szCs w:val="18"/>
                <w14:textFill>
                  <w14:solidFill>
                    <w14:schemeClr w14:val="tx1"/>
                  </w14:solidFill>
                </w14:textFill>
              </w:rPr>
            </w:pPr>
            <w:r>
              <w:rPr>
                <w:rFonts w:hint="eastAsia" w:ascii="仿宋_GB2312" w:hAnsi="仿宋_GB2312" w:eastAsia="仿宋_GB2312" w:cs="仿宋_GB2312"/>
                <w:b w:val="0"/>
                <w:bCs w:val="0"/>
                <w:color w:val="000000" w:themeColor="text1"/>
                <w:kern w:val="0"/>
                <w:sz w:val="18"/>
                <w:szCs w:val="18"/>
                <w14:textFill>
                  <w14:solidFill>
                    <w14:schemeClr w14:val="tx1"/>
                  </w14:solidFill>
                </w14:textFill>
              </w:rPr>
              <w:t>2</w:t>
            </w:r>
          </w:p>
        </w:tc>
        <w:tc>
          <w:tcPr>
            <w:tcW w:w="5834"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按相关明细应补尽补。</w:t>
            </w:r>
          </w:p>
        </w:tc>
        <w:tc>
          <w:tcPr>
            <w:tcW w:w="776" w:type="dxa"/>
            <w:vAlign w:val="center"/>
          </w:tcPr>
          <w:p>
            <w:pPr>
              <w:widowControl/>
              <w:ind w:firstLine="400"/>
              <w:jc w:val="left"/>
              <w:rPr>
                <w:rFonts w:hint="eastAsia" w:ascii="仿宋_GB2312" w:hAnsi="仿宋_GB2312" w:eastAsia="仿宋_GB2312" w:cs="仿宋_GB2312"/>
                <w:b w:val="0"/>
                <w:bCs w:val="0"/>
                <w:kern w:val="0"/>
                <w:sz w:val="20"/>
                <w:szCs w:val="20"/>
              </w:rPr>
            </w:pPr>
          </w:p>
        </w:tc>
      </w:tr>
      <w:tr>
        <w:tblPrEx>
          <w:tblCellMar>
            <w:top w:w="0" w:type="dxa"/>
            <w:left w:w="108" w:type="dxa"/>
            <w:bottom w:w="0" w:type="dxa"/>
            <w:right w:w="108" w:type="dxa"/>
          </w:tblCellMar>
        </w:tblPrEx>
        <w:trPr>
          <w:trHeight w:val="391" w:hRule="atLeast"/>
        </w:trPr>
        <w:tc>
          <w:tcPr>
            <w:tcW w:w="939" w:type="dxa"/>
            <w:vMerge w:val="continue"/>
            <w:tcBorders>
              <w:left w:val="single" w:color="auto" w:sz="4" w:space="0"/>
              <w:right w:val="single" w:color="auto" w:sz="4" w:space="0"/>
            </w:tcBorders>
            <w:shd w:val="clear" w:color="auto" w:fill="auto"/>
            <w:vAlign w:val="center"/>
          </w:tcPr>
          <w:p>
            <w:pPr>
              <w:widowControl/>
              <w:ind w:firstLine="360"/>
              <w:jc w:val="left"/>
              <w:rPr>
                <w:rFonts w:hint="eastAsia" w:ascii="仿宋_GB2312" w:hAnsi="仿宋_GB2312" w:eastAsia="仿宋_GB2312" w:cs="仿宋_GB2312"/>
                <w:b w:val="0"/>
                <w:bCs w:val="0"/>
                <w:color w:val="000000"/>
                <w:kern w:val="0"/>
                <w:sz w:val="18"/>
                <w:szCs w:val="18"/>
              </w:rPr>
            </w:pPr>
          </w:p>
        </w:tc>
        <w:tc>
          <w:tcPr>
            <w:tcW w:w="971" w:type="dxa"/>
            <w:vMerge w:val="continue"/>
            <w:tcBorders>
              <w:top w:val="nil"/>
              <w:left w:val="single" w:color="auto" w:sz="4" w:space="0"/>
              <w:bottom w:val="nil"/>
              <w:right w:val="single" w:color="auto" w:sz="4" w:space="0"/>
            </w:tcBorders>
            <w:vAlign w:val="center"/>
          </w:tcPr>
          <w:p>
            <w:pPr>
              <w:widowControl/>
              <w:ind w:firstLine="360"/>
              <w:jc w:val="center"/>
              <w:rPr>
                <w:rFonts w:hint="eastAsia" w:ascii="仿宋_GB2312" w:hAnsi="仿宋_GB2312" w:eastAsia="仿宋_GB2312" w:cs="仿宋_GB2312"/>
                <w:b w:val="0"/>
                <w:bCs w:val="0"/>
                <w:color w:val="000000"/>
                <w:kern w:val="0"/>
                <w:sz w:val="18"/>
                <w:szCs w:val="18"/>
              </w:rPr>
            </w:pPr>
          </w:p>
        </w:tc>
        <w:tc>
          <w:tcPr>
            <w:tcW w:w="1381" w:type="dxa"/>
            <w:tcBorders>
              <w:top w:val="nil"/>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3.2.2项目补贴标准准确率（2分）</w:t>
            </w:r>
          </w:p>
        </w:tc>
        <w:tc>
          <w:tcPr>
            <w:tcW w:w="4184" w:type="dxa"/>
            <w:tcBorders>
              <w:top w:val="nil"/>
              <w:left w:val="nil"/>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该项分值为2分。对照政策资助标准，每发现一项兑现资金与标准不符，扣1分，扣完为止。</w:t>
            </w:r>
          </w:p>
        </w:tc>
        <w:tc>
          <w:tcPr>
            <w:tcW w:w="576" w:type="dxa"/>
            <w:tcBorders>
              <w:top w:val="nil"/>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themeColor="text1"/>
                <w:kern w:val="0"/>
                <w:sz w:val="18"/>
                <w:szCs w:val="18"/>
                <w14:textFill>
                  <w14:solidFill>
                    <w14:schemeClr w14:val="tx1"/>
                  </w14:solidFill>
                </w14:textFill>
              </w:rPr>
            </w:pPr>
            <w:r>
              <w:rPr>
                <w:rFonts w:hint="eastAsia" w:ascii="仿宋_GB2312" w:hAnsi="仿宋_GB2312" w:eastAsia="仿宋_GB2312" w:cs="仿宋_GB2312"/>
                <w:b w:val="0"/>
                <w:bCs w:val="0"/>
                <w:color w:val="000000" w:themeColor="text1"/>
                <w:kern w:val="0"/>
                <w:sz w:val="18"/>
                <w:szCs w:val="18"/>
                <w14:textFill>
                  <w14:solidFill>
                    <w14:schemeClr w14:val="tx1"/>
                  </w14:solidFill>
                </w14:textFill>
              </w:rPr>
              <w:t>2</w:t>
            </w:r>
          </w:p>
        </w:tc>
        <w:tc>
          <w:tcPr>
            <w:tcW w:w="5834"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按照政策标准进行奖励、补贴。</w:t>
            </w:r>
          </w:p>
        </w:tc>
        <w:tc>
          <w:tcPr>
            <w:tcW w:w="776" w:type="dxa"/>
            <w:tcBorders>
              <w:left w:val="single" w:color="auto" w:sz="4" w:space="0"/>
            </w:tcBorders>
            <w:vAlign w:val="center"/>
          </w:tcPr>
          <w:p>
            <w:pPr>
              <w:widowControl/>
              <w:ind w:firstLine="400"/>
              <w:jc w:val="left"/>
              <w:rPr>
                <w:rFonts w:hint="eastAsia" w:ascii="仿宋_GB2312" w:hAnsi="仿宋_GB2312" w:eastAsia="仿宋_GB2312" w:cs="仿宋_GB2312"/>
                <w:b w:val="0"/>
                <w:bCs w:val="0"/>
                <w:kern w:val="0"/>
                <w:sz w:val="20"/>
                <w:szCs w:val="20"/>
              </w:rPr>
            </w:pPr>
          </w:p>
        </w:tc>
      </w:tr>
      <w:tr>
        <w:tblPrEx>
          <w:tblCellMar>
            <w:top w:w="0" w:type="dxa"/>
            <w:left w:w="108" w:type="dxa"/>
            <w:bottom w:w="0" w:type="dxa"/>
            <w:right w:w="108" w:type="dxa"/>
          </w:tblCellMar>
        </w:tblPrEx>
        <w:trPr>
          <w:trHeight w:val="507" w:hRule="atLeast"/>
        </w:trPr>
        <w:tc>
          <w:tcPr>
            <w:tcW w:w="939" w:type="dxa"/>
            <w:vMerge w:val="continue"/>
            <w:tcBorders>
              <w:left w:val="single" w:color="auto" w:sz="4" w:space="0"/>
              <w:right w:val="single" w:color="auto" w:sz="4" w:space="0"/>
            </w:tcBorders>
            <w:shd w:val="clear" w:color="auto" w:fill="auto"/>
            <w:vAlign w:val="center"/>
          </w:tcPr>
          <w:p>
            <w:pPr>
              <w:widowControl/>
              <w:ind w:firstLine="360"/>
              <w:jc w:val="left"/>
              <w:rPr>
                <w:rFonts w:hint="eastAsia" w:ascii="仿宋_GB2312" w:hAnsi="仿宋_GB2312" w:eastAsia="仿宋_GB2312" w:cs="仿宋_GB2312"/>
                <w:b w:val="0"/>
                <w:bCs w:val="0"/>
                <w:color w:val="000000"/>
                <w:kern w:val="0"/>
                <w:sz w:val="18"/>
                <w:szCs w:val="18"/>
              </w:rPr>
            </w:pPr>
          </w:p>
        </w:tc>
        <w:tc>
          <w:tcPr>
            <w:tcW w:w="971"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3.3政策产出时效（1分）</w:t>
            </w:r>
          </w:p>
        </w:tc>
        <w:tc>
          <w:tcPr>
            <w:tcW w:w="1381" w:type="dxa"/>
            <w:vMerge w:val="restart"/>
            <w:tcBorders>
              <w:top w:val="nil"/>
              <w:left w:val="single" w:color="auto" w:sz="4" w:space="0"/>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3.3.1政策兑现资金拨付的及时性</w:t>
            </w:r>
          </w:p>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（1分）</w:t>
            </w:r>
          </w:p>
        </w:tc>
        <w:tc>
          <w:tcPr>
            <w:tcW w:w="4184" w:type="dxa"/>
            <w:vMerge w:val="restart"/>
            <w:tcBorders>
              <w:top w:val="nil"/>
              <w:left w:val="single" w:color="auto" w:sz="4" w:space="0"/>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该项分值为1分。结合调查问卷，每发现一项未及时足额拨付资金问题，扣0.5分，扣完为止。</w:t>
            </w:r>
          </w:p>
        </w:tc>
        <w:tc>
          <w:tcPr>
            <w:tcW w:w="576" w:type="dxa"/>
            <w:vMerge w:val="restart"/>
            <w:tcBorders>
              <w:top w:val="nil"/>
              <w:left w:val="single" w:color="auto" w:sz="4" w:space="0"/>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themeColor="text1"/>
                <w:kern w:val="0"/>
                <w:sz w:val="18"/>
                <w:szCs w:val="18"/>
                <w14:textFill>
                  <w14:solidFill>
                    <w14:schemeClr w14:val="tx1"/>
                  </w14:solidFill>
                </w14:textFill>
              </w:rPr>
            </w:pPr>
            <w:r>
              <w:rPr>
                <w:rFonts w:hint="eastAsia" w:ascii="仿宋_GB2312" w:hAnsi="仿宋_GB2312" w:eastAsia="仿宋_GB2312" w:cs="仿宋_GB2312"/>
                <w:b w:val="0"/>
                <w:bCs w:val="0"/>
                <w:color w:val="000000" w:themeColor="text1"/>
                <w:kern w:val="0"/>
                <w:sz w:val="18"/>
                <w:szCs w:val="18"/>
                <w14:textFill>
                  <w14:solidFill>
                    <w14:schemeClr w14:val="tx1"/>
                  </w14:solidFill>
                </w14:textFill>
              </w:rPr>
              <w:t>1</w:t>
            </w:r>
          </w:p>
        </w:tc>
        <w:tc>
          <w:tcPr>
            <w:tcW w:w="58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按照《菏泽市市级人才专项资金审核拨付暂行办法》拨付至相关人员。</w:t>
            </w:r>
          </w:p>
        </w:tc>
        <w:tc>
          <w:tcPr>
            <w:tcW w:w="776" w:type="dxa"/>
            <w:vAlign w:val="center"/>
          </w:tcPr>
          <w:p>
            <w:pPr>
              <w:widowControl/>
              <w:ind w:firstLine="400"/>
              <w:jc w:val="left"/>
              <w:rPr>
                <w:rFonts w:hint="eastAsia" w:ascii="仿宋_GB2312" w:hAnsi="仿宋_GB2312" w:eastAsia="仿宋_GB2312" w:cs="仿宋_GB2312"/>
                <w:b w:val="0"/>
                <w:bCs w:val="0"/>
                <w:kern w:val="0"/>
                <w:sz w:val="20"/>
                <w:szCs w:val="20"/>
              </w:rPr>
            </w:pPr>
          </w:p>
        </w:tc>
      </w:tr>
      <w:tr>
        <w:tblPrEx>
          <w:tblCellMar>
            <w:top w:w="0" w:type="dxa"/>
            <w:left w:w="108" w:type="dxa"/>
            <w:bottom w:w="0" w:type="dxa"/>
            <w:right w:w="108" w:type="dxa"/>
          </w:tblCellMar>
        </w:tblPrEx>
        <w:trPr>
          <w:trHeight w:val="167" w:hRule="atLeast"/>
        </w:trPr>
        <w:tc>
          <w:tcPr>
            <w:tcW w:w="939" w:type="dxa"/>
            <w:vMerge w:val="continue"/>
            <w:tcBorders>
              <w:left w:val="single" w:color="auto" w:sz="4" w:space="0"/>
              <w:bottom w:val="single" w:color="auto" w:sz="4" w:space="0"/>
              <w:right w:val="single" w:color="auto" w:sz="4" w:space="0"/>
            </w:tcBorders>
            <w:shd w:val="clear" w:color="auto" w:fill="auto"/>
            <w:vAlign w:val="center"/>
          </w:tcPr>
          <w:p>
            <w:pPr>
              <w:widowControl/>
              <w:ind w:firstLine="360"/>
              <w:jc w:val="left"/>
              <w:rPr>
                <w:rFonts w:hint="eastAsia" w:ascii="仿宋_GB2312" w:hAnsi="仿宋_GB2312" w:eastAsia="仿宋_GB2312" w:cs="仿宋_GB2312"/>
                <w:b w:val="0"/>
                <w:bCs w:val="0"/>
                <w:color w:val="000000"/>
                <w:kern w:val="0"/>
                <w:sz w:val="18"/>
                <w:szCs w:val="18"/>
              </w:rPr>
            </w:pPr>
          </w:p>
        </w:tc>
        <w:tc>
          <w:tcPr>
            <w:tcW w:w="971"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360"/>
              <w:jc w:val="left"/>
              <w:rPr>
                <w:rFonts w:hint="eastAsia" w:ascii="仿宋_GB2312" w:hAnsi="仿宋_GB2312" w:eastAsia="仿宋_GB2312" w:cs="仿宋_GB2312"/>
                <w:b w:val="0"/>
                <w:bCs w:val="0"/>
                <w:color w:val="000000"/>
                <w:kern w:val="0"/>
                <w:sz w:val="18"/>
                <w:szCs w:val="18"/>
              </w:rPr>
            </w:pPr>
          </w:p>
        </w:tc>
        <w:tc>
          <w:tcPr>
            <w:tcW w:w="1381" w:type="dxa"/>
            <w:vMerge w:val="continue"/>
            <w:tcBorders>
              <w:top w:val="nil"/>
              <w:left w:val="single" w:color="auto" w:sz="4" w:space="0"/>
              <w:bottom w:val="single" w:color="auto" w:sz="4" w:space="0"/>
              <w:right w:val="single" w:color="auto" w:sz="4" w:space="0"/>
            </w:tcBorders>
            <w:vAlign w:val="center"/>
          </w:tcPr>
          <w:p>
            <w:pPr>
              <w:widowControl/>
              <w:ind w:firstLine="360"/>
              <w:jc w:val="left"/>
              <w:rPr>
                <w:rFonts w:hint="eastAsia" w:ascii="仿宋_GB2312" w:hAnsi="仿宋_GB2312" w:eastAsia="仿宋_GB2312" w:cs="仿宋_GB2312"/>
                <w:b w:val="0"/>
                <w:bCs w:val="0"/>
                <w:color w:val="000000"/>
                <w:kern w:val="0"/>
                <w:sz w:val="18"/>
                <w:szCs w:val="18"/>
              </w:rPr>
            </w:pPr>
          </w:p>
        </w:tc>
        <w:tc>
          <w:tcPr>
            <w:tcW w:w="4184" w:type="dxa"/>
            <w:vMerge w:val="continue"/>
            <w:tcBorders>
              <w:top w:val="nil"/>
              <w:left w:val="single" w:color="auto" w:sz="4" w:space="0"/>
              <w:bottom w:val="single" w:color="auto" w:sz="4" w:space="0"/>
              <w:right w:val="single" w:color="auto" w:sz="4" w:space="0"/>
            </w:tcBorders>
            <w:vAlign w:val="center"/>
          </w:tcPr>
          <w:p>
            <w:pPr>
              <w:widowControl/>
              <w:ind w:firstLine="360"/>
              <w:jc w:val="left"/>
              <w:rPr>
                <w:rFonts w:hint="eastAsia" w:ascii="仿宋_GB2312" w:hAnsi="仿宋_GB2312" w:eastAsia="仿宋_GB2312" w:cs="仿宋_GB2312"/>
                <w:b w:val="0"/>
                <w:bCs w:val="0"/>
                <w:color w:val="000000"/>
                <w:kern w:val="0"/>
                <w:sz w:val="18"/>
                <w:szCs w:val="18"/>
              </w:rPr>
            </w:pPr>
          </w:p>
        </w:tc>
        <w:tc>
          <w:tcPr>
            <w:tcW w:w="576" w:type="dxa"/>
            <w:vMerge w:val="continue"/>
            <w:tcBorders>
              <w:top w:val="nil"/>
              <w:left w:val="single" w:color="auto" w:sz="4" w:space="0"/>
              <w:bottom w:val="single" w:color="auto" w:sz="4" w:space="0"/>
              <w:right w:val="single" w:color="auto" w:sz="4" w:space="0"/>
            </w:tcBorders>
            <w:vAlign w:val="center"/>
          </w:tcPr>
          <w:p>
            <w:pPr>
              <w:widowControl/>
              <w:ind w:firstLine="360"/>
              <w:jc w:val="left"/>
              <w:rPr>
                <w:rFonts w:hint="eastAsia" w:ascii="仿宋_GB2312" w:hAnsi="仿宋_GB2312" w:eastAsia="仿宋_GB2312" w:cs="仿宋_GB2312"/>
                <w:b w:val="0"/>
                <w:bCs w:val="0"/>
                <w:color w:val="000000" w:themeColor="text1"/>
                <w:kern w:val="0"/>
                <w:sz w:val="18"/>
                <w:szCs w:val="18"/>
                <w14:textFill>
                  <w14:solidFill>
                    <w14:schemeClr w14:val="tx1"/>
                  </w14:solidFill>
                </w14:textFill>
              </w:rPr>
            </w:pPr>
          </w:p>
        </w:tc>
        <w:tc>
          <w:tcPr>
            <w:tcW w:w="5834"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360"/>
              <w:jc w:val="left"/>
              <w:rPr>
                <w:rFonts w:hint="eastAsia" w:ascii="仿宋_GB2312" w:hAnsi="仿宋_GB2312" w:eastAsia="仿宋_GB2312" w:cs="仿宋_GB2312"/>
                <w:b w:val="0"/>
                <w:bCs w:val="0"/>
                <w:color w:val="000000"/>
                <w:kern w:val="0"/>
                <w:sz w:val="18"/>
                <w:szCs w:val="18"/>
              </w:rPr>
            </w:pPr>
          </w:p>
        </w:tc>
        <w:tc>
          <w:tcPr>
            <w:tcW w:w="776" w:type="dxa"/>
            <w:tcBorders>
              <w:top w:val="nil"/>
              <w:left w:val="nil"/>
              <w:bottom w:val="nil"/>
              <w:right w:val="nil"/>
            </w:tcBorders>
            <w:shd w:val="clear" w:color="auto" w:fill="auto"/>
            <w:noWrap/>
            <w:vAlign w:val="bottom"/>
          </w:tcPr>
          <w:p>
            <w:pPr>
              <w:widowControl/>
              <w:ind w:firstLine="360"/>
              <w:jc w:val="center"/>
              <w:rPr>
                <w:rFonts w:hint="eastAsia" w:ascii="仿宋_GB2312" w:hAnsi="仿宋_GB2312" w:eastAsia="仿宋_GB2312" w:cs="仿宋_GB2312"/>
                <w:b w:val="0"/>
                <w:bCs w:val="0"/>
                <w:color w:val="000000"/>
                <w:kern w:val="0"/>
                <w:sz w:val="18"/>
                <w:szCs w:val="18"/>
              </w:rPr>
            </w:pPr>
          </w:p>
        </w:tc>
      </w:tr>
      <w:tr>
        <w:tblPrEx>
          <w:tblCellMar>
            <w:top w:w="0" w:type="dxa"/>
            <w:left w:w="108" w:type="dxa"/>
            <w:bottom w:w="0" w:type="dxa"/>
            <w:right w:w="108" w:type="dxa"/>
          </w:tblCellMar>
        </w:tblPrEx>
        <w:trPr>
          <w:trHeight w:val="726" w:hRule="atLeast"/>
        </w:trPr>
        <w:tc>
          <w:tcPr>
            <w:tcW w:w="93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4政策</w:t>
            </w:r>
          </w:p>
          <w:p>
            <w:pPr>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效果</w:t>
            </w:r>
          </w:p>
          <w:p>
            <w:pPr>
              <w:ind w:firstLine="0" w:firstLineChars="0"/>
              <w:jc w:val="center"/>
              <w:rPr>
                <w:rFonts w:hint="eastAsia" w:ascii="仿宋_GB2312" w:hAnsi="仿宋_GB2312" w:eastAsia="仿宋_GB2312" w:cs="仿宋_GB2312"/>
                <w:b w:val="0"/>
                <w:bCs w:val="0"/>
                <w:color w:val="000000"/>
                <w:kern w:val="0"/>
                <w:sz w:val="20"/>
                <w:szCs w:val="20"/>
              </w:rPr>
            </w:pPr>
            <w:r>
              <w:rPr>
                <w:rFonts w:hint="eastAsia" w:ascii="仿宋_GB2312" w:hAnsi="仿宋_GB2312" w:eastAsia="仿宋_GB2312" w:cs="仿宋_GB2312"/>
                <w:b w:val="0"/>
                <w:bCs w:val="0"/>
                <w:color w:val="000000"/>
                <w:kern w:val="0"/>
                <w:sz w:val="18"/>
                <w:szCs w:val="18"/>
              </w:rPr>
              <w:t>（25分）</w:t>
            </w:r>
          </w:p>
        </w:tc>
        <w:tc>
          <w:tcPr>
            <w:tcW w:w="97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4.1社会效益</w:t>
            </w:r>
          </w:p>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（12分）</w:t>
            </w:r>
          </w:p>
        </w:tc>
        <w:tc>
          <w:tcPr>
            <w:tcW w:w="1381"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4.1.1促进新旧动能转换等产业发展效果</w:t>
            </w:r>
          </w:p>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（2分）</w:t>
            </w:r>
          </w:p>
        </w:tc>
        <w:tc>
          <w:tcPr>
            <w:tcW w:w="4184" w:type="dxa"/>
            <w:tcBorders>
              <w:top w:val="nil"/>
              <w:left w:val="nil"/>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该项分值2分。根据现场评价中新旧动能转换等政策补助重点产业（高端装备、智能制造、新能源新材料、信息技术等）的发展推动作用进行评价，结合现场评价情况和专家意见综合得分。</w:t>
            </w:r>
          </w:p>
        </w:tc>
        <w:tc>
          <w:tcPr>
            <w:tcW w:w="576" w:type="dxa"/>
            <w:tcBorders>
              <w:top w:val="nil"/>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themeColor="text1"/>
                <w:kern w:val="0"/>
                <w:sz w:val="18"/>
                <w:szCs w:val="18"/>
                <w14:textFill>
                  <w14:solidFill>
                    <w14:schemeClr w14:val="tx1"/>
                  </w14:solidFill>
                </w14:textFill>
              </w:rPr>
            </w:pPr>
            <w:r>
              <w:rPr>
                <w:rFonts w:hint="eastAsia" w:ascii="仿宋_GB2312" w:hAnsi="仿宋_GB2312" w:eastAsia="仿宋_GB2312" w:cs="仿宋_GB2312"/>
                <w:b w:val="0"/>
                <w:bCs w:val="0"/>
                <w:color w:val="000000" w:themeColor="text1"/>
                <w:kern w:val="0"/>
                <w:sz w:val="18"/>
                <w:szCs w:val="18"/>
                <w14:textFill>
                  <w14:solidFill>
                    <w14:schemeClr w14:val="tx1"/>
                  </w14:solidFill>
                </w14:textFill>
              </w:rPr>
              <w:t>2</w:t>
            </w:r>
          </w:p>
        </w:tc>
        <w:tc>
          <w:tcPr>
            <w:tcW w:w="5834"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2021年全市“231”产业体中规模以上生物医药企业93家，规上企业生产总值达605亿元，同比增长46%；“231”产业体中规模以上高端化工企业151家，实现主营业务收入1045.22亿元，同比增长26.7%；全市规模以上农副产品加工企业1004家，实现营收1253.4亿元，同比增长39%；“231”产业体中规模以上</w:t>
            </w:r>
            <w:r>
              <w:rPr>
                <w:rFonts w:hint="eastAsia" w:ascii="仿宋_GB2312" w:hAnsi="仿宋_GB2312" w:eastAsia="仿宋_GB2312" w:cs="仿宋_GB2312"/>
                <w:b w:val="0"/>
                <w:bCs w:val="0"/>
                <w:color w:val="000000"/>
                <w:kern w:val="0"/>
                <w:sz w:val="18"/>
                <w:szCs w:val="18"/>
                <w:lang w:eastAsia="zh-CN"/>
              </w:rPr>
              <w:t>机电设备</w:t>
            </w:r>
            <w:r>
              <w:rPr>
                <w:rFonts w:hint="eastAsia" w:ascii="仿宋_GB2312" w:hAnsi="仿宋_GB2312" w:eastAsia="仿宋_GB2312" w:cs="仿宋_GB2312"/>
                <w:b w:val="0"/>
                <w:bCs w:val="0"/>
                <w:color w:val="000000"/>
                <w:kern w:val="0"/>
                <w:sz w:val="18"/>
                <w:szCs w:val="18"/>
              </w:rPr>
              <w:t>企业222家，实现营收365.61亿元，同比增长62%；全市新能源产业增加值增速23.31%；新材料产业增加值39.09%。</w:t>
            </w:r>
          </w:p>
        </w:tc>
        <w:tc>
          <w:tcPr>
            <w:tcW w:w="776" w:type="dxa"/>
            <w:vAlign w:val="center"/>
          </w:tcPr>
          <w:p>
            <w:pPr>
              <w:widowControl/>
              <w:ind w:firstLine="400"/>
              <w:jc w:val="left"/>
              <w:rPr>
                <w:rFonts w:hint="eastAsia" w:ascii="仿宋_GB2312" w:hAnsi="仿宋_GB2312" w:eastAsia="仿宋_GB2312" w:cs="仿宋_GB2312"/>
                <w:b w:val="0"/>
                <w:bCs w:val="0"/>
                <w:kern w:val="0"/>
                <w:sz w:val="20"/>
                <w:szCs w:val="20"/>
              </w:rPr>
            </w:pPr>
          </w:p>
        </w:tc>
      </w:tr>
      <w:tr>
        <w:tblPrEx>
          <w:tblCellMar>
            <w:top w:w="0" w:type="dxa"/>
            <w:left w:w="108" w:type="dxa"/>
            <w:bottom w:w="0" w:type="dxa"/>
            <w:right w:w="108" w:type="dxa"/>
          </w:tblCellMar>
        </w:tblPrEx>
        <w:trPr>
          <w:trHeight w:val="306" w:hRule="atLeast"/>
        </w:trPr>
        <w:tc>
          <w:tcPr>
            <w:tcW w:w="9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ind w:firstLine="0" w:firstLineChars="0"/>
              <w:jc w:val="center"/>
              <w:rPr>
                <w:rFonts w:hint="eastAsia" w:ascii="仿宋_GB2312" w:hAnsi="仿宋_GB2312" w:eastAsia="仿宋_GB2312" w:cs="仿宋_GB2312"/>
                <w:b w:val="0"/>
                <w:bCs w:val="0"/>
                <w:color w:val="000000"/>
                <w:kern w:val="0"/>
                <w:sz w:val="20"/>
                <w:szCs w:val="20"/>
              </w:rPr>
            </w:pPr>
          </w:p>
        </w:tc>
        <w:tc>
          <w:tcPr>
            <w:tcW w:w="97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p>
        </w:tc>
        <w:tc>
          <w:tcPr>
            <w:tcW w:w="1381"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4.1.2引才单位能力提升效果</w:t>
            </w:r>
          </w:p>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（2分）</w:t>
            </w:r>
          </w:p>
        </w:tc>
        <w:tc>
          <w:tcPr>
            <w:tcW w:w="4184" w:type="dxa"/>
            <w:tcBorders>
              <w:top w:val="nil"/>
              <w:left w:val="nil"/>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该项分值为2分。根据受补助的引才单位、工业企业等相关企业的营收、税收、行业综合排名的提升情况综合评分，结合专家意见具体赋分。</w:t>
            </w:r>
          </w:p>
        </w:tc>
        <w:tc>
          <w:tcPr>
            <w:tcW w:w="576" w:type="dxa"/>
            <w:tcBorders>
              <w:top w:val="nil"/>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themeColor="text1"/>
                <w:kern w:val="0"/>
                <w:sz w:val="18"/>
                <w:szCs w:val="18"/>
                <w14:textFill>
                  <w14:solidFill>
                    <w14:schemeClr w14:val="tx1"/>
                  </w14:solidFill>
                </w14:textFill>
              </w:rPr>
            </w:pPr>
            <w:r>
              <w:rPr>
                <w:rFonts w:hint="eastAsia" w:ascii="仿宋_GB2312" w:hAnsi="仿宋_GB2312" w:eastAsia="仿宋_GB2312" w:cs="仿宋_GB2312"/>
                <w:b w:val="0"/>
                <w:bCs w:val="0"/>
                <w:color w:val="000000" w:themeColor="text1"/>
                <w:kern w:val="0"/>
                <w:sz w:val="18"/>
                <w:szCs w:val="18"/>
                <w14:textFill>
                  <w14:solidFill>
                    <w14:schemeClr w14:val="tx1"/>
                  </w14:solidFill>
                </w14:textFill>
              </w:rPr>
              <w:t>1</w:t>
            </w:r>
          </w:p>
        </w:tc>
        <w:tc>
          <w:tcPr>
            <w:tcW w:w="5834" w:type="dxa"/>
            <w:tcBorders>
              <w:top w:val="nil"/>
              <w:left w:val="nil"/>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在调研中发现，中禾健元、菏泽巨鑫源、绿宝珠肥业在2021年被取消省级企业技术中心，政策执行效果有待进一步提升。-1分。</w:t>
            </w:r>
          </w:p>
        </w:tc>
        <w:tc>
          <w:tcPr>
            <w:tcW w:w="776" w:type="dxa"/>
            <w:vAlign w:val="center"/>
          </w:tcPr>
          <w:p>
            <w:pPr>
              <w:widowControl/>
              <w:ind w:firstLine="400"/>
              <w:jc w:val="left"/>
              <w:rPr>
                <w:rFonts w:hint="eastAsia" w:ascii="仿宋_GB2312" w:hAnsi="仿宋_GB2312" w:eastAsia="仿宋_GB2312" w:cs="仿宋_GB2312"/>
                <w:b w:val="0"/>
                <w:bCs w:val="0"/>
                <w:kern w:val="0"/>
                <w:sz w:val="20"/>
                <w:szCs w:val="20"/>
              </w:rPr>
            </w:pPr>
          </w:p>
        </w:tc>
      </w:tr>
      <w:tr>
        <w:tblPrEx>
          <w:tblCellMar>
            <w:top w:w="0" w:type="dxa"/>
            <w:left w:w="108" w:type="dxa"/>
            <w:bottom w:w="0" w:type="dxa"/>
            <w:right w:w="108" w:type="dxa"/>
          </w:tblCellMar>
        </w:tblPrEx>
        <w:trPr>
          <w:trHeight w:val="760" w:hRule="atLeast"/>
        </w:trPr>
        <w:tc>
          <w:tcPr>
            <w:tcW w:w="9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ind w:firstLine="0" w:firstLineChars="0"/>
              <w:jc w:val="center"/>
              <w:rPr>
                <w:rFonts w:hint="eastAsia" w:ascii="仿宋_GB2312" w:hAnsi="仿宋_GB2312" w:eastAsia="仿宋_GB2312" w:cs="仿宋_GB2312"/>
                <w:b w:val="0"/>
                <w:bCs w:val="0"/>
                <w:color w:val="000000"/>
                <w:kern w:val="0"/>
                <w:sz w:val="20"/>
                <w:szCs w:val="20"/>
              </w:rPr>
            </w:pPr>
          </w:p>
        </w:tc>
        <w:tc>
          <w:tcPr>
            <w:tcW w:w="97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p>
        </w:tc>
        <w:tc>
          <w:tcPr>
            <w:tcW w:w="13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4.1.3各类科研成果转化效益</w:t>
            </w:r>
          </w:p>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（2分）</w:t>
            </w:r>
          </w:p>
        </w:tc>
        <w:tc>
          <w:tcPr>
            <w:tcW w:w="4184" w:type="dxa"/>
            <w:tcBorders>
              <w:top w:val="nil"/>
              <w:left w:val="nil"/>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该项分值为2分。根据受补助的各类人才工作站、科研人才等相关科研成果的具体转化情况进行综合评分，结合专家意见具体赋分。</w:t>
            </w:r>
          </w:p>
        </w:tc>
        <w:tc>
          <w:tcPr>
            <w:tcW w:w="5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themeColor="text1"/>
                <w:kern w:val="0"/>
                <w:sz w:val="18"/>
                <w:szCs w:val="18"/>
                <w14:textFill>
                  <w14:solidFill>
                    <w14:schemeClr w14:val="tx1"/>
                  </w14:solidFill>
                </w14:textFill>
              </w:rPr>
            </w:pPr>
            <w:r>
              <w:rPr>
                <w:rFonts w:hint="eastAsia" w:ascii="仿宋_GB2312" w:hAnsi="仿宋_GB2312" w:eastAsia="仿宋_GB2312" w:cs="仿宋_GB2312"/>
                <w:b w:val="0"/>
                <w:bCs w:val="0"/>
                <w:color w:val="000000" w:themeColor="text1"/>
                <w:kern w:val="0"/>
                <w:sz w:val="18"/>
                <w:szCs w:val="18"/>
                <w14:textFill>
                  <w14:solidFill>
                    <w14:schemeClr w14:val="tx1"/>
                  </w14:solidFill>
                </w14:textFill>
              </w:rPr>
              <w:t>1</w:t>
            </w:r>
          </w:p>
        </w:tc>
        <w:tc>
          <w:tcPr>
            <w:tcW w:w="58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调研发现，凯维思公司（齐鲁友谊奖、牡丹友谊奖、院士工作站奖励共计18万元）、艾酷博公司（外专双百计划专家奖励30万元）、继和科技（泰山产业领军人才奖励30万元）公司未投产运营，各类科研成果转化效果不明显。-1分。</w:t>
            </w:r>
          </w:p>
        </w:tc>
        <w:tc>
          <w:tcPr>
            <w:tcW w:w="776" w:type="dxa"/>
            <w:tcBorders>
              <w:left w:val="single" w:color="auto" w:sz="4" w:space="0"/>
            </w:tcBorders>
            <w:vAlign w:val="center"/>
          </w:tcPr>
          <w:p>
            <w:pPr>
              <w:widowControl/>
              <w:ind w:firstLine="400"/>
              <w:jc w:val="left"/>
              <w:rPr>
                <w:rFonts w:hint="eastAsia" w:ascii="仿宋_GB2312" w:hAnsi="仿宋_GB2312" w:eastAsia="仿宋_GB2312" w:cs="仿宋_GB2312"/>
                <w:b w:val="0"/>
                <w:bCs w:val="0"/>
                <w:kern w:val="0"/>
                <w:sz w:val="20"/>
                <w:szCs w:val="20"/>
              </w:rPr>
            </w:pPr>
          </w:p>
        </w:tc>
      </w:tr>
      <w:tr>
        <w:tblPrEx>
          <w:tblCellMar>
            <w:top w:w="0" w:type="dxa"/>
            <w:left w:w="108" w:type="dxa"/>
            <w:bottom w:w="0" w:type="dxa"/>
            <w:right w:w="108" w:type="dxa"/>
          </w:tblCellMar>
        </w:tblPrEx>
        <w:trPr>
          <w:trHeight w:val="507" w:hRule="atLeast"/>
        </w:trPr>
        <w:tc>
          <w:tcPr>
            <w:tcW w:w="9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ind w:firstLine="400"/>
              <w:jc w:val="center"/>
              <w:rPr>
                <w:rFonts w:hint="eastAsia" w:ascii="仿宋_GB2312" w:hAnsi="仿宋_GB2312" w:eastAsia="仿宋_GB2312" w:cs="仿宋_GB2312"/>
                <w:b w:val="0"/>
                <w:bCs w:val="0"/>
                <w:color w:val="000000"/>
                <w:kern w:val="0"/>
                <w:sz w:val="20"/>
                <w:szCs w:val="20"/>
              </w:rPr>
            </w:pPr>
          </w:p>
        </w:tc>
        <w:tc>
          <w:tcPr>
            <w:tcW w:w="97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p>
        </w:tc>
        <w:tc>
          <w:tcPr>
            <w:tcW w:w="138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4.1.4人才集聚效益</w:t>
            </w:r>
          </w:p>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（2分）</w:t>
            </w:r>
          </w:p>
        </w:tc>
        <w:tc>
          <w:tcPr>
            <w:tcW w:w="41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该项分值为1分。根据政策实施前、政策实施后人才总量的变化情况，结合专家意见综合评分。</w:t>
            </w:r>
          </w:p>
        </w:tc>
        <w:tc>
          <w:tcPr>
            <w:tcW w:w="5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themeColor="text1"/>
                <w:kern w:val="0"/>
                <w:sz w:val="18"/>
                <w:szCs w:val="18"/>
                <w14:textFill>
                  <w14:solidFill>
                    <w14:schemeClr w14:val="tx1"/>
                  </w14:solidFill>
                </w14:textFill>
              </w:rPr>
            </w:pPr>
            <w:r>
              <w:rPr>
                <w:rFonts w:hint="eastAsia" w:ascii="仿宋_GB2312" w:hAnsi="仿宋_GB2312" w:eastAsia="仿宋_GB2312" w:cs="仿宋_GB2312"/>
                <w:b w:val="0"/>
                <w:bCs w:val="0"/>
                <w:color w:val="000000" w:themeColor="text1"/>
                <w:kern w:val="0"/>
                <w:sz w:val="18"/>
                <w:szCs w:val="18"/>
                <w14:textFill>
                  <w14:solidFill>
                    <w14:schemeClr w14:val="tx1"/>
                  </w14:solidFill>
                </w14:textFill>
              </w:rPr>
              <w:t>1</w:t>
            </w:r>
          </w:p>
        </w:tc>
        <w:tc>
          <w:tcPr>
            <w:tcW w:w="5834"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人才新政30条”实施前，返乡创业人员9.52万人，新政实施后，截至2021年返乡创业人员38.3万人，新增返乡创业人员28.78万人。2018年区县引进高校毕业生接受补助94人；2019年市直单位引进急需紧缺人才50人，区县引进高校毕业生接受补助270人，市属企业48人，共计368人；2020年市直单位引进急需紧缺人才70人，区县引进高校毕业生接受补助445人，市属企业176人，共计691人；2021年市直单位引进急需紧缺人才183人，区县引进高校毕业生接受补助721人，市属企业436人，共计1340人。18-21年接受奖励或补助的高校毕业生累计2493人。</w:t>
            </w:r>
          </w:p>
        </w:tc>
        <w:tc>
          <w:tcPr>
            <w:tcW w:w="776" w:type="dxa"/>
            <w:vAlign w:val="center"/>
          </w:tcPr>
          <w:p>
            <w:pPr>
              <w:widowControl/>
              <w:ind w:firstLine="400"/>
              <w:jc w:val="left"/>
              <w:rPr>
                <w:rFonts w:hint="eastAsia" w:ascii="仿宋_GB2312" w:hAnsi="仿宋_GB2312" w:eastAsia="仿宋_GB2312" w:cs="仿宋_GB2312"/>
                <w:b w:val="0"/>
                <w:bCs w:val="0"/>
                <w:kern w:val="0"/>
                <w:sz w:val="20"/>
                <w:szCs w:val="20"/>
              </w:rPr>
            </w:pPr>
          </w:p>
        </w:tc>
      </w:tr>
      <w:tr>
        <w:tblPrEx>
          <w:tblCellMar>
            <w:top w:w="0" w:type="dxa"/>
            <w:left w:w="108" w:type="dxa"/>
            <w:bottom w:w="0" w:type="dxa"/>
            <w:right w:w="108" w:type="dxa"/>
          </w:tblCellMar>
        </w:tblPrEx>
        <w:trPr>
          <w:trHeight w:val="760" w:hRule="atLeast"/>
        </w:trPr>
        <w:tc>
          <w:tcPr>
            <w:tcW w:w="9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ind w:firstLine="400"/>
              <w:jc w:val="center"/>
              <w:rPr>
                <w:rFonts w:hint="eastAsia" w:ascii="仿宋_GB2312" w:hAnsi="仿宋_GB2312" w:eastAsia="仿宋_GB2312" w:cs="仿宋_GB2312"/>
                <w:b w:val="0"/>
                <w:bCs w:val="0"/>
                <w:color w:val="000000"/>
                <w:kern w:val="0"/>
                <w:sz w:val="20"/>
                <w:szCs w:val="20"/>
              </w:rPr>
            </w:pPr>
          </w:p>
        </w:tc>
        <w:tc>
          <w:tcPr>
            <w:tcW w:w="97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360"/>
              <w:jc w:val="left"/>
              <w:rPr>
                <w:rFonts w:hint="eastAsia" w:ascii="仿宋_GB2312" w:hAnsi="仿宋_GB2312" w:eastAsia="仿宋_GB2312" w:cs="仿宋_GB2312"/>
                <w:b w:val="0"/>
                <w:bCs w:val="0"/>
                <w:color w:val="000000"/>
                <w:kern w:val="0"/>
                <w:sz w:val="18"/>
                <w:szCs w:val="18"/>
              </w:rPr>
            </w:pPr>
          </w:p>
        </w:tc>
        <w:tc>
          <w:tcPr>
            <w:tcW w:w="138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p>
        </w:tc>
        <w:tc>
          <w:tcPr>
            <w:tcW w:w="4184"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该项分值为1分。对政策实施前后人才博士、硕士、本科、高级职称、省级人才的增量、占比等情况，结合专家意见综合评分。</w:t>
            </w:r>
          </w:p>
        </w:tc>
        <w:tc>
          <w:tcPr>
            <w:tcW w:w="576" w:type="dxa"/>
            <w:tcBorders>
              <w:top w:val="nil"/>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themeColor="text1"/>
                <w:kern w:val="0"/>
                <w:sz w:val="18"/>
                <w:szCs w:val="18"/>
                <w14:textFill>
                  <w14:solidFill>
                    <w14:schemeClr w14:val="tx1"/>
                  </w14:solidFill>
                </w14:textFill>
              </w:rPr>
            </w:pPr>
            <w:r>
              <w:rPr>
                <w:rFonts w:hint="eastAsia" w:ascii="仿宋_GB2312" w:hAnsi="仿宋_GB2312" w:eastAsia="仿宋_GB2312" w:cs="仿宋_GB2312"/>
                <w:b w:val="0"/>
                <w:bCs w:val="0"/>
                <w:color w:val="000000" w:themeColor="text1"/>
                <w:kern w:val="0"/>
                <w:sz w:val="18"/>
                <w:szCs w:val="18"/>
                <w14:textFill>
                  <w14:solidFill>
                    <w14:schemeClr w14:val="tx1"/>
                  </w14:solidFill>
                </w14:textFill>
              </w:rPr>
              <w:t>1</w:t>
            </w:r>
          </w:p>
        </w:tc>
        <w:tc>
          <w:tcPr>
            <w:tcW w:w="5834" w:type="dxa"/>
            <w:tcBorders>
              <w:top w:val="nil"/>
              <w:left w:val="nil"/>
              <w:bottom w:val="single" w:color="auto" w:sz="4" w:space="0"/>
              <w:right w:val="single" w:color="auto" w:sz="4" w:space="0"/>
            </w:tcBorders>
            <w:shd w:val="clear" w:color="auto" w:fill="auto"/>
            <w:vAlign w:val="center"/>
          </w:tcPr>
          <w:p>
            <w:pPr>
              <w:widowControl/>
              <w:ind w:firstLine="0" w:firstLineChars="0"/>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2018年-2021年引进博士63人，约1.8%，硕士1244人35.54%，本科1850人52.85%，省级人才22人0.6%，高级职称45人1.5%，高级技师292人8.3%</w:t>
            </w:r>
          </w:p>
        </w:tc>
        <w:tc>
          <w:tcPr>
            <w:tcW w:w="776" w:type="dxa"/>
            <w:vAlign w:val="center"/>
          </w:tcPr>
          <w:p>
            <w:pPr>
              <w:widowControl/>
              <w:ind w:firstLine="400"/>
              <w:jc w:val="left"/>
              <w:rPr>
                <w:rFonts w:hint="eastAsia" w:ascii="仿宋_GB2312" w:hAnsi="仿宋_GB2312" w:eastAsia="仿宋_GB2312" w:cs="仿宋_GB2312"/>
                <w:b w:val="0"/>
                <w:bCs w:val="0"/>
                <w:kern w:val="0"/>
                <w:sz w:val="20"/>
                <w:szCs w:val="20"/>
              </w:rPr>
            </w:pPr>
          </w:p>
        </w:tc>
      </w:tr>
      <w:tr>
        <w:tblPrEx>
          <w:tblCellMar>
            <w:top w:w="0" w:type="dxa"/>
            <w:left w:w="108" w:type="dxa"/>
            <w:bottom w:w="0" w:type="dxa"/>
            <w:right w:w="108" w:type="dxa"/>
          </w:tblCellMar>
        </w:tblPrEx>
        <w:trPr>
          <w:trHeight w:val="760" w:hRule="atLeast"/>
        </w:trPr>
        <w:tc>
          <w:tcPr>
            <w:tcW w:w="9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ind w:firstLine="400"/>
              <w:jc w:val="center"/>
              <w:rPr>
                <w:rFonts w:hint="eastAsia" w:ascii="仿宋_GB2312" w:hAnsi="仿宋_GB2312" w:eastAsia="仿宋_GB2312" w:cs="仿宋_GB2312"/>
                <w:b w:val="0"/>
                <w:bCs w:val="0"/>
                <w:color w:val="000000"/>
                <w:kern w:val="0"/>
                <w:sz w:val="20"/>
                <w:szCs w:val="20"/>
              </w:rPr>
            </w:pPr>
          </w:p>
        </w:tc>
        <w:tc>
          <w:tcPr>
            <w:tcW w:w="97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360"/>
              <w:jc w:val="left"/>
              <w:rPr>
                <w:rFonts w:hint="eastAsia" w:ascii="仿宋_GB2312" w:hAnsi="仿宋_GB2312" w:eastAsia="仿宋_GB2312" w:cs="仿宋_GB2312"/>
                <w:b w:val="0"/>
                <w:bCs w:val="0"/>
                <w:color w:val="000000"/>
                <w:kern w:val="0"/>
                <w:sz w:val="18"/>
                <w:szCs w:val="18"/>
              </w:rPr>
            </w:pPr>
          </w:p>
        </w:tc>
        <w:tc>
          <w:tcPr>
            <w:tcW w:w="1381"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4.1.5创新创业平台建设效果</w:t>
            </w:r>
          </w:p>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（2分）</w:t>
            </w:r>
          </w:p>
        </w:tc>
        <w:tc>
          <w:tcPr>
            <w:tcW w:w="4184" w:type="dxa"/>
            <w:tcBorders>
              <w:top w:val="nil"/>
              <w:left w:val="nil"/>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该项分值为2分。对政策实施前后创新创业平台的增量情况，结合专家意见综合评分。</w:t>
            </w:r>
          </w:p>
        </w:tc>
        <w:tc>
          <w:tcPr>
            <w:tcW w:w="576" w:type="dxa"/>
            <w:tcBorders>
              <w:top w:val="nil"/>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themeColor="text1"/>
                <w:kern w:val="0"/>
                <w:sz w:val="18"/>
                <w:szCs w:val="18"/>
                <w14:textFill>
                  <w14:solidFill>
                    <w14:schemeClr w14:val="tx1"/>
                  </w14:solidFill>
                </w14:textFill>
              </w:rPr>
            </w:pPr>
            <w:r>
              <w:rPr>
                <w:rFonts w:hint="eastAsia" w:ascii="仿宋_GB2312" w:hAnsi="仿宋_GB2312" w:eastAsia="仿宋_GB2312" w:cs="仿宋_GB2312"/>
                <w:b w:val="0"/>
                <w:bCs w:val="0"/>
                <w:color w:val="000000" w:themeColor="text1"/>
                <w:kern w:val="0"/>
                <w:sz w:val="18"/>
                <w:szCs w:val="18"/>
                <w14:textFill>
                  <w14:solidFill>
                    <w14:schemeClr w14:val="tx1"/>
                  </w14:solidFill>
                </w14:textFill>
              </w:rPr>
              <w:t>1.5</w:t>
            </w:r>
          </w:p>
        </w:tc>
        <w:tc>
          <w:tcPr>
            <w:tcW w:w="5834" w:type="dxa"/>
            <w:tcBorders>
              <w:top w:val="nil"/>
              <w:left w:val="nil"/>
              <w:bottom w:val="nil"/>
              <w:right w:val="single" w:color="auto" w:sz="4" w:space="0"/>
            </w:tcBorders>
            <w:shd w:val="clear" w:color="auto" w:fill="auto"/>
            <w:vAlign w:val="center"/>
          </w:tcPr>
          <w:p>
            <w:pPr>
              <w:widowControl/>
              <w:ind w:firstLine="0" w:firstLineChars="0"/>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18-21年接受奖励或补助的新增创新创业平台分别为23个、50个、26个、38个，累计137个，有3家平台在2021年取消省级企业技术中心。-0.5分。</w:t>
            </w:r>
          </w:p>
        </w:tc>
        <w:tc>
          <w:tcPr>
            <w:tcW w:w="776" w:type="dxa"/>
            <w:vAlign w:val="center"/>
          </w:tcPr>
          <w:p>
            <w:pPr>
              <w:widowControl/>
              <w:ind w:firstLine="400"/>
              <w:jc w:val="left"/>
              <w:rPr>
                <w:rFonts w:hint="eastAsia" w:ascii="仿宋_GB2312" w:hAnsi="仿宋_GB2312" w:eastAsia="仿宋_GB2312" w:cs="仿宋_GB2312"/>
                <w:b w:val="0"/>
                <w:bCs w:val="0"/>
                <w:kern w:val="0"/>
                <w:sz w:val="20"/>
                <w:szCs w:val="20"/>
              </w:rPr>
            </w:pPr>
          </w:p>
        </w:tc>
      </w:tr>
      <w:tr>
        <w:tblPrEx>
          <w:tblCellMar>
            <w:top w:w="0" w:type="dxa"/>
            <w:left w:w="108" w:type="dxa"/>
            <w:bottom w:w="0" w:type="dxa"/>
            <w:right w:w="108" w:type="dxa"/>
          </w:tblCellMar>
        </w:tblPrEx>
        <w:trPr>
          <w:trHeight w:val="331" w:hRule="atLeast"/>
        </w:trPr>
        <w:tc>
          <w:tcPr>
            <w:tcW w:w="9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ind w:firstLine="400"/>
              <w:jc w:val="center"/>
              <w:rPr>
                <w:rFonts w:hint="eastAsia" w:ascii="仿宋_GB2312" w:hAnsi="仿宋_GB2312" w:eastAsia="仿宋_GB2312" w:cs="仿宋_GB2312"/>
                <w:b w:val="0"/>
                <w:bCs w:val="0"/>
                <w:color w:val="000000"/>
                <w:kern w:val="0"/>
                <w:sz w:val="20"/>
                <w:szCs w:val="20"/>
              </w:rPr>
            </w:pPr>
          </w:p>
        </w:tc>
        <w:tc>
          <w:tcPr>
            <w:tcW w:w="97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360"/>
              <w:jc w:val="left"/>
              <w:rPr>
                <w:rFonts w:hint="eastAsia" w:ascii="仿宋_GB2312" w:hAnsi="仿宋_GB2312" w:eastAsia="仿宋_GB2312" w:cs="仿宋_GB2312"/>
                <w:b w:val="0"/>
                <w:bCs w:val="0"/>
                <w:color w:val="000000"/>
                <w:kern w:val="0"/>
                <w:sz w:val="18"/>
                <w:szCs w:val="18"/>
              </w:rPr>
            </w:pPr>
          </w:p>
        </w:tc>
        <w:tc>
          <w:tcPr>
            <w:tcW w:w="1381"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4.1.6接受表彰、奖励人员变化情况（2分）</w:t>
            </w:r>
          </w:p>
        </w:tc>
        <w:tc>
          <w:tcPr>
            <w:tcW w:w="4184" w:type="dxa"/>
            <w:tcBorders>
              <w:top w:val="nil"/>
              <w:left w:val="nil"/>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该项分值为2分。对政策实施前后受表彰、奖励人员的增量情况，结合专家意见综合评分。</w:t>
            </w:r>
          </w:p>
        </w:tc>
        <w:tc>
          <w:tcPr>
            <w:tcW w:w="576" w:type="dxa"/>
            <w:tcBorders>
              <w:top w:val="nil"/>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themeColor="text1"/>
                <w:kern w:val="0"/>
                <w:sz w:val="18"/>
                <w:szCs w:val="18"/>
                <w14:textFill>
                  <w14:solidFill>
                    <w14:schemeClr w14:val="tx1"/>
                  </w14:solidFill>
                </w14:textFill>
              </w:rPr>
            </w:pPr>
            <w:r>
              <w:rPr>
                <w:rFonts w:hint="eastAsia" w:ascii="仿宋_GB2312" w:hAnsi="仿宋_GB2312" w:eastAsia="仿宋_GB2312" w:cs="仿宋_GB2312"/>
                <w:b w:val="0"/>
                <w:bCs w:val="0"/>
                <w:color w:val="000000" w:themeColor="text1"/>
                <w:kern w:val="0"/>
                <w:sz w:val="18"/>
                <w:szCs w:val="18"/>
                <w14:textFill>
                  <w14:solidFill>
                    <w14:schemeClr w14:val="tx1"/>
                  </w14:solidFill>
                </w14:textFill>
              </w:rPr>
              <w:t>2</w:t>
            </w:r>
          </w:p>
        </w:tc>
        <w:tc>
          <w:tcPr>
            <w:tcW w:w="5834"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突贡专家38人，拔尖人才111人、首席技师新增40人、和谐使者10名、乡村之星95人、金融之星22人。其中省突贡专家4名，齐鲁首席技师20名，齐鲁乡村之星11名，齐鲁金融之星6名，省金融高端人才1名，齐鲁和谐使者7名。</w:t>
            </w:r>
          </w:p>
        </w:tc>
        <w:tc>
          <w:tcPr>
            <w:tcW w:w="776" w:type="dxa"/>
            <w:vAlign w:val="center"/>
          </w:tcPr>
          <w:p>
            <w:pPr>
              <w:widowControl/>
              <w:ind w:firstLine="400"/>
              <w:jc w:val="left"/>
              <w:rPr>
                <w:rFonts w:hint="eastAsia" w:ascii="仿宋_GB2312" w:hAnsi="仿宋_GB2312" w:eastAsia="仿宋_GB2312" w:cs="仿宋_GB2312"/>
                <w:b w:val="0"/>
                <w:bCs w:val="0"/>
                <w:kern w:val="0"/>
                <w:sz w:val="20"/>
                <w:szCs w:val="20"/>
              </w:rPr>
            </w:pPr>
          </w:p>
        </w:tc>
      </w:tr>
      <w:tr>
        <w:tblPrEx>
          <w:tblCellMar>
            <w:top w:w="0" w:type="dxa"/>
            <w:left w:w="108" w:type="dxa"/>
            <w:bottom w:w="0" w:type="dxa"/>
            <w:right w:w="108" w:type="dxa"/>
          </w:tblCellMar>
        </w:tblPrEx>
        <w:trPr>
          <w:trHeight w:val="610" w:hRule="atLeast"/>
        </w:trPr>
        <w:tc>
          <w:tcPr>
            <w:tcW w:w="9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20"/>
                <w:szCs w:val="20"/>
              </w:rPr>
            </w:pP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4.2政策可持续性（3分）</w:t>
            </w:r>
          </w:p>
        </w:tc>
        <w:tc>
          <w:tcPr>
            <w:tcW w:w="1381"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4.2.2政策保障可持续性（3分）</w:t>
            </w:r>
          </w:p>
        </w:tc>
        <w:tc>
          <w:tcPr>
            <w:tcW w:w="4184" w:type="dxa"/>
            <w:tcBorders>
              <w:top w:val="nil"/>
              <w:left w:val="nil"/>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该项分值为3分。根据专家意见进行综合评分。</w:t>
            </w:r>
          </w:p>
        </w:tc>
        <w:tc>
          <w:tcPr>
            <w:tcW w:w="576" w:type="dxa"/>
            <w:tcBorders>
              <w:top w:val="nil"/>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themeColor="text1"/>
                <w:kern w:val="0"/>
                <w:sz w:val="18"/>
                <w:szCs w:val="18"/>
                <w14:textFill>
                  <w14:solidFill>
                    <w14:schemeClr w14:val="tx1"/>
                  </w14:solidFill>
                </w14:textFill>
              </w:rPr>
            </w:pPr>
            <w:r>
              <w:rPr>
                <w:rFonts w:hint="eastAsia" w:ascii="仿宋_GB2312" w:hAnsi="仿宋_GB2312" w:eastAsia="仿宋_GB2312" w:cs="仿宋_GB2312"/>
                <w:b w:val="0"/>
                <w:bCs w:val="0"/>
                <w:color w:val="000000" w:themeColor="text1"/>
                <w:kern w:val="0"/>
                <w:sz w:val="18"/>
                <w:szCs w:val="18"/>
                <w14:textFill>
                  <w14:solidFill>
                    <w14:schemeClr w14:val="tx1"/>
                  </w14:solidFill>
                </w14:textFill>
              </w:rPr>
              <w:t>2.5</w:t>
            </w:r>
          </w:p>
        </w:tc>
        <w:tc>
          <w:tcPr>
            <w:tcW w:w="5834"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配套实施文件增加至33个，在人才引进、人才培育、平台建设、服务保障等方面进一步提出一系列支持政策，现已搭建起了全市人才发展的基本制度框架，但缺少监督检查机制。-0.5分</w:t>
            </w:r>
          </w:p>
        </w:tc>
        <w:tc>
          <w:tcPr>
            <w:tcW w:w="776" w:type="dxa"/>
            <w:tcBorders>
              <w:left w:val="single" w:color="auto" w:sz="4" w:space="0"/>
            </w:tcBorders>
            <w:vAlign w:val="center"/>
          </w:tcPr>
          <w:p>
            <w:pPr>
              <w:widowControl/>
              <w:ind w:firstLine="400"/>
              <w:jc w:val="left"/>
              <w:rPr>
                <w:rFonts w:hint="eastAsia" w:ascii="仿宋_GB2312" w:hAnsi="仿宋_GB2312" w:eastAsia="仿宋_GB2312" w:cs="仿宋_GB2312"/>
                <w:b w:val="0"/>
                <w:bCs w:val="0"/>
                <w:kern w:val="0"/>
                <w:sz w:val="20"/>
                <w:szCs w:val="20"/>
              </w:rPr>
            </w:pPr>
          </w:p>
        </w:tc>
      </w:tr>
      <w:tr>
        <w:tblPrEx>
          <w:tblCellMar>
            <w:top w:w="0" w:type="dxa"/>
            <w:left w:w="108" w:type="dxa"/>
            <w:bottom w:w="0" w:type="dxa"/>
            <w:right w:w="108" w:type="dxa"/>
          </w:tblCellMar>
        </w:tblPrEx>
        <w:trPr>
          <w:trHeight w:val="760" w:hRule="atLeast"/>
        </w:trPr>
        <w:tc>
          <w:tcPr>
            <w:tcW w:w="9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400"/>
              <w:jc w:val="left"/>
              <w:rPr>
                <w:rFonts w:hint="eastAsia" w:ascii="仿宋_GB2312" w:hAnsi="仿宋_GB2312" w:eastAsia="仿宋_GB2312" w:cs="仿宋_GB2312"/>
                <w:b w:val="0"/>
                <w:bCs w:val="0"/>
                <w:color w:val="000000"/>
                <w:kern w:val="0"/>
                <w:sz w:val="20"/>
                <w:szCs w:val="20"/>
              </w:rPr>
            </w:pPr>
          </w:p>
        </w:tc>
        <w:tc>
          <w:tcPr>
            <w:tcW w:w="971"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4.3满意度</w:t>
            </w:r>
          </w:p>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lang w:eastAsia="zh-CN"/>
              </w:rPr>
              <w:t>（</w:t>
            </w:r>
            <w:r>
              <w:rPr>
                <w:rFonts w:hint="eastAsia" w:ascii="仿宋_GB2312" w:hAnsi="仿宋_GB2312" w:eastAsia="仿宋_GB2312" w:cs="仿宋_GB2312"/>
                <w:b w:val="0"/>
                <w:bCs w:val="0"/>
                <w:color w:val="000000"/>
                <w:kern w:val="0"/>
                <w:sz w:val="18"/>
                <w:szCs w:val="18"/>
              </w:rPr>
              <w:t>10分）</w:t>
            </w:r>
          </w:p>
        </w:tc>
        <w:tc>
          <w:tcPr>
            <w:tcW w:w="1381"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4.3.1补助单位满意度</w:t>
            </w:r>
          </w:p>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（5分）</w:t>
            </w:r>
          </w:p>
        </w:tc>
        <w:tc>
          <w:tcPr>
            <w:tcW w:w="4184" w:type="dxa"/>
            <w:tcBorders>
              <w:top w:val="nil"/>
              <w:left w:val="nil"/>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该项分值5分。补助单位满意度≥90%，得5分，否则每降低1个百分点，扣0.2分，扣完为止。</w:t>
            </w:r>
          </w:p>
        </w:tc>
        <w:tc>
          <w:tcPr>
            <w:tcW w:w="576" w:type="dxa"/>
            <w:tcBorders>
              <w:top w:val="nil"/>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themeColor="text1"/>
                <w:kern w:val="0"/>
                <w:sz w:val="18"/>
                <w:szCs w:val="18"/>
                <w14:textFill>
                  <w14:solidFill>
                    <w14:schemeClr w14:val="tx1"/>
                  </w14:solidFill>
                </w14:textFill>
              </w:rPr>
            </w:pPr>
            <w:r>
              <w:rPr>
                <w:rFonts w:hint="eastAsia" w:ascii="仿宋_GB2312" w:hAnsi="仿宋_GB2312" w:eastAsia="仿宋_GB2312" w:cs="仿宋_GB2312"/>
                <w:b w:val="0"/>
                <w:bCs w:val="0"/>
                <w:color w:val="000000" w:themeColor="text1"/>
                <w:kern w:val="0"/>
                <w:sz w:val="18"/>
                <w:szCs w:val="18"/>
                <w14:textFill>
                  <w14:solidFill>
                    <w14:schemeClr w14:val="tx1"/>
                  </w14:solidFill>
                </w14:textFill>
              </w:rPr>
              <w:t>5</w:t>
            </w:r>
          </w:p>
        </w:tc>
        <w:tc>
          <w:tcPr>
            <w:tcW w:w="5834"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满意度92.85%。</w:t>
            </w:r>
          </w:p>
        </w:tc>
        <w:tc>
          <w:tcPr>
            <w:tcW w:w="776" w:type="dxa"/>
            <w:vAlign w:val="center"/>
          </w:tcPr>
          <w:p>
            <w:pPr>
              <w:widowControl/>
              <w:ind w:firstLine="400"/>
              <w:jc w:val="left"/>
              <w:rPr>
                <w:rFonts w:hint="eastAsia" w:ascii="仿宋_GB2312" w:hAnsi="仿宋_GB2312" w:eastAsia="仿宋_GB2312" w:cs="仿宋_GB2312"/>
                <w:b w:val="0"/>
                <w:bCs w:val="0"/>
                <w:kern w:val="0"/>
                <w:sz w:val="20"/>
                <w:szCs w:val="20"/>
              </w:rPr>
            </w:pPr>
          </w:p>
        </w:tc>
      </w:tr>
      <w:tr>
        <w:tblPrEx>
          <w:tblCellMar>
            <w:top w:w="0" w:type="dxa"/>
            <w:left w:w="108" w:type="dxa"/>
            <w:bottom w:w="0" w:type="dxa"/>
            <w:right w:w="108" w:type="dxa"/>
          </w:tblCellMar>
        </w:tblPrEx>
        <w:trPr>
          <w:trHeight w:val="760" w:hRule="atLeast"/>
        </w:trPr>
        <w:tc>
          <w:tcPr>
            <w:tcW w:w="93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400"/>
              <w:jc w:val="left"/>
              <w:rPr>
                <w:rFonts w:hint="eastAsia" w:ascii="仿宋_GB2312" w:hAnsi="仿宋_GB2312" w:eastAsia="仿宋_GB2312" w:cs="仿宋_GB2312"/>
                <w:b w:val="0"/>
                <w:bCs w:val="0"/>
                <w:color w:val="000000"/>
                <w:kern w:val="0"/>
                <w:sz w:val="20"/>
                <w:szCs w:val="20"/>
              </w:rPr>
            </w:pPr>
          </w:p>
        </w:tc>
        <w:tc>
          <w:tcPr>
            <w:tcW w:w="971" w:type="dxa"/>
            <w:vMerge w:val="continue"/>
            <w:tcBorders>
              <w:top w:val="single" w:color="auto" w:sz="4" w:space="0"/>
              <w:left w:val="single" w:color="auto" w:sz="4" w:space="0"/>
              <w:bottom w:val="single" w:color="000000" w:sz="4" w:space="0"/>
              <w:right w:val="single" w:color="auto" w:sz="4" w:space="0"/>
            </w:tcBorders>
            <w:vAlign w:val="center"/>
          </w:tcPr>
          <w:p>
            <w:pPr>
              <w:widowControl/>
              <w:ind w:firstLine="360"/>
              <w:jc w:val="left"/>
              <w:rPr>
                <w:rFonts w:hint="eastAsia" w:ascii="仿宋_GB2312" w:hAnsi="仿宋_GB2312" w:eastAsia="仿宋_GB2312" w:cs="仿宋_GB2312"/>
                <w:b w:val="0"/>
                <w:bCs w:val="0"/>
                <w:color w:val="000000"/>
                <w:kern w:val="0"/>
                <w:sz w:val="18"/>
                <w:szCs w:val="18"/>
              </w:rPr>
            </w:pPr>
          </w:p>
        </w:tc>
        <w:tc>
          <w:tcPr>
            <w:tcW w:w="1381" w:type="dxa"/>
            <w:tcBorders>
              <w:top w:val="nil"/>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4.3.2补贴对象满意度</w:t>
            </w:r>
          </w:p>
          <w:p>
            <w:pPr>
              <w:widowControl/>
              <w:ind w:firstLine="0" w:firstLineChars="0"/>
              <w:jc w:val="center"/>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（5分）</w:t>
            </w:r>
          </w:p>
        </w:tc>
        <w:tc>
          <w:tcPr>
            <w:tcW w:w="4184" w:type="dxa"/>
            <w:tcBorders>
              <w:top w:val="nil"/>
              <w:left w:val="nil"/>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该项分值5分。补贴对象满意度≥90%，得5分，否则每降低1个百分点，扣0.2分，扣完为止。</w:t>
            </w:r>
          </w:p>
        </w:tc>
        <w:tc>
          <w:tcPr>
            <w:tcW w:w="576" w:type="dxa"/>
            <w:tcBorders>
              <w:top w:val="nil"/>
              <w:left w:val="nil"/>
              <w:bottom w:val="single" w:color="auto" w:sz="4" w:space="0"/>
              <w:right w:val="single" w:color="auto" w:sz="4" w:space="0"/>
            </w:tcBorders>
            <w:shd w:val="clear" w:color="auto" w:fill="auto"/>
            <w:vAlign w:val="center"/>
          </w:tcPr>
          <w:p>
            <w:pPr>
              <w:widowControl/>
              <w:ind w:firstLine="0" w:firstLineChars="0"/>
              <w:jc w:val="center"/>
              <w:rPr>
                <w:rFonts w:hint="eastAsia" w:ascii="仿宋_GB2312" w:hAnsi="仿宋_GB2312" w:eastAsia="仿宋_GB2312" w:cs="仿宋_GB2312"/>
                <w:b w:val="0"/>
                <w:bCs w:val="0"/>
                <w:color w:val="000000" w:themeColor="text1"/>
                <w:kern w:val="0"/>
                <w:sz w:val="18"/>
                <w:szCs w:val="18"/>
                <w14:textFill>
                  <w14:solidFill>
                    <w14:schemeClr w14:val="tx1"/>
                  </w14:solidFill>
                </w14:textFill>
              </w:rPr>
            </w:pPr>
            <w:r>
              <w:rPr>
                <w:rFonts w:hint="eastAsia" w:ascii="仿宋_GB2312" w:hAnsi="仿宋_GB2312" w:eastAsia="仿宋_GB2312" w:cs="仿宋_GB2312"/>
                <w:b w:val="0"/>
                <w:bCs w:val="0"/>
                <w:color w:val="000000" w:themeColor="text1"/>
                <w:kern w:val="0"/>
                <w:sz w:val="18"/>
                <w:szCs w:val="18"/>
                <w14:textFill>
                  <w14:solidFill>
                    <w14:schemeClr w14:val="tx1"/>
                  </w14:solidFill>
                </w14:textFill>
              </w:rPr>
              <w:t>4.8</w:t>
            </w:r>
          </w:p>
        </w:tc>
        <w:tc>
          <w:tcPr>
            <w:tcW w:w="5834" w:type="dxa"/>
            <w:tcBorders>
              <w:top w:val="single" w:color="auto" w:sz="4" w:space="0"/>
              <w:left w:val="nil"/>
              <w:bottom w:val="single" w:color="auto" w:sz="4" w:space="0"/>
              <w:right w:val="single" w:color="auto" w:sz="4" w:space="0"/>
            </w:tcBorders>
            <w:shd w:val="clear" w:color="auto" w:fill="auto"/>
            <w:vAlign w:val="center"/>
          </w:tcPr>
          <w:p>
            <w:pPr>
              <w:widowControl/>
              <w:ind w:firstLine="0" w:firstLineChars="0"/>
              <w:jc w:val="left"/>
              <w:rPr>
                <w:rFonts w:hint="eastAsia" w:ascii="仿宋_GB2312" w:hAnsi="仿宋_GB2312" w:eastAsia="仿宋_GB2312" w:cs="仿宋_GB2312"/>
                <w:b w:val="0"/>
                <w:bCs w:val="0"/>
                <w:color w:val="000000"/>
                <w:kern w:val="0"/>
                <w:sz w:val="18"/>
                <w:szCs w:val="18"/>
              </w:rPr>
            </w:pPr>
            <w:r>
              <w:rPr>
                <w:rFonts w:hint="eastAsia" w:ascii="仿宋_GB2312" w:hAnsi="仿宋_GB2312" w:eastAsia="仿宋_GB2312" w:cs="仿宋_GB2312"/>
                <w:b w:val="0"/>
                <w:bCs w:val="0"/>
                <w:color w:val="000000"/>
                <w:kern w:val="0"/>
                <w:sz w:val="18"/>
                <w:szCs w:val="18"/>
              </w:rPr>
              <w:t>满意度89.73%。-0.2分。</w:t>
            </w:r>
          </w:p>
        </w:tc>
        <w:tc>
          <w:tcPr>
            <w:tcW w:w="776" w:type="dxa"/>
            <w:vAlign w:val="center"/>
          </w:tcPr>
          <w:p>
            <w:pPr>
              <w:widowControl/>
              <w:ind w:firstLine="400"/>
              <w:jc w:val="left"/>
              <w:rPr>
                <w:rFonts w:hint="eastAsia" w:ascii="仿宋_GB2312" w:hAnsi="仿宋_GB2312" w:eastAsia="仿宋_GB2312" w:cs="仿宋_GB2312"/>
                <w:b w:val="0"/>
                <w:bCs w:val="0"/>
                <w:kern w:val="0"/>
                <w:sz w:val="20"/>
                <w:szCs w:val="20"/>
              </w:rPr>
            </w:pPr>
          </w:p>
        </w:tc>
      </w:tr>
    </w:tbl>
    <w:p>
      <w:pPr>
        <w:widowControl/>
        <w:ind w:firstLine="0" w:firstLineChars="0"/>
        <w:jc w:val="left"/>
        <w:rPr>
          <w:rFonts w:asciiTheme="minorEastAsia" w:hAnsiTheme="minorEastAsia" w:eastAsiaTheme="minorEastAsia" w:cstheme="minorEastAsia"/>
          <w:b w:val="0"/>
          <w:bCs w:val="0"/>
          <w:sz w:val="27"/>
          <w:szCs w:val="27"/>
        </w:rPr>
        <w:sectPr>
          <w:pgSz w:w="16838" w:h="11906" w:orient="landscape"/>
          <w:pgMar w:top="2155" w:right="1474" w:bottom="1928" w:left="1588" w:header="851" w:footer="992" w:gutter="0"/>
          <w:cols w:space="425" w:num="1"/>
          <w:docGrid w:linePitch="381" w:charSpace="0"/>
        </w:sectPr>
      </w:pPr>
    </w:p>
    <w:p>
      <w:pPr>
        <w:widowControl/>
        <w:ind w:firstLine="0" w:firstLineChars="0"/>
        <w:jc w:val="left"/>
        <w:outlineLvl w:val="1"/>
        <w:rPr>
          <w:rFonts w:ascii="黑体" w:hAnsi="黑体" w:eastAsia="黑体" w:cstheme="minorEastAsia"/>
          <w:b w:val="0"/>
          <w:bCs w:val="0"/>
          <w:sz w:val="32"/>
          <w:szCs w:val="32"/>
        </w:rPr>
      </w:pPr>
      <w:bookmarkStart w:id="175" w:name="_Toc114320495"/>
      <w:bookmarkStart w:id="176" w:name="_Toc109592074"/>
      <w:r>
        <w:rPr>
          <w:rFonts w:hint="eastAsia" w:ascii="黑体" w:hAnsi="黑体" w:eastAsia="黑体" w:cstheme="minorEastAsia"/>
          <w:b w:val="0"/>
          <w:bCs w:val="0"/>
          <w:sz w:val="32"/>
          <w:szCs w:val="32"/>
        </w:rPr>
        <w:t>附件2：问题清单</w:t>
      </w:r>
      <w:bookmarkEnd w:id="175"/>
      <w:bookmarkEnd w:id="176"/>
    </w:p>
    <w:p>
      <w:pPr>
        <w:keepNext/>
        <w:keepLines/>
        <w:spacing w:line="580" w:lineRule="exact"/>
        <w:ind w:firstLine="616"/>
        <w:jc w:val="center"/>
        <w:rPr>
          <w:rFonts w:ascii="黑体" w:hAnsi="黑体" w:eastAsia="黑体"/>
          <w:b w:val="0"/>
          <w:bCs w:val="0"/>
          <w:spacing w:val="-6"/>
          <w:sz w:val="32"/>
          <w:szCs w:val="36"/>
        </w:rPr>
      </w:pPr>
      <w:bookmarkStart w:id="177" w:name="_Toc21428"/>
      <w:bookmarkStart w:id="178" w:name="_Toc86484856"/>
      <w:r>
        <w:rPr>
          <w:rFonts w:ascii="黑体" w:hAnsi="黑体" w:eastAsia="黑体"/>
          <w:b w:val="0"/>
          <w:bCs w:val="0"/>
          <w:spacing w:val="-6"/>
          <w:sz w:val="32"/>
          <w:szCs w:val="36"/>
        </w:rPr>
        <w:t>菏泽市“人才新政30条”政策兑现项目绩效评价问题清单</w:t>
      </w:r>
      <w:bookmarkEnd w:id="177"/>
      <w:bookmarkEnd w:id="178"/>
    </w:p>
    <w:tbl>
      <w:tblPr>
        <w:tblStyle w:val="20"/>
        <w:tblW w:w="9346" w:type="dxa"/>
        <w:jc w:val="center"/>
        <w:tblLayout w:type="fixed"/>
        <w:tblCellMar>
          <w:top w:w="0" w:type="dxa"/>
          <w:left w:w="0" w:type="dxa"/>
          <w:bottom w:w="0" w:type="dxa"/>
          <w:right w:w="0" w:type="dxa"/>
        </w:tblCellMar>
      </w:tblPr>
      <w:tblGrid>
        <w:gridCol w:w="1890"/>
        <w:gridCol w:w="579"/>
        <w:gridCol w:w="1684"/>
        <w:gridCol w:w="5193"/>
      </w:tblGrid>
      <w:tr>
        <w:tblPrEx>
          <w:tblCellMar>
            <w:top w:w="0" w:type="dxa"/>
            <w:left w:w="0" w:type="dxa"/>
            <w:bottom w:w="0" w:type="dxa"/>
            <w:right w:w="0" w:type="dxa"/>
          </w:tblCellMar>
        </w:tblPrEx>
        <w:trPr>
          <w:trHeight w:val="831" w:hRule="atLeast"/>
          <w:tblHeader/>
          <w:jc w:val="center"/>
        </w:trPr>
        <w:tc>
          <w:tcPr>
            <w:tcW w:w="1890" w:type="dxa"/>
            <w:tcBorders>
              <w:top w:val="single" w:color="000000" w:sz="4" w:space="0"/>
              <w:left w:val="single" w:color="000000" w:sz="4" w:space="0"/>
              <w:bottom w:val="single" w:color="auto" w:sz="4" w:space="0"/>
              <w:right w:val="single" w:color="000000" w:sz="4" w:space="0"/>
            </w:tcBorders>
            <w:noWrap/>
            <w:tcMar>
              <w:top w:w="12" w:type="dxa"/>
              <w:left w:w="12" w:type="dxa"/>
              <w:right w:w="12" w:type="dxa"/>
            </w:tcMar>
            <w:vAlign w:val="center"/>
          </w:tcPr>
          <w:p>
            <w:pPr>
              <w:widowControl/>
              <w:ind w:firstLine="0" w:firstLineChars="0"/>
              <w:jc w:val="center"/>
              <w:textAlignment w:val="center"/>
              <w:rPr>
                <w:rFonts w:hint="eastAsia" w:ascii="黑体" w:hAnsi="黑体" w:eastAsia="黑体" w:cs="黑体"/>
                <w:b w:val="0"/>
                <w:bCs w:val="0"/>
                <w:kern w:val="0"/>
                <w:szCs w:val="28"/>
              </w:rPr>
            </w:pPr>
            <w:r>
              <w:rPr>
                <w:rFonts w:hint="eastAsia" w:ascii="黑体" w:hAnsi="黑体" w:eastAsia="黑体" w:cs="黑体"/>
                <w:b w:val="0"/>
                <w:bCs w:val="0"/>
                <w:kern w:val="0"/>
                <w:szCs w:val="28"/>
              </w:rPr>
              <w:t>问题分类</w:t>
            </w:r>
          </w:p>
        </w:tc>
        <w:tc>
          <w:tcPr>
            <w:tcW w:w="579" w:type="dxa"/>
            <w:tcBorders>
              <w:top w:val="single" w:color="000000" w:sz="4" w:space="0"/>
              <w:left w:val="single" w:color="000000" w:sz="4" w:space="0"/>
              <w:bottom w:val="single" w:color="auto" w:sz="4" w:space="0"/>
              <w:right w:val="single" w:color="000000" w:sz="4" w:space="0"/>
            </w:tcBorders>
            <w:vAlign w:val="center"/>
          </w:tcPr>
          <w:p>
            <w:pPr>
              <w:widowControl/>
              <w:ind w:firstLine="0" w:firstLineChars="0"/>
              <w:jc w:val="center"/>
              <w:textAlignment w:val="center"/>
              <w:rPr>
                <w:rFonts w:hint="eastAsia" w:ascii="黑体" w:hAnsi="黑体" w:eastAsia="黑体" w:cs="黑体"/>
                <w:b w:val="0"/>
                <w:bCs w:val="0"/>
                <w:kern w:val="0"/>
                <w:szCs w:val="28"/>
              </w:rPr>
            </w:pPr>
            <w:r>
              <w:rPr>
                <w:rFonts w:hint="eastAsia" w:ascii="黑体" w:hAnsi="黑体" w:eastAsia="黑体" w:cs="黑体"/>
                <w:b w:val="0"/>
                <w:bCs w:val="0"/>
                <w:kern w:val="0"/>
                <w:szCs w:val="28"/>
              </w:rPr>
              <w:t>序号</w:t>
            </w:r>
          </w:p>
        </w:tc>
        <w:tc>
          <w:tcPr>
            <w:tcW w:w="168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ind w:firstLine="0" w:firstLineChars="0"/>
              <w:jc w:val="center"/>
              <w:textAlignment w:val="center"/>
              <w:rPr>
                <w:rFonts w:hint="eastAsia" w:ascii="黑体" w:hAnsi="黑体" w:eastAsia="黑体" w:cs="黑体"/>
                <w:b w:val="0"/>
                <w:bCs w:val="0"/>
                <w:kern w:val="0"/>
                <w:szCs w:val="28"/>
              </w:rPr>
            </w:pPr>
            <w:r>
              <w:rPr>
                <w:rFonts w:hint="eastAsia" w:ascii="黑体" w:hAnsi="黑体" w:eastAsia="黑体" w:cs="黑体"/>
                <w:b w:val="0"/>
                <w:bCs w:val="0"/>
                <w:kern w:val="0"/>
                <w:szCs w:val="28"/>
              </w:rPr>
              <w:t>责任部门</w:t>
            </w:r>
          </w:p>
        </w:tc>
        <w:tc>
          <w:tcPr>
            <w:tcW w:w="519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ind w:firstLine="0" w:firstLineChars="0"/>
              <w:jc w:val="center"/>
              <w:textAlignment w:val="center"/>
              <w:rPr>
                <w:rFonts w:hint="eastAsia" w:ascii="黑体" w:hAnsi="黑体" w:eastAsia="黑体" w:cs="黑体"/>
                <w:b w:val="0"/>
                <w:bCs w:val="0"/>
                <w:kern w:val="0"/>
                <w:szCs w:val="28"/>
              </w:rPr>
            </w:pPr>
            <w:r>
              <w:rPr>
                <w:rFonts w:hint="eastAsia" w:ascii="黑体" w:hAnsi="黑体" w:eastAsia="黑体" w:cs="黑体"/>
                <w:b w:val="0"/>
                <w:bCs w:val="0"/>
                <w:kern w:val="0"/>
                <w:szCs w:val="28"/>
              </w:rPr>
              <w:t>问题描述</w:t>
            </w:r>
          </w:p>
        </w:tc>
      </w:tr>
      <w:tr>
        <w:tblPrEx>
          <w:tblCellMar>
            <w:top w:w="0" w:type="dxa"/>
            <w:left w:w="0" w:type="dxa"/>
            <w:bottom w:w="0" w:type="dxa"/>
            <w:right w:w="0" w:type="dxa"/>
          </w:tblCellMar>
        </w:tblPrEx>
        <w:trPr>
          <w:trHeight w:val="849" w:hRule="atLeast"/>
          <w:jc w:val="center"/>
        </w:trPr>
        <w:tc>
          <w:tcPr>
            <w:tcW w:w="1890" w:type="dxa"/>
            <w:tcBorders>
              <w:top w:val="single" w:color="auto" w:sz="4" w:space="0"/>
              <w:left w:val="single" w:color="auto" w:sz="4" w:space="0"/>
              <w:bottom w:val="single" w:color="auto" w:sz="4" w:space="0"/>
              <w:right w:val="single" w:color="auto" w:sz="4" w:space="0"/>
            </w:tcBorders>
            <w:noWrap/>
            <w:tcMar>
              <w:top w:w="12" w:type="dxa"/>
              <w:left w:w="12" w:type="dxa"/>
              <w:right w:w="12" w:type="dxa"/>
            </w:tcMar>
            <w:vAlign w:val="center"/>
          </w:tcPr>
          <w:p>
            <w:pPr>
              <w:widowControl/>
              <w:ind w:firstLine="0" w:firstLineChars="0"/>
              <w:jc w:val="center"/>
              <w:textAlignment w:val="center"/>
              <w:rPr>
                <w:rFonts w:hint="eastAsia" w:ascii="仿宋_GB2312" w:hAnsi="仿宋_GB2312" w:eastAsia="仿宋_GB2312" w:cs="仿宋_GB2312"/>
                <w:b w:val="0"/>
                <w:bCs w:val="0"/>
                <w:kern w:val="0"/>
                <w:sz w:val="21"/>
                <w:szCs w:val="21"/>
              </w:rPr>
            </w:pPr>
            <w:r>
              <w:rPr>
                <w:rFonts w:hint="eastAsia" w:ascii="仿宋_GB2312" w:hAnsi="仿宋_GB2312" w:eastAsia="仿宋_GB2312" w:cs="仿宋_GB2312"/>
                <w:b w:val="0"/>
                <w:bCs w:val="0"/>
                <w:kern w:val="0"/>
                <w:sz w:val="21"/>
                <w:szCs w:val="21"/>
              </w:rPr>
              <w:t>政策制定方面</w:t>
            </w:r>
          </w:p>
          <w:p>
            <w:pPr>
              <w:widowControl/>
              <w:ind w:firstLine="0" w:firstLineChars="0"/>
              <w:jc w:val="center"/>
              <w:textAlignment w:val="center"/>
              <w:rPr>
                <w:rFonts w:hint="eastAsia" w:ascii="仿宋_GB2312" w:hAnsi="仿宋_GB2312" w:eastAsia="仿宋_GB2312" w:cs="仿宋_GB2312"/>
                <w:b w:val="0"/>
                <w:bCs w:val="0"/>
                <w:kern w:val="0"/>
                <w:sz w:val="21"/>
                <w:szCs w:val="21"/>
              </w:rPr>
            </w:pPr>
            <w:r>
              <w:rPr>
                <w:rFonts w:hint="eastAsia" w:ascii="仿宋_GB2312" w:hAnsi="仿宋_GB2312" w:eastAsia="仿宋_GB2312" w:cs="仿宋_GB2312"/>
                <w:b w:val="0"/>
                <w:bCs w:val="0"/>
                <w:kern w:val="0"/>
                <w:sz w:val="21"/>
                <w:szCs w:val="21"/>
              </w:rPr>
              <w:t>存在的问题</w:t>
            </w:r>
          </w:p>
        </w:tc>
        <w:tc>
          <w:tcPr>
            <w:tcW w:w="579"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hint="eastAsia" w:ascii="仿宋_GB2312" w:hAnsi="仿宋_GB2312" w:eastAsia="仿宋_GB2312" w:cs="仿宋_GB2312"/>
                <w:b w:val="0"/>
                <w:bCs w:val="0"/>
                <w:kern w:val="0"/>
                <w:sz w:val="21"/>
                <w:szCs w:val="21"/>
              </w:rPr>
            </w:pPr>
            <w:r>
              <w:rPr>
                <w:rFonts w:hint="eastAsia" w:ascii="仿宋_GB2312" w:hAnsi="仿宋_GB2312" w:eastAsia="仿宋_GB2312" w:cs="仿宋_GB2312"/>
                <w:b w:val="0"/>
                <w:bCs w:val="0"/>
                <w:kern w:val="0"/>
                <w:sz w:val="21"/>
                <w:szCs w:val="21"/>
              </w:rPr>
              <w:t>1</w:t>
            </w:r>
          </w:p>
        </w:tc>
        <w:tc>
          <w:tcPr>
            <w:tcW w:w="1684" w:type="dxa"/>
            <w:tcBorders>
              <w:top w:val="single" w:color="000000" w:sz="4" w:space="0"/>
              <w:left w:val="single" w:color="auto" w:sz="4" w:space="0"/>
              <w:right w:val="single" w:color="000000" w:sz="4" w:space="0"/>
            </w:tcBorders>
            <w:noWrap/>
            <w:tcMar>
              <w:top w:w="12" w:type="dxa"/>
              <w:left w:w="12" w:type="dxa"/>
              <w:right w:w="12" w:type="dxa"/>
            </w:tcMar>
            <w:vAlign w:val="center"/>
          </w:tcPr>
          <w:p>
            <w:pPr>
              <w:widowControl/>
              <w:ind w:firstLine="0" w:firstLineChars="0"/>
              <w:jc w:val="center"/>
              <w:textAlignment w:val="center"/>
              <w:rPr>
                <w:rFonts w:hint="eastAsia" w:ascii="仿宋_GB2312" w:hAnsi="仿宋_GB2312" w:eastAsia="仿宋_GB2312" w:cs="仿宋_GB2312"/>
                <w:b w:val="0"/>
                <w:bCs w:val="0"/>
                <w:kern w:val="0"/>
                <w:sz w:val="21"/>
                <w:szCs w:val="21"/>
              </w:rPr>
            </w:pPr>
            <w:r>
              <w:rPr>
                <w:rFonts w:hint="eastAsia" w:ascii="仿宋_GB2312" w:hAnsi="仿宋_GB2312" w:eastAsia="仿宋_GB2312" w:cs="仿宋_GB2312"/>
                <w:b w:val="0"/>
                <w:bCs w:val="0"/>
                <w:kern w:val="0"/>
                <w:sz w:val="21"/>
                <w:szCs w:val="21"/>
              </w:rPr>
              <w:t>市人才办</w:t>
            </w:r>
          </w:p>
        </w:tc>
        <w:tc>
          <w:tcPr>
            <w:tcW w:w="519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adjustRightInd w:val="0"/>
              <w:snapToGrid w:val="0"/>
              <w:ind w:firstLine="0" w:firstLineChars="0"/>
              <w:jc w:val="left"/>
              <w:textAlignment w:val="center"/>
              <w:rPr>
                <w:rFonts w:hint="eastAsia" w:ascii="仿宋_GB2312" w:hAnsi="仿宋_GB2312" w:eastAsia="仿宋_GB2312" w:cs="仿宋_GB2312"/>
                <w:b w:val="0"/>
                <w:bCs w:val="0"/>
                <w:kern w:val="0"/>
                <w:sz w:val="21"/>
                <w:szCs w:val="21"/>
              </w:rPr>
            </w:pPr>
            <w:r>
              <w:rPr>
                <w:rFonts w:hint="eastAsia" w:ascii="仿宋_GB2312" w:hAnsi="仿宋_GB2312" w:eastAsia="仿宋_GB2312" w:cs="仿宋_GB2312"/>
                <w:b w:val="0"/>
                <w:bCs w:val="0"/>
                <w:kern w:val="0"/>
                <w:sz w:val="21"/>
                <w:szCs w:val="21"/>
              </w:rPr>
              <w:t>政策制定前期调研缺少可行性研究、专家论证、风险评估、绩效评估等其他环节。</w:t>
            </w:r>
          </w:p>
        </w:tc>
      </w:tr>
      <w:tr>
        <w:tblPrEx>
          <w:tblCellMar>
            <w:top w:w="0" w:type="dxa"/>
            <w:left w:w="0" w:type="dxa"/>
            <w:bottom w:w="0" w:type="dxa"/>
            <w:right w:w="0" w:type="dxa"/>
          </w:tblCellMar>
        </w:tblPrEx>
        <w:trPr>
          <w:trHeight w:val="849" w:hRule="atLeast"/>
          <w:jc w:val="center"/>
        </w:trPr>
        <w:tc>
          <w:tcPr>
            <w:tcW w:w="1890" w:type="dxa"/>
            <w:vMerge w:val="restart"/>
            <w:tcBorders>
              <w:top w:val="single" w:color="auto" w:sz="4" w:space="0"/>
              <w:left w:val="single" w:color="auto" w:sz="4" w:space="0"/>
              <w:bottom w:val="single" w:color="auto" w:sz="4" w:space="0"/>
              <w:right w:val="single" w:color="auto" w:sz="4" w:space="0"/>
            </w:tcBorders>
            <w:noWrap/>
            <w:tcMar>
              <w:top w:w="12" w:type="dxa"/>
              <w:left w:w="12" w:type="dxa"/>
              <w:right w:w="12" w:type="dxa"/>
            </w:tcMar>
            <w:vAlign w:val="center"/>
          </w:tcPr>
          <w:p>
            <w:pPr>
              <w:widowControl/>
              <w:ind w:firstLine="0" w:firstLineChars="0"/>
              <w:jc w:val="center"/>
              <w:textAlignment w:val="center"/>
              <w:rPr>
                <w:rFonts w:hint="eastAsia" w:ascii="仿宋_GB2312" w:hAnsi="仿宋_GB2312" w:eastAsia="仿宋_GB2312" w:cs="仿宋_GB2312"/>
                <w:b w:val="0"/>
                <w:bCs w:val="0"/>
                <w:kern w:val="0"/>
                <w:sz w:val="21"/>
                <w:szCs w:val="21"/>
              </w:rPr>
            </w:pPr>
            <w:r>
              <w:rPr>
                <w:rFonts w:hint="eastAsia" w:ascii="仿宋_GB2312" w:hAnsi="仿宋_GB2312" w:eastAsia="仿宋_GB2312" w:cs="仿宋_GB2312"/>
                <w:b w:val="0"/>
                <w:bCs w:val="0"/>
                <w:kern w:val="0"/>
                <w:sz w:val="21"/>
                <w:szCs w:val="21"/>
              </w:rPr>
              <w:t>政策执行方面</w:t>
            </w:r>
          </w:p>
          <w:p>
            <w:pPr>
              <w:widowControl/>
              <w:ind w:firstLine="0" w:firstLineChars="0"/>
              <w:jc w:val="center"/>
              <w:textAlignment w:val="center"/>
              <w:rPr>
                <w:rFonts w:hint="eastAsia" w:ascii="仿宋_GB2312" w:hAnsi="仿宋_GB2312" w:eastAsia="仿宋_GB2312" w:cs="仿宋_GB2312"/>
                <w:b w:val="0"/>
                <w:bCs w:val="0"/>
                <w:kern w:val="0"/>
                <w:sz w:val="21"/>
                <w:szCs w:val="21"/>
              </w:rPr>
            </w:pPr>
            <w:r>
              <w:rPr>
                <w:rFonts w:hint="eastAsia" w:ascii="仿宋_GB2312" w:hAnsi="仿宋_GB2312" w:eastAsia="仿宋_GB2312" w:cs="仿宋_GB2312"/>
                <w:b w:val="0"/>
                <w:bCs w:val="0"/>
                <w:kern w:val="0"/>
                <w:sz w:val="21"/>
                <w:szCs w:val="21"/>
              </w:rPr>
              <w:t>存在的问题</w:t>
            </w:r>
          </w:p>
        </w:tc>
        <w:tc>
          <w:tcPr>
            <w:tcW w:w="579"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hint="eastAsia" w:ascii="仿宋_GB2312" w:hAnsi="仿宋_GB2312" w:eastAsia="仿宋_GB2312" w:cs="仿宋_GB2312"/>
                <w:b w:val="0"/>
                <w:bCs w:val="0"/>
                <w:kern w:val="0"/>
                <w:sz w:val="21"/>
                <w:szCs w:val="21"/>
              </w:rPr>
            </w:pPr>
            <w:r>
              <w:rPr>
                <w:rFonts w:hint="eastAsia" w:ascii="仿宋_GB2312" w:hAnsi="仿宋_GB2312" w:eastAsia="仿宋_GB2312" w:cs="仿宋_GB2312"/>
                <w:b w:val="0"/>
                <w:bCs w:val="0"/>
                <w:kern w:val="0"/>
                <w:sz w:val="21"/>
                <w:szCs w:val="21"/>
              </w:rPr>
              <w:t>1</w:t>
            </w:r>
          </w:p>
        </w:tc>
        <w:tc>
          <w:tcPr>
            <w:tcW w:w="1684" w:type="dxa"/>
            <w:tcBorders>
              <w:top w:val="single" w:color="auto" w:sz="4" w:space="0"/>
              <w:left w:val="single" w:color="auto" w:sz="4" w:space="0"/>
              <w:bottom w:val="single" w:color="auto" w:sz="4" w:space="0"/>
              <w:right w:val="single" w:color="auto" w:sz="4" w:space="0"/>
            </w:tcBorders>
            <w:noWrap/>
            <w:tcMar>
              <w:top w:w="12" w:type="dxa"/>
              <w:left w:w="12" w:type="dxa"/>
              <w:right w:w="12" w:type="dxa"/>
            </w:tcMar>
            <w:vAlign w:val="center"/>
          </w:tcPr>
          <w:p>
            <w:pPr>
              <w:widowControl/>
              <w:ind w:firstLine="0" w:firstLineChars="0"/>
              <w:jc w:val="center"/>
              <w:textAlignment w:val="center"/>
              <w:rPr>
                <w:rFonts w:hint="eastAsia" w:ascii="仿宋_GB2312" w:hAnsi="仿宋_GB2312" w:eastAsia="仿宋_GB2312" w:cs="仿宋_GB2312"/>
                <w:b w:val="0"/>
                <w:bCs w:val="0"/>
                <w:kern w:val="0"/>
                <w:sz w:val="21"/>
                <w:szCs w:val="21"/>
              </w:rPr>
            </w:pPr>
            <w:r>
              <w:rPr>
                <w:rFonts w:hint="eastAsia" w:ascii="仿宋_GB2312" w:hAnsi="仿宋_GB2312" w:eastAsia="仿宋_GB2312" w:cs="仿宋_GB2312"/>
                <w:b w:val="0"/>
                <w:bCs w:val="0"/>
                <w:kern w:val="0"/>
                <w:sz w:val="21"/>
                <w:szCs w:val="21"/>
              </w:rPr>
              <w:t>市人才办</w:t>
            </w:r>
          </w:p>
        </w:tc>
        <w:tc>
          <w:tcPr>
            <w:tcW w:w="5193" w:type="dxa"/>
            <w:tcBorders>
              <w:top w:val="single" w:color="000000" w:sz="4" w:space="0"/>
              <w:left w:val="single" w:color="auto" w:sz="4" w:space="0"/>
              <w:bottom w:val="single" w:color="000000" w:sz="4" w:space="0"/>
              <w:right w:val="single" w:color="000000" w:sz="4" w:space="0"/>
            </w:tcBorders>
            <w:noWrap/>
            <w:tcMar>
              <w:top w:w="12" w:type="dxa"/>
              <w:left w:w="12" w:type="dxa"/>
              <w:right w:w="12" w:type="dxa"/>
            </w:tcMar>
            <w:vAlign w:val="center"/>
          </w:tcPr>
          <w:p>
            <w:pPr>
              <w:widowControl/>
              <w:ind w:firstLine="0" w:firstLineChars="0"/>
              <w:jc w:val="left"/>
              <w:textAlignment w:val="center"/>
              <w:rPr>
                <w:rFonts w:hint="eastAsia" w:ascii="仿宋_GB2312" w:hAnsi="仿宋_GB2312" w:eastAsia="仿宋_GB2312" w:cs="仿宋_GB2312"/>
                <w:b w:val="0"/>
                <w:bCs w:val="0"/>
                <w:kern w:val="0"/>
                <w:sz w:val="21"/>
                <w:szCs w:val="21"/>
              </w:rPr>
            </w:pPr>
            <w:r>
              <w:rPr>
                <w:rFonts w:hint="eastAsia" w:ascii="仿宋_GB2312" w:hAnsi="仿宋_GB2312" w:eastAsia="仿宋_GB2312" w:cs="仿宋_GB2312"/>
                <w:b w:val="0"/>
                <w:bCs w:val="0"/>
                <w:kern w:val="0"/>
                <w:sz w:val="21"/>
                <w:szCs w:val="21"/>
              </w:rPr>
              <w:t>政策执行计划不明确，未细致分解年度任务。（如政策制定的年度工作计划不够完善，未针对下年度具体工作分解细致的工作任务、任务数量、完成时间、责任单位等关键要素）</w:t>
            </w:r>
          </w:p>
        </w:tc>
      </w:tr>
      <w:tr>
        <w:tblPrEx>
          <w:tblCellMar>
            <w:top w:w="0" w:type="dxa"/>
            <w:left w:w="0" w:type="dxa"/>
            <w:bottom w:w="0" w:type="dxa"/>
            <w:right w:w="0" w:type="dxa"/>
          </w:tblCellMar>
        </w:tblPrEx>
        <w:trPr>
          <w:trHeight w:val="849" w:hRule="atLeast"/>
          <w:jc w:val="center"/>
        </w:trPr>
        <w:tc>
          <w:tcPr>
            <w:tcW w:w="1890" w:type="dxa"/>
            <w:vMerge w:val="continue"/>
            <w:tcBorders>
              <w:top w:val="single" w:color="auto" w:sz="4" w:space="0"/>
              <w:left w:val="single" w:color="auto" w:sz="4" w:space="0"/>
              <w:bottom w:val="single" w:color="auto" w:sz="4" w:space="0"/>
              <w:right w:val="single" w:color="auto" w:sz="4" w:space="0"/>
            </w:tcBorders>
            <w:noWrap/>
            <w:tcMar>
              <w:top w:w="12" w:type="dxa"/>
              <w:left w:w="12" w:type="dxa"/>
              <w:right w:w="12" w:type="dxa"/>
            </w:tcMar>
            <w:vAlign w:val="center"/>
          </w:tcPr>
          <w:p>
            <w:pPr>
              <w:widowControl/>
              <w:ind w:firstLine="0" w:firstLineChars="0"/>
              <w:jc w:val="center"/>
              <w:textAlignment w:val="center"/>
              <w:rPr>
                <w:rFonts w:hint="eastAsia" w:ascii="仿宋_GB2312" w:hAnsi="仿宋_GB2312" w:eastAsia="仿宋_GB2312" w:cs="仿宋_GB2312"/>
                <w:b w:val="0"/>
                <w:bCs w:val="0"/>
                <w:kern w:val="0"/>
                <w:sz w:val="21"/>
                <w:szCs w:val="21"/>
              </w:rPr>
            </w:pPr>
          </w:p>
        </w:tc>
        <w:tc>
          <w:tcPr>
            <w:tcW w:w="579"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hint="eastAsia" w:ascii="仿宋_GB2312" w:hAnsi="仿宋_GB2312" w:eastAsia="仿宋_GB2312" w:cs="仿宋_GB2312"/>
                <w:b w:val="0"/>
                <w:bCs w:val="0"/>
                <w:kern w:val="0"/>
                <w:sz w:val="21"/>
                <w:szCs w:val="21"/>
              </w:rPr>
            </w:pPr>
            <w:r>
              <w:rPr>
                <w:rFonts w:hint="eastAsia" w:ascii="仿宋_GB2312" w:hAnsi="仿宋_GB2312" w:eastAsia="仿宋_GB2312" w:cs="仿宋_GB2312"/>
                <w:b w:val="0"/>
                <w:bCs w:val="0"/>
                <w:kern w:val="0"/>
                <w:sz w:val="21"/>
                <w:szCs w:val="21"/>
              </w:rPr>
              <w:t>2</w:t>
            </w:r>
          </w:p>
        </w:tc>
        <w:tc>
          <w:tcPr>
            <w:tcW w:w="1684" w:type="dxa"/>
            <w:tcBorders>
              <w:top w:val="single" w:color="auto" w:sz="4" w:space="0"/>
              <w:left w:val="single" w:color="auto" w:sz="4" w:space="0"/>
              <w:bottom w:val="single" w:color="auto" w:sz="4" w:space="0"/>
              <w:right w:val="single" w:color="auto" w:sz="4" w:space="0"/>
            </w:tcBorders>
            <w:noWrap/>
            <w:tcMar>
              <w:top w:w="12" w:type="dxa"/>
              <w:left w:w="12" w:type="dxa"/>
              <w:right w:w="12" w:type="dxa"/>
            </w:tcMar>
            <w:vAlign w:val="center"/>
          </w:tcPr>
          <w:p>
            <w:pPr>
              <w:widowControl/>
              <w:ind w:firstLine="0" w:firstLineChars="0"/>
              <w:jc w:val="center"/>
              <w:textAlignment w:val="center"/>
              <w:rPr>
                <w:rFonts w:hint="eastAsia" w:ascii="仿宋_GB2312" w:hAnsi="仿宋_GB2312" w:eastAsia="仿宋_GB2312" w:cs="仿宋_GB2312"/>
                <w:b w:val="0"/>
                <w:bCs w:val="0"/>
                <w:kern w:val="0"/>
                <w:sz w:val="21"/>
                <w:szCs w:val="21"/>
              </w:rPr>
            </w:pPr>
            <w:r>
              <w:rPr>
                <w:rFonts w:hint="eastAsia" w:ascii="仿宋_GB2312" w:hAnsi="仿宋_GB2312" w:eastAsia="仿宋_GB2312" w:cs="仿宋_GB2312"/>
                <w:b w:val="0"/>
                <w:bCs w:val="0"/>
                <w:kern w:val="0"/>
                <w:sz w:val="21"/>
                <w:szCs w:val="21"/>
              </w:rPr>
              <w:t>市人才办</w:t>
            </w:r>
          </w:p>
        </w:tc>
        <w:tc>
          <w:tcPr>
            <w:tcW w:w="5193" w:type="dxa"/>
            <w:tcBorders>
              <w:top w:val="single" w:color="000000" w:sz="4" w:space="0"/>
              <w:left w:val="single" w:color="auto" w:sz="4" w:space="0"/>
              <w:bottom w:val="single" w:color="000000" w:sz="4" w:space="0"/>
              <w:right w:val="single" w:color="000000" w:sz="4" w:space="0"/>
            </w:tcBorders>
            <w:noWrap/>
            <w:tcMar>
              <w:top w:w="12" w:type="dxa"/>
              <w:left w:w="12" w:type="dxa"/>
              <w:right w:w="12" w:type="dxa"/>
            </w:tcMar>
            <w:vAlign w:val="center"/>
          </w:tcPr>
          <w:p>
            <w:pPr>
              <w:widowControl/>
              <w:ind w:firstLine="0" w:firstLineChars="0"/>
              <w:jc w:val="left"/>
              <w:textAlignment w:val="center"/>
              <w:rPr>
                <w:rFonts w:hint="eastAsia" w:ascii="仿宋_GB2312" w:hAnsi="仿宋_GB2312" w:eastAsia="仿宋_GB2312" w:cs="仿宋_GB2312"/>
                <w:b w:val="0"/>
                <w:bCs w:val="0"/>
                <w:kern w:val="0"/>
                <w:sz w:val="21"/>
                <w:szCs w:val="21"/>
              </w:rPr>
            </w:pPr>
            <w:r>
              <w:rPr>
                <w:rFonts w:hint="eastAsia" w:ascii="仿宋_GB2312" w:hAnsi="仿宋_GB2312" w:eastAsia="仿宋_GB2312" w:cs="仿宋_GB2312"/>
                <w:b w:val="0"/>
                <w:bCs w:val="0"/>
                <w:kern w:val="0"/>
                <w:sz w:val="21"/>
                <w:szCs w:val="21"/>
              </w:rPr>
              <w:t>政策监督检查及考核机制不健全。</w:t>
            </w:r>
          </w:p>
        </w:tc>
      </w:tr>
      <w:tr>
        <w:tblPrEx>
          <w:tblCellMar>
            <w:top w:w="0" w:type="dxa"/>
            <w:left w:w="0" w:type="dxa"/>
            <w:bottom w:w="0" w:type="dxa"/>
            <w:right w:w="0" w:type="dxa"/>
          </w:tblCellMar>
        </w:tblPrEx>
        <w:trPr>
          <w:trHeight w:val="849" w:hRule="atLeast"/>
          <w:jc w:val="center"/>
        </w:trPr>
        <w:tc>
          <w:tcPr>
            <w:tcW w:w="1890" w:type="dxa"/>
            <w:vMerge w:val="continue"/>
            <w:tcBorders>
              <w:top w:val="single" w:color="auto" w:sz="4" w:space="0"/>
              <w:left w:val="single" w:color="auto" w:sz="4" w:space="0"/>
              <w:bottom w:val="single" w:color="auto" w:sz="4" w:space="0"/>
              <w:right w:val="single" w:color="auto" w:sz="4" w:space="0"/>
            </w:tcBorders>
            <w:noWrap/>
            <w:tcMar>
              <w:top w:w="12" w:type="dxa"/>
              <w:left w:w="12" w:type="dxa"/>
              <w:right w:w="12" w:type="dxa"/>
            </w:tcMar>
            <w:vAlign w:val="center"/>
          </w:tcPr>
          <w:p>
            <w:pPr>
              <w:widowControl/>
              <w:ind w:firstLine="0" w:firstLineChars="0"/>
              <w:jc w:val="center"/>
              <w:textAlignment w:val="center"/>
              <w:rPr>
                <w:rFonts w:hint="eastAsia" w:ascii="仿宋_GB2312" w:hAnsi="仿宋_GB2312" w:eastAsia="仿宋_GB2312" w:cs="仿宋_GB2312"/>
                <w:b w:val="0"/>
                <w:bCs w:val="0"/>
                <w:kern w:val="0"/>
                <w:sz w:val="21"/>
                <w:szCs w:val="21"/>
              </w:rPr>
            </w:pPr>
          </w:p>
        </w:tc>
        <w:tc>
          <w:tcPr>
            <w:tcW w:w="579"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hint="eastAsia" w:ascii="仿宋_GB2312" w:hAnsi="仿宋_GB2312" w:eastAsia="仿宋_GB2312" w:cs="仿宋_GB2312"/>
                <w:b w:val="0"/>
                <w:bCs w:val="0"/>
                <w:kern w:val="0"/>
                <w:sz w:val="21"/>
                <w:szCs w:val="21"/>
              </w:rPr>
            </w:pPr>
            <w:r>
              <w:rPr>
                <w:rFonts w:hint="eastAsia" w:ascii="仿宋_GB2312" w:hAnsi="仿宋_GB2312" w:eastAsia="仿宋_GB2312" w:cs="仿宋_GB2312"/>
                <w:b w:val="0"/>
                <w:bCs w:val="0"/>
                <w:kern w:val="0"/>
                <w:sz w:val="21"/>
                <w:szCs w:val="21"/>
              </w:rPr>
              <w:t>3</w:t>
            </w:r>
          </w:p>
        </w:tc>
        <w:tc>
          <w:tcPr>
            <w:tcW w:w="1684" w:type="dxa"/>
            <w:tcBorders>
              <w:top w:val="single" w:color="auto" w:sz="4" w:space="0"/>
              <w:left w:val="single" w:color="auto" w:sz="4" w:space="0"/>
              <w:bottom w:val="single" w:color="auto" w:sz="4" w:space="0"/>
              <w:right w:val="single" w:color="auto" w:sz="4" w:space="0"/>
            </w:tcBorders>
            <w:noWrap/>
            <w:tcMar>
              <w:top w:w="12" w:type="dxa"/>
              <w:left w:w="12" w:type="dxa"/>
              <w:right w:w="12" w:type="dxa"/>
            </w:tcMar>
            <w:vAlign w:val="center"/>
          </w:tcPr>
          <w:p>
            <w:pPr>
              <w:widowControl/>
              <w:ind w:firstLine="0" w:firstLineChars="0"/>
              <w:jc w:val="center"/>
              <w:textAlignment w:val="center"/>
              <w:rPr>
                <w:rFonts w:hint="eastAsia" w:ascii="仿宋_GB2312" w:hAnsi="仿宋_GB2312" w:eastAsia="仿宋_GB2312" w:cs="仿宋_GB2312"/>
                <w:b w:val="0"/>
                <w:bCs w:val="0"/>
                <w:kern w:val="0"/>
                <w:sz w:val="21"/>
                <w:szCs w:val="21"/>
              </w:rPr>
            </w:pPr>
            <w:r>
              <w:rPr>
                <w:rFonts w:hint="eastAsia" w:ascii="仿宋_GB2312" w:hAnsi="仿宋_GB2312" w:eastAsia="仿宋_GB2312" w:cs="仿宋_GB2312"/>
                <w:b w:val="0"/>
                <w:bCs w:val="0"/>
                <w:kern w:val="0"/>
                <w:sz w:val="21"/>
                <w:szCs w:val="21"/>
              </w:rPr>
              <w:t>市国资委</w:t>
            </w:r>
          </w:p>
        </w:tc>
        <w:tc>
          <w:tcPr>
            <w:tcW w:w="5193" w:type="dxa"/>
            <w:tcBorders>
              <w:top w:val="single" w:color="000000" w:sz="4" w:space="0"/>
              <w:left w:val="single" w:color="auto" w:sz="4" w:space="0"/>
              <w:bottom w:val="single" w:color="000000" w:sz="4" w:space="0"/>
              <w:right w:val="single" w:color="000000" w:sz="4" w:space="0"/>
            </w:tcBorders>
            <w:noWrap/>
            <w:tcMar>
              <w:top w:w="12" w:type="dxa"/>
              <w:left w:w="12" w:type="dxa"/>
              <w:right w:w="12" w:type="dxa"/>
            </w:tcMar>
            <w:vAlign w:val="center"/>
          </w:tcPr>
          <w:p>
            <w:pPr>
              <w:widowControl/>
              <w:ind w:firstLine="0" w:firstLineChars="0"/>
              <w:jc w:val="left"/>
              <w:textAlignment w:val="center"/>
              <w:rPr>
                <w:rFonts w:hint="eastAsia" w:ascii="仿宋_GB2312" w:hAnsi="仿宋_GB2312" w:eastAsia="仿宋_GB2312" w:cs="仿宋_GB2312"/>
                <w:b w:val="0"/>
                <w:bCs w:val="0"/>
                <w:kern w:val="0"/>
                <w:sz w:val="21"/>
                <w:szCs w:val="21"/>
              </w:rPr>
            </w:pPr>
            <w:r>
              <w:rPr>
                <w:rFonts w:hint="eastAsia" w:ascii="仿宋_GB2312" w:hAnsi="仿宋_GB2312" w:eastAsia="仿宋_GB2312" w:cs="仿宋_GB2312"/>
                <w:b w:val="0"/>
                <w:bCs w:val="0"/>
                <w:kern w:val="0"/>
                <w:sz w:val="21"/>
                <w:szCs w:val="21"/>
              </w:rPr>
              <w:t>资料审核过程把关不严。（市属企业引进高校毕业生生活补贴中，发现2处（闫箫仿、张洲鹤）签订劳动合同时间不足3年）</w:t>
            </w:r>
          </w:p>
        </w:tc>
      </w:tr>
      <w:tr>
        <w:tblPrEx>
          <w:tblCellMar>
            <w:top w:w="0" w:type="dxa"/>
            <w:left w:w="0" w:type="dxa"/>
            <w:bottom w:w="0" w:type="dxa"/>
            <w:right w:w="0" w:type="dxa"/>
          </w:tblCellMar>
        </w:tblPrEx>
        <w:trPr>
          <w:trHeight w:val="849" w:hRule="atLeast"/>
          <w:jc w:val="center"/>
        </w:trPr>
        <w:tc>
          <w:tcPr>
            <w:tcW w:w="1890" w:type="dxa"/>
            <w:vMerge w:val="continue"/>
            <w:tcBorders>
              <w:top w:val="single" w:color="auto" w:sz="4" w:space="0"/>
              <w:left w:val="single" w:color="auto" w:sz="4" w:space="0"/>
              <w:bottom w:val="single" w:color="auto" w:sz="4" w:space="0"/>
              <w:right w:val="single" w:color="auto" w:sz="4" w:space="0"/>
            </w:tcBorders>
            <w:noWrap/>
            <w:tcMar>
              <w:top w:w="12" w:type="dxa"/>
              <w:left w:w="12" w:type="dxa"/>
              <w:right w:w="12" w:type="dxa"/>
            </w:tcMar>
            <w:vAlign w:val="center"/>
          </w:tcPr>
          <w:p>
            <w:pPr>
              <w:widowControl/>
              <w:ind w:firstLine="0" w:firstLineChars="0"/>
              <w:jc w:val="center"/>
              <w:textAlignment w:val="center"/>
              <w:rPr>
                <w:rFonts w:hint="eastAsia" w:ascii="仿宋_GB2312" w:hAnsi="仿宋_GB2312" w:eastAsia="仿宋_GB2312" w:cs="仿宋_GB2312"/>
                <w:b w:val="0"/>
                <w:bCs w:val="0"/>
                <w:kern w:val="0"/>
                <w:sz w:val="21"/>
                <w:szCs w:val="21"/>
              </w:rPr>
            </w:pPr>
          </w:p>
        </w:tc>
        <w:tc>
          <w:tcPr>
            <w:tcW w:w="579"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hint="eastAsia" w:ascii="仿宋_GB2312" w:hAnsi="仿宋_GB2312" w:eastAsia="仿宋_GB2312" w:cs="仿宋_GB2312"/>
                <w:b w:val="0"/>
                <w:bCs w:val="0"/>
                <w:kern w:val="0"/>
                <w:sz w:val="21"/>
                <w:szCs w:val="21"/>
              </w:rPr>
            </w:pPr>
            <w:r>
              <w:rPr>
                <w:rFonts w:hint="eastAsia" w:ascii="仿宋_GB2312" w:hAnsi="仿宋_GB2312" w:eastAsia="仿宋_GB2312" w:cs="仿宋_GB2312"/>
                <w:b w:val="0"/>
                <w:bCs w:val="0"/>
                <w:kern w:val="0"/>
                <w:sz w:val="21"/>
                <w:szCs w:val="21"/>
              </w:rPr>
              <w:t>4</w:t>
            </w:r>
          </w:p>
        </w:tc>
        <w:tc>
          <w:tcPr>
            <w:tcW w:w="1684" w:type="dxa"/>
            <w:tcBorders>
              <w:top w:val="single" w:color="auto" w:sz="4" w:space="0"/>
              <w:left w:val="single" w:color="auto" w:sz="4" w:space="0"/>
              <w:bottom w:val="single" w:color="auto" w:sz="4" w:space="0"/>
              <w:right w:val="single" w:color="auto" w:sz="4" w:space="0"/>
            </w:tcBorders>
            <w:noWrap/>
            <w:tcMar>
              <w:top w:w="12" w:type="dxa"/>
              <w:left w:w="12" w:type="dxa"/>
              <w:right w:w="12" w:type="dxa"/>
            </w:tcMar>
            <w:vAlign w:val="center"/>
          </w:tcPr>
          <w:p>
            <w:pPr>
              <w:widowControl/>
              <w:ind w:firstLine="0" w:firstLineChars="0"/>
              <w:jc w:val="center"/>
              <w:textAlignment w:val="center"/>
              <w:rPr>
                <w:rFonts w:hint="eastAsia" w:ascii="仿宋_GB2312" w:hAnsi="仿宋_GB2312" w:eastAsia="仿宋_GB2312" w:cs="仿宋_GB2312"/>
                <w:b w:val="0"/>
                <w:bCs w:val="0"/>
                <w:kern w:val="0"/>
                <w:sz w:val="21"/>
                <w:szCs w:val="21"/>
              </w:rPr>
            </w:pPr>
            <w:r>
              <w:rPr>
                <w:rFonts w:hint="eastAsia" w:ascii="仿宋_GB2312" w:hAnsi="仿宋_GB2312" w:eastAsia="仿宋_GB2312" w:cs="仿宋_GB2312"/>
                <w:b w:val="0"/>
                <w:bCs w:val="0"/>
                <w:kern w:val="0"/>
                <w:sz w:val="21"/>
                <w:szCs w:val="21"/>
              </w:rPr>
              <w:t>市人才办</w:t>
            </w:r>
          </w:p>
        </w:tc>
        <w:tc>
          <w:tcPr>
            <w:tcW w:w="5193" w:type="dxa"/>
            <w:tcBorders>
              <w:top w:val="single" w:color="000000" w:sz="4" w:space="0"/>
              <w:left w:val="single" w:color="auto" w:sz="4" w:space="0"/>
              <w:bottom w:val="single" w:color="000000" w:sz="4" w:space="0"/>
              <w:right w:val="single" w:color="000000" w:sz="4" w:space="0"/>
            </w:tcBorders>
            <w:noWrap/>
            <w:tcMar>
              <w:top w:w="12" w:type="dxa"/>
              <w:left w:w="12" w:type="dxa"/>
              <w:right w:w="12" w:type="dxa"/>
            </w:tcMar>
            <w:vAlign w:val="center"/>
          </w:tcPr>
          <w:p>
            <w:pPr>
              <w:widowControl/>
              <w:ind w:firstLine="0" w:firstLineChars="0"/>
              <w:jc w:val="left"/>
              <w:textAlignment w:val="center"/>
              <w:rPr>
                <w:rFonts w:hint="eastAsia" w:ascii="仿宋_GB2312" w:hAnsi="仿宋_GB2312" w:eastAsia="仿宋_GB2312" w:cs="仿宋_GB2312"/>
                <w:b w:val="0"/>
                <w:bCs w:val="0"/>
                <w:kern w:val="0"/>
                <w:sz w:val="21"/>
                <w:szCs w:val="21"/>
              </w:rPr>
            </w:pPr>
            <w:r>
              <w:rPr>
                <w:rFonts w:hint="eastAsia" w:ascii="仿宋_GB2312" w:hAnsi="仿宋_GB2312" w:eastAsia="仿宋_GB2312" w:cs="仿宋_GB2312"/>
                <w:b w:val="0"/>
                <w:bCs w:val="0"/>
                <w:kern w:val="0"/>
                <w:sz w:val="21"/>
                <w:szCs w:val="21"/>
              </w:rPr>
              <w:t>政策知晓率低（根据调查问卷，非常了解及基本了解政策的仅占59%）</w:t>
            </w:r>
          </w:p>
        </w:tc>
      </w:tr>
      <w:tr>
        <w:tblPrEx>
          <w:tblCellMar>
            <w:top w:w="0" w:type="dxa"/>
            <w:left w:w="0" w:type="dxa"/>
            <w:bottom w:w="0" w:type="dxa"/>
            <w:right w:w="0" w:type="dxa"/>
          </w:tblCellMar>
        </w:tblPrEx>
        <w:trPr>
          <w:trHeight w:val="2335" w:hRule="atLeast"/>
          <w:jc w:val="center"/>
        </w:trPr>
        <w:tc>
          <w:tcPr>
            <w:tcW w:w="1890" w:type="dxa"/>
            <w:vMerge w:val="continue"/>
            <w:tcBorders>
              <w:top w:val="single" w:color="auto" w:sz="4" w:space="0"/>
              <w:left w:val="single" w:color="auto" w:sz="4" w:space="0"/>
              <w:bottom w:val="single" w:color="auto" w:sz="4" w:space="0"/>
              <w:right w:val="single" w:color="auto" w:sz="4" w:space="0"/>
            </w:tcBorders>
            <w:noWrap/>
            <w:tcMar>
              <w:top w:w="12" w:type="dxa"/>
              <w:left w:w="12" w:type="dxa"/>
              <w:right w:w="12" w:type="dxa"/>
            </w:tcMar>
            <w:vAlign w:val="center"/>
          </w:tcPr>
          <w:p>
            <w:pPr>
              <w:widowControl/>
              <w:ind w:firstLine="0" w:firstLineChars="0"/>
              <w:jc w:val="center"/>
              <w:textAlignment w:val="center"/>
              <w:rPr>
                <w:rFonts w:hint="eastAsia" w:ascii="仿宋_GB2312" w:hAnsi="仿宋_GB2312" w:eastAsia="仿宋_GB2312" w:cs="仿宋_GB2312"/>
                <w:b w:val="0"/>
                <w:bCs w:val="0"/>
                <w:kern w:val="0"/>
                <w:sz w:val="21"/>
                <w:szCs w:val="21"/>
              </w:rPr>
            </w:pPr>
          </w:p>
        </w:tc>
        <w:tc>
          <w:tcPr>
            <w:tcW w:w="579"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hint="eastAsia" w:ascii="仿宋_GB2312" w:hAnsi="仿宋_GB2312" w:eastAsia="仿宋_GB2312" w:cs="仿宋_GB2312"/>
                <w:b w:val="0"/>
                <w:bCs w:val="0"/>
                <w:kern w:val="0"/>
                <w:sz w:val="21"/>
                <w:szCs w:val="21"/>
              </w:rPr>
            </w:pPr>
            <w:r>
              <w:rPr>
                <w:rFonts w:hint="eastAsia" w:ascii="仿宋_GB2312" w:hAnsi="仿宋_GB2312" w:eastAsia="仿宋_GB2312" w:cs="仿宋_GB2312"/>
                <w:b w:val="0"/>
                <w:bCs w:val="0"/>
                <w:kern w:val="0"/>
                <w:sz w:val="21"/>
                <w:szCs w:val="21"/>
              </w:rPr>
              <w:t>5</w:t>
            </w:r>
          </w:p>
        </w:tc>
        <w:tc>
          <w:tcPr>
            <w:tcW w:w="1684" w:type="dxa"/>
            <w:tcBorders>
              <w:top w:val="single" w:color="auto" w:sz="4" w:space="0"/>
              <w:left w:val="single" w:color="auto" w:sz="4" w:space="0"/>
              <w:bottom w:val="single" w:color="auto" w:sz="4" w:space="0"/>
              <w:right w:val="single" w:color="auto" w:sz="4" w:space="0"/>
            </w:tcBorders>
            <w:noWrap/>
            <w:tcMar>
              <w:top w:w="12" w:type="dxa"/>
              <w:left w:w="12" w:type="dxa"/>
              <w:right w:w="12" w:type="dxa"/>
            </w:tcMar>
            <w:vAlign w:val="center"/>
          </w:tcPr>
          <w:p>
            <w:pPr>
              <w:widowControl/>
              <w:ind w:firstLine="0" w:firstLineChars="0"/>
              <w:jc w:val="center"/>
              <w:textAlignment w:val="center"/>
              <w:rPr>
                <w:rFonts w:hint="eastAsia" w:ascii="仿宋_GB2312" w:hAnsi="仿宋_GB2312" w:eastAsia="仿宋_GB2312" w:cs="仿宋_GB2312"/>
                <w:b w:val="0"/>
                <w:bCs w:val="0"/>
                <w:kern w:val="0"/>
                <w:sz w:val="21"/>
                <w:szCs w:val="21"/>
              </w:rPr>
            </w:pPr>
            <w:r>
              <w:rPr>
                <w:rFonts w:hint="eastAsia" w:ascii="仿宋_GB2312" w:hAnsi="仿宋_GB2312" w:eastAsia="仿宋_GB2312" w:cs="仿宋_GB2312"/>
                <w:b w:val="0"/>
                <w:bCs w:val="0"/>
                <w:kern w:val="0"/>
                <w:sz w:val="21"/>
                <w:szCs w:val="21"/>
              </w:rPr>
              <w:t>市卫健委、市电视台</w:t>
            </w:r>
          </w:p>
        </w:tc>
        <w:tc>
          <w:tcPr>
            <w:tcW w:w="5193" w:type="dxa"/>
            <w:tcBorders>
              <w:top w:val="single" w:color="000000" w:sz="4" w:space="0"/>
              <w:left w:val="single" w:color="auto" w:sz="4" w:space="0"/>
              <w:bottom w:val="single" w:color="000000" w:sz="4" w:space="0"/>
              <w:right w:val="single" w:color="000000" w:sz="4" w:space="0"/>
            </w:tcBorders>
            <w:noWrap/>
            <w:tcMar>
              <w:top w:w="12" w:type="dxa"/>
              <w:left w:w="12" w:type="dxa"/>
              <w:right w:w="12" w:type="dxa"/>
            </w:tcMar>
            <w:vAlign w:val="center"/>
          </w:tcPr>
          <w:p>
            <w:pPr>
              <w:widowControl/>
              <w:ind w:firstLine="0" w:firstLineChars="0"/>
              <w:jc w:val="left"/>
              <w:textAlignment w:val="center"/>
              <w:rPr>
                <w:rFonts w:hint="eastAsia" w:ascii="仿宋_GB2312" w:hAnsi="仿宋_GB2312" w:eastAsia="仿宋_GB2312" w:cs="仿宋_GB2312"/>
                <w:b w:val="0"/>
                <w:bCs w:val="0"/>
                <w:kern w:val="0"/>
                <w:sz w:val="21"/>
                <w:szCs w:val="21"/>
              </w:rPr>
            </w:pPr>
            <w:r>
              <w:rPr>
                <w:rFonts w:hint="eastAsia" w:ascii="仿宋_GB2312" w:hAnsi="仿宋_GB2312" w:eastAsia="仿宋_GB2312" w:cs="仿宋_GB2312"/>
                <w:b w:val="0"/>
                <w:bCs w:val="0"/>
                <w:kern w:val="0"/>
                <w:sz w:val="21"/>
                <w:szCs w:val="21"/>
              </w:rPr>
              <w:t>人才专项资金未按实施细则规定形式发放。（根据《菏泽市市属事业单位高层次急需紧缺人才引进办法》第四章（二）生活补贴：市财政按照博士、硕士、本科分别给予每月2000元、1500元、1000元生活补贴，随工资发放，连续补贴三年。在高层次人才引进补贴资金实际发放中，市卫健委、市电视台收到财政补贴资金后一次性发放至个人银行账户）</w:t>
            </w:r>
          </w:p>
        </w:tc>
      </w:tr>
      <w:tr>
        <w:tblPrEx>
          <w:tblCellMar>
            <w:top w:w="0" w:type="dxa"/>
            <w:left w:w="0" w:type="dxa"/>
            <w:bottom w:w="0" w:type="dxa"/>
            <w:right w:w="0" w:type="dxa"/>
          </w:tblCellMar>
        </w:tblPrEx>
        <w:trPr>
          <w:trHeight w:val="3383" w:hRule="atLeast"/>
          <w:jc w:val="center"/>
        </w:trPr>
        <w:tc>
          <w:tcPr>
            <w:tcW w:w="1890" w:type="dxa"/>
            <w:vMerge w:val="continue"/>
            <w:tcBorders>
              <w:top w:val="single" w:color="auto" w:sz="4" w:space="0"/>
              <w:left w:val="single" w:color="auto" w:sz="4" w:space="0"/>
              <w:bottom w:val="single" w:color="auto" w:sz="4" w:space="0"/>
              <w:right w:val="single" w:color="auto" w:sz="4" w:space="0"/>
            </w:tcBorders>
            <w:noWrap/>
            <w:tcMar>
              <w:top w:w="12" w:type="dxa"/>
              <w:left w:w="12" w:type="dxa"/>
              <w:right w:w="12" w:type="dxa"/>
            </w:tcMar>
            <w:vAlign w:val="center"/>
          </w:tcPr>
          <w:p>
            <w:pPr>
              <w:widowControl/>
              <w:ind w:firstLine="0" w:firstLineChars="0"/>
              <w:jc w:val="center"/>
              <w:textAlignment w:val="center"/>
              <w:rPr>
                <w:rFonts w:hint="eastAsia" w:ascii="仿宋_GB2312" w:hAnsi="仿宋_GB2312" w:eastAsia="仿宋_GB2312" w:cs="仿宋_GB2312"/>
                <w:b w:val="0"/>
                <w:bCs w:val="0"/>
                <w:kern w:val="0"/>
                <w:sz w:val="21"/>
                <w:szCs w:val="21"/>
              </w:rPr>
            </w:pPr>
          </w:p>
        </w:tc>
        <w:tc>
          <w:tcPr>
            <w:tcW w:w="579"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hint="eastAsia" w:ascii="仿宋_GB2312" w:hAnsi="仿宋_GB2312" w:eastAsia="仿宋_GB2312" w:cs="仿宋_GB2312"/>
                <w:b w:val="0"/>
                <w:bCs w:val="0"/>
                <w:kern w:val="0"/>
                <w:sz w:val="21"/>
                <w:szCs w:val="21"/>
              </w:rPr>
            </w:pPr>
            <w:r>
              <w:rPr>
                <w:rFonts w:hint="eastAsia" w:ascii="仿宋_GB2312" w:hAnsi="仿宋_GB2312" w:eastAsia="仿宋_GB2312" w:cs="仿宋_GB2312"/>
                <w:b w:val="0"/>
                <w:bCs w:val="0"/>
                <w:kern w:val="0"/>
                <w:sz w:val="21"/>
                <w:szCs w:val="21"/>
              </w:rPr>
              <w:t>6</w:t>
            </w:r>
          </w:p>
        </w:tc>
        <w:tc>
          <w:tcPr>
            <w:tcW w:w="1684" w:type="dxa"/>
            <w:tcBorders>
              <w:top w:val="single" w:color="auto" w:sz="4" w:space="0"/>
              <w:left w:val="single" w:color="auto" w:sz="4" w:space="0"/>
              <w:bottom w:val="single" w:color="auto" w:sz="4" w:space="0"/>
              <w:right w:val="single" w:color="auto" w:sz="4" w:space="0"/>
            </w:tcBorders>
            <w:noWrap/>
            <w:tcMar>
              <w:top w:w="12" w:type="dxa"/>
              <w:left w:w="12" w:type="dxa"/>
              <w:right w:w="12" w:type="dxa"/>
            </w:tcMar>
            <w:vAlign w:val="center"/>
          </w:tcPr>
          <w:p>
            <w:pPr>
              <w:widowControl/>
              <w:ind w:firstLine="0" w:firstLineChars="0"/>
              <w:jc w:val="center"/>
              <w:textAlignment w:val="center"/>
              <w:rPr>
                <w:rFonts w:hint="eastAsia" w:ascii="仿宋_GB2312" w:hAnsi="仿宋_GB2312" w:eastAsia="仿宋_GB2312" w:cs="仿宋_GB2312"/>
                <w:b w:val="0"/>
                <w:bCs w:val="0"/>
                <w:kern w:val="0"/>
                <w:sz w:val="21"/>
                <w:szCs w:val="21"/>
              </w:rPr>
            </w:pPr>
            <w:r>
              <w:rPr>
                <w:rFonts w:hint="eastAsia" w:ascii="仿宋_GB2312" w:hAnsi="仿宋_GB2312" w:eastAsia="仿宋_GB2312" w:cs="仿宋_GB2312"/>
                <w:b w:val="0"/>
                <w:bCs w:val="0"/>
                <w:kern w:val="0"/>
                <w:sz w:val="21"/>
                <w:szCs w:val="21"/>
              </w:rPr>
              <w:t>市科技局、市国资委</w:t>
            </w:r>
          </w:p>
        </w:tc>
        <w:tc>
          <w:tcPr>
            <w:tcW w:w="5193" w:type="dxa"/>
            <w:tcBorders>
              <w:top w:val="single" w:color="000000" w:sz="4" w:space="0"/>
              <w:left w:val="single" w:color="auto" w:sz="4" w:space="0"/>
              <w:bottom w:val="single" w:color="000000" w:sz="4" w:space="0"/>
              <w:right w:val="single" w:color="000000" w:sz="4" w:space="0"/>
            </w:tcBorders>
            <w:noWrap/>
            <w:tcMar>
              <w:top w:w="12" w:type="dxa"/>
              <w:left w:w="12" w:type="dxa"/>
              <w:right w:w="12" w:type="dxa"/>
            </w:tcMar>
            <w:vAlign w:val="center"/>
          </w:tcPr>
          <w:p>
            <w:pPr>
              <w:widowControl/>
              <w:ind w:firstLine="0" w:firstLineChars="0"/>
              <w:jc w:val="left"/>
              <w:textAlignment w:val="center"/>
              <w:rPr>
                <w:rFonts w:hint="eastAsia" w:ascii="仿宋_GB2312" w:hAnsi="仿宋_GB2312" w:eastAsia="仿宋_GB2312" w:cs="仿宋_GB2312"/>
                <w:b w:val="0"/>
                <w:bCs w:val="0"/>
                <w:kern w:val="0"/>
                <w:sz w:val="21"/>
                <w:szCs w:val="21"/>
              </w:rPr>
            </w:pPr>
            <w:r>
              <w:rPr>
                <w:rFonts w:hint="eastAsia" w:ascii="仿宋_GB2312" w:hAnsi="仿宋_GB2312" w:eastAsia="仿宋_GB2312" w:cs="仿宋_GB2312"/>
                <w:b w:val="0"/>
                <w:bCs w:val="0"/>
                <w:kern w:val="0"/>
                <w:sz w:val="21"/>
                <w:szCs w:val="21"/>
              </w:rPr>
              <w:t>未按照申报内容发放。（1）2020年度菏泽市“人才新政30条”兑现资金项目中齐鲁友谊奖、牡丹友谊奖补资金8万元，申报公司：凯维思（山东）智能制造科技有限公司，实际资金拨付：凯维思轻量化智能制造研究院（菏泽）有限公司。</w:t>
            </w:r>
          </w:p>
          <w:p>
            <w:pPr>
              <w:widowControl/>
              <w:ind w:firstLine="0" w:firstLineChars="0"/>
              <w:jc w:val="left"/>
              <w:textAlignment w:val="center"/>
              <w:rPr>
                <w:rFonts w:hint="eastAsia" w:ascii="仿宋_GB2312" w:hAnsi="仿宋_GB2312" w:eastAsia="仿宋_GB2312" w:cs="仿宋_GB2312"/>
                <w:b w:val="0"/>
                <w:bCs w:val="0"/>
                <w:kern w:val="0"/>
                <w:sz w:val="21"/>
                <w:szCs w:val="21"/>
              </w:rPr>
            </w:pPr>
            <w:r>
              <w:rPr>
                <w:rFonts w:hint="eastAsia" w:ascii="仿宋_GB2312" w:hAnsi="仿宋_GB2312" w:eastAsia="仿宋_GB2312" w:cs="仿宋_GB2312"/>
                <w:b w:val="0"/>
                <w:bCs w:val="0"/>
                <w:kern w:val="0"/>
                <w:sz w:val="21"/>
                <w:szCs w:val="21"/>
              </w:rPr>
              <w:t>（2）2020年度菏泽市“人才新政30条”兑现资金市直企业引进高校毕业生补贴资金，申报主体单位与实际发放不一致，如发放菏泽市铁路投资发展集团有限公司、菏泽市水务集团有限公司、菏泽投资发展有限公司、菏泽牡丹机场建设投资有限公司、山东菏建国有资本投资有限公司、山东华瑞集团有限公司补贴资金。</w:t>
            </w:r>
          </w:p>
        </w:tc>
      </w:tr>
      <w:tr>
        <w:tblPrEx>
          <w:tblCellMar>
            <w:top w:w="0" w:type="dxa"/>
            <w:left w:w="0" w:type="dxa"/>
            <w:bottom w:w="0" w:type="dxa"/>
            <w:right w:w="0" w:type="dxa"/>
          </w:tblCellMar>
        </w:tblPrEx>
        <w:trPr>
          <w:trHeight w:val="849" w:hRule="atLeast"/>
          <w:jc w:val="center"/>
        </w:trPr>
        <w:tc>
          <w:tcPr>
            <w:tcW w:w="1890" w:type="dxa"/>
            <w:vMerge w:val="restart"/>
            <w:tcBorders>
              <w:top w:val="single" w:color="auto" w:sz="4" w:space="0"/>
              <w:left w:val="single" w:color="auto" w:sz="4" w:space="0"/>
              <w:right w:val="single" w:color="auto" w:sz="4" w:space="0"/>
            </w:tcBorders>
            <w:noWrap/>
            <w:tcMar>
              <w:top w:w="12" w:type="dxa"/>
              <w:left w:w="12" w:type="dxa"/>
              <w:right w:w="12" w:type="dxa"/>
            </w:tcMar>
            <w:vAlign w:val="center"/>
          </w:tcPr>
          <w:p>
            <w:pPr>
              <w:widowControl/>
              <w:ind w:firstLine="0" w:firstLineChars="0"/>
              <w:jc w:val="center"/>
              <w:textAlignment w:val="center"/>
              <w:rPr>
                <w:rFonts w:hint="eastAsia" w:ascii="仿宋_GB2312" w:hAnsi="仿宋_GB2312" w:eastAsia="仿宋_GB2312" w:cs="仿宋_GB2312"/>
                <w:b w:val="0"/>
                <w:bCs w:val="0"/>
                <w:kern w:val="0"/>
                <w:sz w:val="21"/>
                <w:szCs w:val="21"/>
              </w:rPr>
            </w:pPr>
            <w:r>
              <w:rPr>
                <w:rFonts w:hint="eastAsia" w:ascii="仿宋_GB2312" w:hAnsi="仿宋_GB2312" w:eastAsia="仿宋_GB2312" w:cs="仿宋_GB2312"/>
                <w:b w:val="0"/>
                <w:bCs w:val="0"/>
                <w:kern w:val="0"/>
                <w:sz w:val="21"/>
                <w:szCs w:val="21"/>
              </w:rPr>
              <w:t>政策执行方面</w:t>
            </w:r>
          </w:p>
          <w:p>
            <w:pPr>
              <w:widowControl/>
              <w:ind w:firstLine="0" w:firstLineChars="0"/>
              <w:jc w:val="center"/>
              <w:textAlignment w:val="center"/>
              <w:rPr>
                <w:rFonts w:hint="eastAsia" w:ascii="仿宋_GB2312" w:hAnsi="仿宋_GB2312" w:eastAsia="仿宋_GB2312" w:cs="仿宋_GB2312"/>
                <w:b w:val="0"/>
                <w:bCs w:val="0"/>
                <w:kern w:val="0"/>
                <w:sz w:val="21"/>
                <w:szCs w:val="21"/>
              </w:rPr>
            </w:pPr>
            <w:r>
              <w:rPr>
                <w:rFonts w:hint="eastAsia" w:ascii="仿宋_GB2312" w:hAnsi="仿宋_GB2312" w:eastAsia="仿宋_GB2312" w:cs="仿宋_GB2312"/>
                <w:b w:val="0"/>
                <w:bCs w:val="0"/>
                <w:kern w:val="0"/>
                <w:sz w:val="21"/>
                <w:szCs w:val="21"/>
              </w:rPr>
              <w:t>存在的问题</w:t>
            </w:r>
          </w:p>
        </w:tc>
        <w:tc>
          <w:tcPr>
            <w:tcW w:w="579"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hint="eastAsia" w:ascii="仿宋_GB2312" w:hAnsi="仿宋_GB2312" w:eastAsia="仿宋_GB2312" w:cs="仿宋_GB2312"/>
                <w:b w:val="0"/>
                <w:bCs w:val="0"/>
                <w:kern w:val="0"/>
                <w:sz w:val="21"/>
                <w:szCs w:val="21"/>
              </w:rPr>
            </w:pPr>
            <w:r>
              <w:rPr>
                <w:rFonts w:hint="eastAsia" w:ascii="仿宋_GB2312" w:hAnsi="仿宋_GB2312" w:eastAsia="仿宋_GB2312" w:cs="仿宋_GB2312"/>
                <w:b w:val="0"/>
                <w:bCs w:val="0"/>
                <w:kern w:val="0"/>
                <w:sz w:val="21"/>
                <w:szCs w:val="21"/>
              </w:rPr>
              <w:t>7</w:t>
            </w:r>
          </w:p>
        </w:tc>
        <w:tc>
          <w:tcPr>
            <w:tcW w:w="1684" w:type="dxa"/>
            <w:tcBorders>
              <w:top w:val="single" w:color="auto" w:sz="4" w:space="0"/>
              <w:left w:val="single" w:color="auto" w:sz="4" w:space="0"/>
              <w:bottom w:val="single" w:color="000000" w:sz="4" w:space="0"/>
              <w:right w:val="single" w:color="000000" w:sz="4" w:space="0"/>
            </w:tcBorders>
            <w:noWrap/>
            <w:tcMar>
              <w:top w:w="12" w:type="dxa"/>
              <w:left w:w="12" w:type="dxa"/>
              <w:right w:w="12" w:type="dxa"/>
            </w:tcMar>
            <w:vAlign w:val="center"/>
          </w:tcPr>
          <w:p>
            <w:pPr>
              <w:widowControl/>
              <w:ind w:firstLine="0" w:firstLineChars="0"/>
              <w:jc w:val="center"/>
              <w:textAlignment w:val="center"/>
              <w:rPr>
                <w:rFonts w:hint="eastAsia" w:ascii="仿宋_GB2312" w:hAnsi="仿宋_GB2312" w:eastAsia="仿宋_GB2312" w:cs="仿宋_GB2312"/>
                <w:b w:val="0"/>
                <w:bCs w:val="0"/>
                <w:kern w:val="0"/>
                <w:sz w:val="21"/>
                <w:szCs w:val="21"/>
              </w:rPr>
            </w:pPr>
            <w:r>
              <w:rPr>
                <w:rFonts w:hint="eastAsia" w:ascii="仿宋_GB2312" w:hAnsi="仿宋_GB2312" w:eastAsia="仿宋_GB2312" w:cs="仿宋_GB2312"/>
                <w:b w:val="0"/>
                <w:bCs w:val="0"/>
                <w:kern w:val="0"/>
                <w:sz w:val="21"/>
                <w:szCs w:val="21"/>
              </w:rPr>
              <w:t>市工信局、市发改委</w:t>
            </w:r>
          </w:p>
        </w:tc>
        <w:tc>
          <w:tcPr>
            <w:tcW w:w="519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ind w:firstLine="0" w:firstLineChars="0"/>
              <w:jc w:val="left"/>
              <w:textAlignment w:val="center"/>
              <w:rPr>
                <w:rFonts w:hint="eastAsia" w:ascii="仿宋_GB2312" w:hAnsi="仿宋_GB2312" w:eastAsia="仿宋_GB2312" w:cs="仿宋_GB2312"/>
                <w:b w:val="0"/>
                <w:bCs w:val="0"/>
                <w:kern w:val="0"/>
                <w:sz w:val="21"/>
                <w:szCs w:val="21"/>
              </w:rPr>
            </w:pPr>
            <w:r>
              <w:rPr>
                <w:rFonts w:hint="eastAsia" w:ascii="仿宋_GB2312" w:hAnsi="仿宋_GB2312" w:eastAsia="仿宋_GB2312" w:cs="仿宋_GB2312"/>
                <w:b w:val="0"/>
                <w:bCs w:val="0"/>
                <w:kern w:val="0"/>
                <w:sz w:val="21"/>
                <w:szCs w:val="21"/>
              </w:rPr>
              <w:t>会计核算不规范。（菏财教指［2021］18号文《关于下达2020年度菏泽市“人才新政30条”兑现资金的通知》中规定：按照中共菏泽市委组织部、菏泽市财政局《关于印发菏泽市市级人才专项资金审核拨付暂行办法的通知》及时拨付人才专项资金，并按照暂行办法的规定使用和管理。按照专项资金管理规定应计入部门支出，单独核算。但市工信局、市发改委在会计核算时挂往来款项，使用其他应付款科目核算）。</w:t>
            </w:r>
          </w:p>
        </w:tc>
      </w:tr>
      <w:tr>
        <w:tblPrEx>
          <w:tblCellMar>
            <w:top w:w="0" w:type="dxa"/>
            <w:left w:w="0" w:type="dxa"/>
            <w:bottom w:w="0" w:type="dxa"/>
            <w:right w:w="0" w:type="dxa"/>
          </w:tblCellMar>
        </w:tblPrEx>
        <w:trPr>
          <w:trHeight w:val="849" w:hRule="atLeast"/>
          <w:jc w:val="center"/>
        </w:trPr>
        <w:tc>
          <w:tcPr>
            <w:tcW w:w="1890" w:type="dxa"/>
            <w:vMerge w:val="continue"/>
            <w:tcBorders>
              <w:left w:val="single" w:color="auto" w:sz="4" w:space="0"/>
              <w:bottom w:val="single" w:color="auto" w:sz="4" w:space="0"/>
              <w:right w:val="single" w:color="auto" w:sz="4" w:space="0"/>
            </w:tcBorders>
            <w:noWrap/>
            <w:tcMar>
              <w:top w:w="12" w:type="dxa"/>
              <w:left w:w="12" w:type="dxa"/>
              <w:right w:w="12" w:type="dxa"/>
            </w:tcMar>
            <w:vAlign w:val="center"/>
          </w:tcPr>
          <w:p>
            <w:pPr>
              <w:widowControl/>
              <w:ind w:firstLine="0" w:firstLineChars="0"/>
              <w:jc w:val="center"/>
              <w:textAlignment w:val="center"/>
              <w:rPr>
                <w:rFonts w:hint="eastAsia" w:ascii="仿宋_GB2312" w:hAnsi="仿宋_GB2312" w:eastAsia="仿宋_GB2312" w:cs="仿宋_GB2312"/>
                <w:b w:val="0"/>
                <w:bCs w:val="0"/>
                <w:kern w:val="0"/>
                <w:sz w:val="21"/>
                <w:szCs w:val="21"/>
              </w:rPr>
            </w:pPr>
          </w:p>
        </w:tc>
        <w:tc>
          <w:tcPr>
            <w:tcW w:w="579"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hint="eastAsia" w:ascii="仿宋_GB2312" w:hAnsi="仿宋_GB2312" w:eastAsia="仿宋_GB2312" w:cs="仿宋_GB2312"/>
                <w:b w:val="0"/>
                <w:bCs w:val="0"/>
                <w:kern w:val="0"/>
                <w:sz w:val="21"/>
                <w:szCs w:val="21"/>
              </w:rPr>
            </w:pPr>
            <w:r>
              <w:rPr>
                <w:rFonts w:hint="eastAsia" w:ascii="仿宋_GB2312" w:hAnsi="仿宋_GB2312" w:eastAsia="仿宋_GB2312" w:cs="仿宋_GB2312"/>
                <w:b w:val="0"/>
                <w:bCs w:val="0"/>
                <w:kern w:val="0"/>
                <w:sz w:val="21"/>
                <w:szCs w:val="21"/>
              </w:rPr>
              <w:t>8</w:t>
            </w:r>
          </w:p>
        </w:tc>
        <w:tc>
          <w:tcPr>
            <w:tcW w:w="1684" w:type="dxa"/>
            <w:tcBorders>
              <w:top w:val="single" w:color="000000" w:sz="4" w:space="0"/>
              <w:left w:val="single" w:color="auto" w:sz="4" w:space="0"/>
              <w:bottom w:val="single" w:color="000000" w:sz="4" w:space="0"/>
              <w:right w:val="single" w:color="000000" w:sz="4" w:space="0"/>
            </w:tcBorders>
            <w:noWrap/>
            <w:tcMar>
              <w:top w:w="12" w:type="dxa"/>
              <w:left w:w="12" w:type="dxa"/>
              <w:right w:w="12" w:type="dxa"/>
            </w:tcMar>
            <w:vAlign w:val="center"/>
          </w:tcPr>
          <w:p>
            <w:pPr>
              <w:widowControl/>
              <w:ind w:firstLine="0" w:firstLineChars="0"/>
              <w:jc w:val="center"/>
              <w:textAlignment w:val="center"/>
              <w:rPr>
                <w:rFonts w:hint="eastAsia" w:ascii="仿宋_GB2312" w:hAnsi="仿宋_GB2312" w:eastAsia="仿宋_GB2312" w:cs="仿宋_GB2312"/>
                <w:b w:val="0"/>
                <w:bCs w:val="0"/>
                <w:kern w:val="0"/>
                <w:sz w:val="21"/>
                <w:szCs w:val="21"/>
              </w:rPr>
            </w:pPr>
            <w:r>
              <w:rPr>
                <w:rFonts w:hint="eastAsia" w:ascii="仿宋_GB2312" w:hAnsi="仿宋_GB2312" w:eastAsia="仿宋_GB2312" w:cs="仿宋_GB2312"/>
                <w:b w:val="0"/>
                <w:bCs w:val="0"/>
                <w:kern w:val="0"/>
                <w:sz w:val="21"/>
                <w:szCs w:val="21"/>
              </w:rPr>
              <w:t>市人才办</w:t>
            </w:r>
          </w:p>
        </w:tc>
        <w:tc>
          <w:tcPr>
            <w:tcW w:w="519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ind w:firstLine="0" w:firstLineChars="0"/>
              <w:jc w:val="left"/>
              <w:textAlignment w:val="center"/>
              <w:rPr>
                <w:rFonts w:hint="eastAsia" w:ascii="仿宋_GB2312" w:hAnsi="仿宋_GB2312" w:eastAsia="仿宋_GB2312" w:cs="仿宋_GB2312"/>
                <w:b w:val="0"/>
                <w:bCs w:val="0"/>
                <w:kern w:val="0"/>
                <w:sz w:val="21"/>
                <w:szCs w:val="21"/>
              </w:rPr>
            </w:pPr>
            <w:r>
              <w:rPr>
                <w:rFonts w:hint="eastAsia" w:ascii="仿宋_GB2312" w:hAnsi="仿宋_GB2312" w:eastAsia="仿宋_GB2312" w:cs="仿宋_GB2312"/>
                <w:b w:val="0"/>
                <w:bCs w:val="0"/>
                <w:kern w:val="0"/>
                <w:sz w:val="21"/>
                <w:szCs w:val="21"/>
              </w:rPr>
              <w:t>支付方式不规范。（如市拔尖人才补贴资金66.6万以现金形式发放）</w:t>
            </w:r>
          </w:p>
        </w:tc>
      </w:tr>
      <w:tr>
        <w:tblPrEx>
          <w:tblCellMar>
            <w:top w:w="0" w:type="dxa"/>
            <w:left w:w="0" w:type="dxa"/>
            <w:bottom w:w="0" w:type="dxa"/>
            <w:right w:w="0" w:type="dxa"/>
          </w:tblCellMar>
        </w:tblPrEx>
        <w:trPr>
          <w:trHeight w:val="849" w:hRule="atLeast"/>
          <w:jc w:val="center"/>
        </w:trPr>
        <w:tc>
          <w:tcPr>
            <w:tcW w:w="1890" w:type="dxa"/>
            <w:vMerge w:val="restart"/>
            <w:tcBorders>
              <w:top w:val="single" w:color="auto" w:sz="4" w:space="0"/>
              <w:left w:val="single" w:color="auto" w:sz="4" w:space="0"/>
              <w:right w:val="single" w:color="auto" w:sz="4" w:space="0"/>
            </w:tcBorders>
            <w:noWrap/>
            <w:tcMar>
              <w:top w:w="12" w:type="dxa"/>
              <w:left w:w="12" w:type="dxa"/>
              <w:right w:w="12" w:type="dxa"/>
            </w:tcMar>
            <w:vAlign w:val="center"/>
          </w:tcPr>
          <w:p>
            <w:pPr>
              <w:widowControl/>
              <w:ind w:firstLine="0" w:firstLineChars="0"/>
              <w:jc w:val="center"/>
              <w:textAlignment w:val="center"/>
              <w:rPr>
                <w:rFonts w:hint="eastAsia" w:ascii="仿宋_GB2312" w:hAnsi="仿宋_GB2312" w:eastAsia="仿宋_GB2312" w:cs="仿宋_GB2312"/>
                <w:b w:val="0"/>
                <w:bCs w:val="0"/>
                <w:kern w:val="0"/>
                <w:sz w:val="21"/>
                <w:szCs w:val="21"/>
              </w:rPr>
            </w:pPr>
            <w:r>
              <w:rPr>
                <w:rFonts w:hint="eastAsia" w:ascii="仿宋_GB2312" w:hAnsi="仿宋_GB2312" w:eastAsia="仿宋_GB2312" w:cs="仿宋_GB2312"/>
                <w:b w:val="0"/>
                <w:bCs w:val="0"/>
                <w:kern w:val="0"/>
                <w:sz w:val="21"/>
                <w:szCs w:val="21"/>
              </w:rPr>
              <w:t>政策产出方面</w:t>
            </w:r>
          </w:p>
          <w:p>
            <w:pPr>
              <w:widowControl/>
              <w:ind w:firstLine="0" w:firstLineChars="0"/>
              <w:jc w:val="center"/>
              <w:textAlignment w:val="center"/>
              <w:rPr>
                <w:rFonts w:hint="eastAsia" w:ascii="仿宋_GB2312" w:hAnsi="仿宋_GB2312" w:eastAsia="仿宋_GB2312" w:cs="仿宋_GB2312"/>
                <w:b w:val="0"/>
                <w:bCs w:val="0"/>
                <w:kern w:val="0"/>
                <w:sz w:val="21"/>
                <w:szCs w:val="21"/>
              </w:rPr>
            </w:pPr>
            <w:r>
              <w:rPr>
                <w:rFonts w:hint="eastAsia" w:ascii="仿宋_GB2312" w:hAnsi="仿宋_GB2312" w:eastAsia="仿宋_GB2312" w:cs="仿宋_GB2312"/>
                <w:b w:val="0"/>
                <w:bCs w:val="0"/>
                <w:kern w:val="0"/>
                <w:sz w:val="21"/>
                <w:szCs w:val="21"/>
              </w:rPr>
              <w:t>存在的问题</w:t>
            </w:r>
          </w:p>
        </w:tc>
        <w:tc>
          <w:tcPr>
            <w:tcW w:w="579"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hint="eastAsia" w:ascii="仿宋_GB2312" w:hAnsi="仿宋_GB2312" w:eastAsia="仿宋_GB2312" w:cs="仿宋_GB2312"/>
                <w:b w:val="0"/>
                <w:bCs w:val="0"/>
                <w:kern w:val="0"/>
                <w:sz w:val="21"/>
                <w:szCs w:val="21"/>
              </w:rPr>
            </w:pPr>
            <w:r>
              <w:rPr>
                <w:rFonts w:hint="eastAsia" w:ascii="仿宋_GB2312" w:hAnsi="仿宋_GB2312" w:eastAsia="仿宋_GB2312" w:cs="仿宋_GB2312"/>
                <w:b w:val="0"/>
                <w:bCs w:val="0"/>
                <w:kern w:val="0"/>
                <w:sz w:val="21"/>
                <w:szCs w:val="21"/>
              </w:rPr>
              <w:t>1</w:t>
            </w:r>
          </w:p>
        </w:tc>
        <w:tc>
          <w:tcPr>
            <w:tcW w:w="1684" w:type="dxa"/>
            <w:tcBorders>
              <w:top w:val="single" w:color="000000" w:sz="4" w:space="0"/>
              <w:left w:val="single" w:color="auto" w:sz="4" w:space="0"/>
              <w:bottom w:val="single" w:color="000000" w:sz="4" w:space="0"/>
              <w:right w:val="single" w:color="000000" w:sz="4" w:space="0"/>
            </w:tcBorders>
            <w:noWrap/>
            <w:tcMar>
              <w:top w:w="12" w:type="dxa"/>
              <w:left w:w="12" w:type="dxa"/>
              <w:right w:w="12" w:type="dxa"/>
            </w:tcMar>
            <w:vAlign w:val="center"/>
          </w:tcPr>
          <w:p>
            <w:pPr>
              <w:widowControl/>
              <w:ind w:firstLine="0" w:firstLineChars="0"/>
              <w:jc w:val="center"/>
              <w:textAlignment w:val="center"/>
              <w:rPr>
                <w:rFonts w:hint="eastAsia" w:ascii="仿宋_GB2312" w:hAnsi="仿宋_GB2312" w:eastAsia="仿宋_GB2312" w:cs="仿宋_GB2312"/>
                <w:b w:val="0"/>
                <w:bCs w:val="0"/>
                <w:kern w:val="0"/>
                <w:sz w:val="21"/>
                <w:szCs w:val="21"/>
              </w:rPr>
            </w:pPr>
            <w:r>
              <w:rPr>
                <w:rFonts w:hint="eastAsia" w:ascii="仿宋_GB2312" w:hAnsi="仿宋_GB2312" w:eastAsia="仿宋_GB2312" w:cs="仿宋_GB2312"/>
                <w:b w:val="0"/>
                <w:bCs w:val="0"/>
                <w:kern w:val="0"/>
                <w:sz w:val="21"/>
                <w:szCs w:val="21"/>
              </w:rPr>
              <w:t>市人才办、市财政局、市人社局</w:t>
            </w:r>
          </w:p>
        </w:tc>
        <w:tc>
          <w:tcPr>
            <w:tcW w:w="5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firstLine="0" w:firstLineChars="0"/>
              <w:jc w:val="left"/>
              <w:textAlignment w:val="center"/>
              <w:rPr>
                <w:rFonts w:hint="eastAsia" w:ascii="仿宋_GB2312" w:hAnsi="仿宋_GB2312" w:eastAsia="仿宋_GB2312" w:cs="仿宋_GB2312"/>
                <w:b w:val="0"/>
                <w:bCs w:val="0"/>
                <w:kern w:val="0"/>
                <w:sz w:val="21"/>
                <w:szCs w:val="21"/>
              </w:rPr>
            </w:pPr>
            <w:r>
              <w:rPr>
                <w:rFonts w:hint="eastAsia" w:ascii="仿宋_GB2312" w:hAnsi="仿宋_GB2312" w:eastAsia="仿宋_GB2312" w:cs="仿宋_GB2312"/>
                <w:b w:val="0"/>
                <w:bCs w:val="0"/>
                <w:kern w:val="0"/>
                <w:sz w:val="21"/>
                <w:szCs w:val="21"/>
              </w:rPr>
              <w:t>菏泽市“人才新政30条”中第16、17、22条政策未执行。</w:t>
            </w:r>
          </w:p>
        </w:tc>
      </w:tr>
      <w:tr>
        <w:tblPrEx>
          <w:tblCellMar>
            <w:top w:w="0" w:type="dxa"/>
            <w:left w:w="0" w:type="dxa"/>
            <w:bottom w:w="0" w:type="dxa"/>
            <w:right w:w="0" w:type="dxa"/>
          </w:tblCellMar>
        </w:tblPrEx>
        <w:trPr>
          <w:trHeight w:val="849" w:hRule="atLeast"/>
          <w:jc w:val="center"/>
        </w:trPr>
        <w:tc>
          <w:tcPr>
            <w:tcW w:w="1890" w:type="dxa"/>
            <w:vMerge w:val="continue"/>
            <w:tcBorders>
              <w:left w:val="single" w:color="auto" w:sz="4" w:space="0"/>
              <w:right w:val="single" w:color="auto" w:sz="4" w:space="0"/>
            </w:tcBorders>
            <w:noWrap/>
            <w:tcMar>
              <w:top w:w="12" w:type="dxa"/>
              <w:left w:w="12" w:type="dxa"/>
              <w:right w:w="12" w:type="dxa"/>
            </w:tcMar>
            <w:vAlign w:val="center"/>
          </w:tcPr>
          <w:p>
            <w:pPr>
              <w:widowControl/>
              <w:ind w:firstLine="0" w:firstLineChars="0"/>
              <w:jc w:val="center"/>
              <w:textAlignment w:val="center"/>
              <w:rPr>
                <w:rFonts w:hint="eastAsia" w:ascii="仿宋_GB2312" w:hAnsi="仿宋_GB2312" w:eastAsia="仿宋_GB2312" w:cs="仿宋_GB2312"/>
                <w:b w:val="0"/>
                <w:bCs w:val="0"/>
                <w:kern w:val="0"/>
                <w:sz w:val="21"/>
                <w:szCs w:val="21"/>
              </w:rPr>
            </w:pPr>
          </w:p>
        </w:tc>
        <w:tc>
          <w:tcPr>
            <w:tcW w:w="579"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hint="eastAsia" w:ascii="仿宋_GB2312" w:hAnsi="仿宋_GB2312" w:eastAsia="仿宋_GB2312" w:cs="仿宋_GB2312"/>
                <w:b w:val="0"/>
                <w:bCs w:val="0"/>
                <w:kern w:val="0"/>
                <w:sz w:val="21"/>
                <w:szCs w:val="21"/>
              </w:rPr>
            </w:pPr>
            <w:r>
              <w:rPr>
                <w:rFonts w:hint="eastAsia" w:ascii="仿宋_GB2312" w:hAnsi="仿宋_GB2312" w:eastAsia="仿宋_GB2312" w:cs="仿宋_GB2312"/>
                <w:b w:val="0"/>
                <w:bCs w:val="0"/>
                <w:kern w:val="0"/>
                <w:sz w:val="21"/>
                <w:szCs w:val="21"/>
              </w:rPr>
              <w:t>2</w:t>
            </w:r>
          </w:p>
        </w:tc>
        <w:tc>
          <w:tcPr>
            <w:tcW w:w="1684" w:type="dxa"/>
            <w:tcBorders>
              <w:top w:val="single" w:color="000000" w:sz="4" w:space="0"/>
              <w:left w:val="single" w:color="auto" w:sz="4" w:space="0"/>
              <w:bottom w:val="single" w:color="auto" w:sz="4" w:space="0"/>
              <w:right w:val="single" w:color="000000" w:sz="4" w:space="0"/>
            </w:tcBorders>
            <w:noWrap/>
            <w:tcMar>
              <w:top w:w="12" w:type="dxa"/>
              <w:left w:w="12" w:type="dxa"/>
              <w:right w:w="12" w:type="dxa"/>
            </w:tcMar>
            <w:vAlign w:val="center"/>
          </w:tcPr>
          <w:p>
            <w:pPr>
              <w:widowControl/>
              <w:ind w:firstLine="0" w:firstLineChars="0"/>
              <w:jc w:val="center"/>
              <w:textAlignment w:val="center"/>
              <w:rPr>
                <w:rFonts w:hint="eastAsia" w:ascii="仿宋_GB2312" w:hAnsi="仿宋_GB2312" w:eastAsia="仿宋_GB2312" w:cs="仿宋_GB2312"/>
                <w:b w:val="0"/>
                <w:bCs w:val="0"/>
                <w:kern w:val="0"/>
                <w:sz w:val="21"/>
                <w:szCs w:val="21"/>
              </w:rPr>
            </w:pPr>
            <w:r>
              <w:rPr>
                <w:rFonts w:hint="eastAsia" w:ascii="仿宋_GB2312" w:hAnsi="仿宋_GB2312" w:eastAsia="仿宋_GB2312" w:cs="仿宋_GB2312"/>
                <w:b w:val="0"/>
                <w:bCs w:val="0"/>
                <w:kern w:val="0"/>
                <w:sz w:val="21"/>
                <w:szCs w:val="21"/>
              </w:rPr>
              <w:t>市人才办、科技局</w:t>
            </w:r>
          </w:p>
        </w:tc>
        <w:tc>
          <w:tcPr>
            <w:tcW w:w="5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ind w:firstLine="0" w:firstLineChars="0"/>
              <w:jc w:val="left"/>
              <w:textAlignment w:val="center"/>
              <w:rPr>
                <w:rFonts w:hint="eastAsia" w:ascii="仿宋_GB2312" w:hAnsi="仿宋_GB2312" w:eastAsia="仿宋_GB2312" w:cs="仿宋_GB2312"/>
                <w:b w:val="0"/>
                <w:bCs w:val="0"/>
                <w:kern w:val="0"/>
                <w:sz w:val="21"/>
                <w:szCs w:val="21"/>
                <w:lang w:val="en-US" w:eastAsia="zh-CN"/>
              </w:rPr>
            </w:pPr>
            <w:r>
              <w:rPr>
                <w:rFonts w:hint="eastAsia" w:ascii="仿宋_GB2312" w:hAnsi="仿宋_GB2312" w:eastAsia="仿宋_GB2312" w:cs="仿宋_GB2312"/>
                <w:b w:val="0"/>
                <w:bCs w:val="0"/>
                <w:kern w:val="0"/>
                <w:sz w:val="21"/>
                <w:szCs w:val="21"/>
              </w:rPr>
              <w:t>“创优做强人才创新平台”政策中的引智成果示范推广基地现已不再申报</w:t>
            </w:r>
            <w:r>
              <w:rPr>
                <w:rFonts w:hint="eastAsia" w:ascii="仿宋_GB2312" w:hAnsi="仿宋_GB2312" w:cs="仿宋_GB2312"/>
                <w:b w:val="0"/>
                <w:bCs w:val="0"/>
                <w:kern w:val="0"/>
                <w:sz w:val="21"/>
                <w:szCs w:val="21"/>
                <w:lang w:eastAsia="zh-CN"/>
              </w:rPr>
              <w:t>。</w:t>
            </w:r>
            <w:bookmarkStart w:id="179" w:name="_GoBack"/>
            <w:bookmarkEnd w:id="179"/>
          </w:p>
        </w:tc>
      </w:tr>
      <w:tr>
        <w:tblPrEx>
          <w:tblCellMar>
            <w:top w:w="0" w:type="dxa"/>
            <w:left w:w="0" w:type="dxa"/>
            <w:bottom w:w="0" w:type="dxa"/>
            <w:right w:w="0" w:type="dxa"/>
          </w:tblCellMar>
        </w:tblPrEx>
        <w:trPr>
          <w:trHeight w:val="849" w:hRule="atLeast"/>
          <w:jc w:val="center"/>
        </w:trPr>
        <w:tc>
          <w:tcPr>
            <w:tcW w:w="1890" w:type="dxa"/>
            <w:vMerge w:val="restart"/>
            <w:tcBorders>
              <w:top w:val="single" w:color="auto" w:sz="4" w:space="0"/>
              <w:left w:val="single" w:color="auto" w:sz="4" w:space="0"/>
              <w:bottom w:val="single" w:color="auto" w:sz="4" w:space="0"/>
              <w:right w:val="single" w:color="auto" w:sz="4" w:space="0"/>
            </w:tcBorders>
            <w:noWrap/>
            <w:tcMar>
              <w:top w:w="12" w:type="dxa"/>
              <w:left w:w="12" w:type="dxa"/>
              <w:right w:w="12" w:type="dxa"/>
            </w:tcMar>
            <w:vAlign w:val="center"/>
          </w:tcPr>
          <w:p>
            <w:pPr>
              <w:widowControl/>
              <w:ind w:firstLine="0" w:firstLineChars="0"/>
              <w:jc w:val="center"/>
              <w:textAlignment w:val="center"/>
              <w:rPr>
                <w:rFonts w:hint="eastAsia" w:ascii="仿宋_GB2312" w:hAnsi="仿宋_GB2312" w:eastAsia="仿宋_GB2312" w:cs="仿宋_GB2312"/>
                <w:b w:val="0"/>
                <w:bCs w:val="0"/>
                <w:kern w:val="0"/>
                <w:sz w:val="21"/>
                <w:szCs w:val="21"/>
              </w:rPr>
            </w:pPr>
            <w:r>
              <w:rPr>
                <w:rFonts w:hint="eastAsia" w:ascii="仿宋_GB2312" w:hAnsi="仿宋_GB2312" w:eastAsia="仿宋_GB2312" w:cs="仿宋_GB2312"/>
                <w:b w:val="0"/>
                <w:bCs w:val="0"/>
                <w:kern w:val="0"/>
                <w:sz w:val="21"/>
                <w:szCs w:val="21"/>
              </w:rPr>
              <w:t>政策效果方面</w:t>
            </w:r>
          </w:p>
          <w:p>
            <w:pPr>
              <w:widowControl/>
              <w:ind w:firstLine="0" w:firstLineChars="0"/>
              <w:jc w:val="center"/>
              <w:textAlignment w:val="center"/>
              <w:rPr>
                <w:rFonts w:hint="eastAsia" w:ascii="仿宋_GB2312" w:hAnsi="仿宋_GB2312" w:eastAsia="仿宋_GB2312" w:cs="仿宋_GB2312"/>
                <w:b w:val="0"/>
                <w:bCs w:val="0"/>
                <w:kern w:val="0"/>
                <w:sz w:val="21"/>
                <w:szCs w:val="21"/>
              </w:rPr>
            </w:pPr>
            <w:r>
              <w:rPr>
                <w:rFonts w:hint="eastAsia" w:ascii="仿宋_GB2312" w:hAnsi="仿宋_GB2312" w:eastAsia="仿宋_GB2312" w:cs="仿宋_GB2312"/>
                <w:b w:val="0"/>
                <w:bCs w:val="0"/>
                <w:kern w:val="0"/>
                <w:sz w:val="21"/>
                <w:szCs w:val="21"/>
              </w:rPr>
              <w:t>存在的问题</w:t>
            </w:r>
          </w:p>
        </w:tc>
        <w:tc>
          <w:tcPr>
            <w:tcW w:w="579"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hint="eastAsia" w:ascii="仿宋_GB2312" w:hAnsi="仿宋_GB2312" w:eastAsia="仿宋_GB2312" w:cs="仿宋_GB2312"/>
                <w:b w:val="0"/>
                <w:bCs w:val="0"/>
                <w:kern w:val="0"/>
                <w:sz w:val="21"/>
                <w:szCs w:val="21"/>
              </w:rPr>
            </w:pPr>
            <w:r>
              <w:rPr>
                <w:rFonts w:hint="eastAsia" w:ascii="仿宋_GB2312" w:hAnsi="仿宋_GB2312" w:eastAsia="仿宋_GB2312" w:cs="仿宋_GB2312"/>
                <w:b w:val="0"/>
                <w:bCs w:val="0"/>
                <w:kern w:val="0"/>
                <w:sz w:val="21"/>
                <w:szCs w:val="21"/>
              </w:rPr>
              <w:t>1</w:t>
            </w:r>
          </w:p>
        </w:tc>
        <w:tc>
          <w:tcPr>
            <w:tcW w:w="1684" w:type="dxa"/>
            <w:tcBorders>
              <w:top w:val="single" w:color="auto" w:sz="4" w:space="0"/>
              <w:left w:val="single" w:color="auto" w:sz="4" w:space="0"/>
              <w:bottom w:val="single" w:color="auto" w:sz="4" w:space="0"/>
              <w:right w:val="single" w:color="auto" w:sz="4" w:space="0"/>
            </w:tcBorders>
            <w:noWrap/>
            <w:tcMar>
              <w:top w:w="12" w:type="dxa"/>
              <w:left w:w="12" w:type="dxa"/>
              <w:right w:w="12" w:type="dxa"/>
            </w:tcMar>
            <w:vAlign w:val="center"/>
          </w:tcPr>
          <w:p>
            <w:pPr>
              <w:widowControl/>
              <w:ind w:firstLine="0" w:firstLineChars="0"/>
              <w:jc w:val="center"/>
              <w:textAlignment w:val="center"/>
              <w:rPr>
                <w:rFonts w:hint="eastAsia" w:ascii="仿宋_GB2312" w:hAnsi="仿宋_GB2312" w:eastAsia="仿宋_GB2312" w:cs="仿宋_GB2312"/>
                <w:b w:val="0"/>
                <w:bCs w:val="0"/>
                <w:kern w:val="0"/>
                <w:sz w:val="21"/>
                <w:szCs w:val="21"/>
              </w:rPr>
            </w:pPr>
            <w:r>
              <w:rPr>
                <w:rFonts w:hint="eastAsia" w:ascii="仿宋_GB2312" w:hAnsi="仿宋_GB2312" w:eastAsia="仿宋_GB2312" w:cs="仿宋_GB2312"/>
                <w:b w:val="0"/>
                <w:bCs w:val="0"/>
                <w:kern w:val="0"/>
                <w:sz w:val="21"/>
                <w:szCs w:val="21"/>
              </w:rPr>
              <w:t>市科技局、市发改委</w:t>
            </w:r>
          </w:p>
        </w:tc>
        <w:tc>
          <w:tcPr>
            <w:tcW w:w="5193" w:type="dxa"/>
            <w:tcBorders>
              <w:top w:val="single" w:color="000000" w:sz="4" w:space="0"/>
              <w:left w:val="single" w:color="auto" w:sz="4" w:space="0"/>
              <w:bottom w:val="single" w:color="000000" w:sz="4" w:space="0"/>
              <w:right w:val="single" w:color="000000" w:sz="4" w:space="0"/>
            </w:tcBorders>
            <w:tcMar>
              <w:top w:w="12" w:type="dxa"/>
              <w:left w:w="12" w:type="dxa"/>
              <w:right w:w="12" w:type="dxa"/>
            </w:tcMar>
            <w:vAlign w:val="center"/>
          </w:tcPr>
          <w:p>
            <w:pPr>
              <w:widowControl/>
              <w:ind w:firstLine="0" w:firstLineChars="0"/>
              <w:jc w:val="left"/>
              <w:textAlignment w:val="center"/>
              <w:rPr>
                <w:rFonts w:hint="eastAsia" w:ascii="仿宋_GB2312" w:hAnsi="仿宋_GB2312" w:eastAsia="仿宋_GB2312" w:cs="仿宋_GB2312"/>
                <w:b w:val="0"/>
                <w:bCs w:val="0"/>
                <w:kern w:val="0"/>
                <w:sz w:val="21"/>
                <w:szCs w:val="21"/>
              </w:rPr>
            </w:pPr>
            <w:r>
              <w:rPr>
                <w:rFonts w:hint="eastAsia" w:ascii="仿宋_GB2312" w:hAnsi="仿宋_GB2312" w:eastAsia="仿宋_GB2312" w:cs="仿宋_GB2312"/>
                <w:b w:val="0"/>
                <w:bCs w:val="0"/>
                <w:kern w:val="0"/>
                <w:sz w:val="21"/>
                <w:szCs w:val="21"/>
              </w:rPr>
              <w:t>凯维思公司、艾酷搏纳米材料公司、继和科技公司未投产运营；中禾健元生物科技、绿宝珠生物肥业公司被撤销省级企业技术中心</w:t>
            </w:r>
          </w:p>
        </w:tc>
      </w:tr>
      <w:tr>
        <w:tblPrEx>
          <w:tblCellMar>
            <w:top w:w="0" w:type="dxa"/>
            <w:left w:w="0" w:type="dxa"/>
            <w:bottom w:w="0" w:type="dxa"/>
            <w:right w:w="0" w:type="dxa"/>
          </w:tblCellMar>
        </w:tblPrEx>
        <w:trPr>
          <w:trHeight w:val="849" w:hRule="atLeast"/>
          <w:jc w:val="center"/>
        </w:trPr>
        <w:tc>
          <w:tcPr>
            <w:tcW w:w="1890" w:type="dxa"/>
            <w:vMerge w:val="continue"/>
            <w:tcBorders>
              <w:top w:val="single" w:color="auto" w:sz="4" w:space="0"/>
              <w:left w:val="single" w:color="auto" w:sz="4" w:space="0"/>
              <w:bottom w:val="single" w:color="auto" w:sz="4" w:space="0"/>
              <w:right w:val="single" w:color="auto" w:sz="4" w:space="0"/>
            </w:tcBorders>
            <w:noWrap/>
            <w:tcMar>
              <w:top w:w="12" w:type="dxa"/>
              <w:left w:w="12" w:type="dxa"/>
              <w:right w:w="12" w:type="dxa"/>
            </w:tcMar>
            <w:vAlign w:val="center"/>
          </w:tcPr>
          <w:p>
            <w:pPr>
              <w:widowControl/>
              <w:ind w:firstLine="0" w:firstLineChars="0"/>
              <w:jc w:val="center"/>
              <w:textAlignment w:val="center"/>
              <w:rPr>
                <w:rFonts w:hint="eastAsia" w:ascii="仿宋_GB2312" w:hAnsi="仿宋_GB2312" w:eastAsia="仿宋_GB2312" w:cs="仿宋_GB2312"/>
                <w:b w:val="0"/>
                <w:bCs w:val="0"/>
                <w:kern w:val="0"/>
                <w:sz w:val="21"/>
                <w:szCs w:val="21"/>
              </w:rPr>
            </w:pPr>
          </w:p>
        </w:tc>
        <w:tc>
          <w:tcPr>
            <w:tcW w:w="579"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textAlignment w:val="center"/>
              <w:rPr>
                <w:rFonts w:hint="eastAsia" w:ascii="仿宋_GB2312" w:hAnsi="仿宋_GB2312" w:eastAsia="仿宋_GB2312" w:cs="仿宋_GB2312"/>
                <w:b w:val="0"/>
                <w:bCs w:val="0"/>
                <w:kern w:val="0"/>
                <w:sz w:val="21"/>
                <w:szCs w:val="21"/>
              </w:rPr>
            </w:pPr>
            <w:r>
              <w:rPr>
                <w:rFonts w:hint="eastAsia" w:ascii="仿宋_GB2312" w:hAnsi="仿宋_GB2312" w:eastAsia="仿宋_GB2312" w:cs="仿宋_GB2312"/>
                <w:b w:val="0"/>
                <w:bCs w:val="0"/>
                <w:kern w:val="0"/>
                <w:sz w:val="21"/>
                <w:szCs w:val="21"/>
              </w:rPr>
              <w:t>2</w:t>
            </w:r>
          </w:p>
        </w:tc>
        <w:tc>
          <w:tcPr>
            <w:tcW w:w="1684" w:type="dxa"/>
            <w:tcBorders>
              <w:top w:val="single" w:color="auto" w:sz="4" w:space="0"/>
              <w:left w:val="single" w:color="auto" w:sz="4" w:space="0"/>
              <w:bottom w:val="single" w:color="auto" w:sz="4" w:space="0"/>
              <w:right w:val="single" w:color="auto" w:sz="4" w:space="0"/>
            </w:tcBorders>
            <w:noWrap/>
            <w:tcMar>
              <w:top w:w="12" w:type="dxa"/>
              <w:left w:w="12" w:type="dxa"/>
              <w:right w:w="12" w:type="dxa"/>
            </w:tcMar>
            <w:vAlign w:val="center"/>
          </w:tcPr>
          <w:p>
            <w:pPr>
              <w:widowControl/>
              <w:ind w:firstLine="0" w:firstLineChars="0"/>
              <w:jc w:val="center"/>
              <w:textAlignment w:val="center"/>
              <w:rPr>
                <w:rFonts w:hint="eastAsia" w:ascii="仿宋_GB2312" w:hAnsi="仿宋_GB2312" w:eastAsia="仿宋_GB2312" w:cs="仿宋_GB2312"/>
                <w:b w:val="0"/>
                <w:bCs w:val="0"/>
                <w:kern w:val="0"/>
                <w:sz w:val="21"/>
                <w:szCs w:val="21"/>
              </w:rPr>
            </w:pPr>
            <w:r>
              <w:rPr>
                <w:rFonts w:hint="eastAsia" w:ascii="仿宋_GB2312" w:hAnsi="仿宋_GB2312" w:eastAsia="仿宋_GB2312" w:cs="仿宋_GB2312"/>
                <w:b w:val="0"/>
                <w:bCs w:val="0"/>
                <w:kern w:val="0"/>
                <w:sz w:val="21"/>
                <w:szCs w:val="21"/>
              </w:rPr>
              <w:t>各主管部门</w:t>
            </w:r>
          </w:p>
        </w:tc>
        <w:tc>
          <w:tcPr>
            <w:tcW w:w="5193" w:type="dxa"/>
            <w:tcBorders>
              <w:top w:val="single" w:color="000000" w:sz="4" w:space="0"/>
              <w:left w:val="single" w:color="auto" w:sz="4" w:space="0"/>
              <w:bottom w:val="single" w:color="000000" w:sz="4" w:space="0"/>
              <w:right w:val="single" w:color="000000" w:sz="4" w:space="0"/>
            </w:tcBorders>
            <w:tcMar>
              <w:top w:w="12" w:type="dxa"/>
              <w:left w:w="12" w:type="dxa"/>
              <w:right w:w="12" w:type="dxa"/>
            </w:tcMar>
            <w:vAlign w:val="center"/>
          </w:tcPr>
          <w:p>
            <w:pPr>
              <w:widowControl/>
              <w:ind w:firstLine="0" w:firstLineChars="0"/>
              <w:jc w:val="left"/>
              <w:textAlignment w:val="center"/>
              <w:rPr>
                <w:rFonts w:hint="eastAsia" w:ascii="仿宋_GB2312" w:hAnsi="仿宋_GB2312" w:eastAsia="仿宋_GB2312" w:cs="仿宋_GB2312"/>
                <w:b w:val="0"/>
                <w:bCs w:val="0"/>
                <w:kern w:val="0"/>
                <w:sz w:val="21"/>
                <w:szCs w:val="21"/>
              </w:rPr>
            </w:pPr>
            <w:r>
              <w:rPr>
                <w:rFonts w:hint="eastAsia" w:ascii="仿宋_GB2312" w:hAnsi="仿宋_GB2312" w:eastAsia="仿宋_GB2312" w:cs="仿宋_GB2312"/>
                <w:b w:val="0"/>
                <w:bCs w:val="0"/>
                <w:kern w:val="0"/>
                <w:sz w:val="21"/>
                <w:szCs w:val="21"/>
              </w:rPr>
              <w:t>补助对象（个人）满意度不足90%。（根据调查问卷，补助对象（个人）满意度为89.73%）</w:t>
            </w:r>
          </w:p>
        </w:tc>
      </w:tr>
      <w:tr>
        <w:tblPrEx>
          <w:tblCellMar>
            <w:top w:w="0" w:type="dxa"/>
            <w:left w:w="0" w:type="dxa"/>
            <w:bottom w:w="0" w:type="dxa"/>
            <w:right w:w="0" w:type="dxa"/>
          </w:tblCellMar>
        </w:tblPrEx>
        <w:trPr>
          <w:trHeight w:val="856" w:hRule="atLeast"/>
          <w:jc w:val="center"/>
        </w:trPr>
        <w:tc>
          <w:tcPr>
            <w:tcW w:w="9346" w:type="dxa"/>
            <w:gridSpan w:val="4"/>
            <w:tcBorders>
              <w:top w:val="single" w:color="000000" w:sz="4" w:space="0"/>
              <w:left w:val="single" w:color="000000" w:sz="4" w:space="0"/>
              <w:bottom w:val="single" w:color="000000" w:sz="4" w:space="0"/>
              <w:right w:val="single" w:color="000000" w:sz="4" w:space="0"/>
            </w:tcBorders>
          </w:tcPr>
          <w:p>
            <w:pPr>
              <w:widowControl/>
              <w:ind w:firstLine="0" w:firstLineChars="0"/>
              <w:textAlignment w:val="center"/>
              <w:rPr>
                <w:rFonts w:hint="eastAsia" w:ascii="仿宋_GB2312" w:hAnsi="仿宋_GB2312" w:eastAsia="仿宋_GB2312" w:cs="仿宋_GB2312"/>
                <w:b w:val="0"/>
                <w:bCs w:val="0"/>
                <w:kern w:val="0"/>
                <w:sz w:val="21"/>
                <w:szCs w:val="21"/>
              </w:rPr>
            </w:pPr>
            <w:r>
              <w:rPr>
                <w:rFonts w:hint="eastAsia" w:ascii="仿宋_GB2312" w:hAnsi="仿宋_GB2312" w:eastAsia="仿宋_GB2312" w:cs="仿宋_GB2312"/>
                <w:b w:val="0"/>
                <w:bCs w:val="0"/>
                <w:kern w:val="0"/>
                <w:sz w:val="21"/>
                <w:szCs w:val="21"/>
              </w:rPr>
              <w:t>备注：</w:t>
            </w:r>
          </w:p>
        </w:tc>
      </w:tr>
    </w:tbl>
    <w:p>
      <w:pPr>
        <w:widowControl/>
        <w:ind w:firstLine="0" w:firstLineChars="0"/>
        <w:jc w:val="left"/>
        <w:rPr>
          <w:rFonts w:asciiTheme="minorEastAsia" w:hAnsiTheme="minorEastAsia" w:eastAsiaTheme="minorEastAsia" w:cstheme="minorEastAsia"/>
          <w:b w:val="0"/>
          <w:bCs w:val="0"/>
          <w:sz w:val="32"/>
          <w:szCs w:val="32"/>
        </w:rPr>
      </w:pPr>
    </w:p>
    <w:sectPr>
      <w:pgSz w:w="11906" w:h="16838"/>
      <w:pgMar w:top="2155" w:right="1474" w:bottom="1928" w:left="1588" w:header="851" w:footer="992" w:gutter="0"/>
      <w:cols w:space="425"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185C890E-3E3D-46B6-8B67-6E0A59CF057B}"/>
  </w:font>
  <w:font w:name="黑体">
    <w:panose1 w:val="02010609060101010101"/>
    <w:charset w:val="86"/>
    <w:family w:val="auto"/>
    <w:pitch w:val="default"/>
    <w:sig w:usb0="800002BF" w:usb1="38CF7CFA" w:usb2="00000016" w:usb3="00000000" w:csb0="00040001" w:csb1="00000000"/>
    <w:embedRegular r:id="rId2" w:fontKey="{3718A79D-364E-479D-9F40-1B7D04B9F3F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E80F9E63-90C6-4D38-A87C-5C32B6F7D7CF}"/>
  </w:font>
  <w:font w:name="仿宋_GB2312">
    <w:panose1 w:val="02010609030101010101"/>
    <w:charset w:val="86"/>
    <w:family w:val="modern"/>
    <w:pitch w:val="default"/>
    <w:sig w:usb0="00000001" w:usb1="080E0000" w:usb2="00000000" w:usb3="00000000" w:csb0="00040000" w:csb1="00000000"/>
    <w:embedRegular r:id="rId4" w:fontKey="{C48F03F7-B77E-400F-B44C-10782584BC5B}"/>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embedRegular r:id="rId5" w:fontKey="{B54A52C8-A563-4811-AD56-22EEE335665C}"/>
  </w:font>
  <w:font w:name="华文中宋">
    <w:panose1 w:val="02010600040101010101"/>
    <w:charset w:val="86"/>
    <w:family w:val="auto"/>
    <w:pitch w:val="default"/>
    <w:sig w:usb0="00000287" w:usb1="080F0000" w:usb2="00000000" w:usb3="00000000" w:csb0="0004009F" w:csb1="DFD70000"/>
    <w:embedRegular r:id="rId6" w:fontKey="{2F0616EF-DD11-444D-85D7-FCA4BDD3CD7F}"/>
  </w:font>
  <w:font w:name="楷体_GB2312">
    <w:panose1 w:val="02010609030101010101"/>
    <w:charset w:val="86"/>
    <w:family w:val="modern"/>
    <w:pitch w:val="default"/>
    <w:sig w:usb0="00000001" w:usb1="080E0000" w:usb2="00000000" w:usb3="00000000" w:csb0="00040000" w:csb1="00000000"/>
    <w:embedRegular r:id="rId7" w:fontKey="{39FE7A7C-F8F4-4E97-BA29-A85286AD1C2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p>
    <w:pPr>
      <w:pStyle w:val="1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05964816"/>
    </w:sdtPr>
    <w:sdtContent>
      <w:p>
        <w:pPr>
          <w:pStyle w:val="12"/>
          <w:ind w:firstLine="360"/>
          <w:jc w:val="center"/>
        </w:pPr>
        <w:r>
          <w:fldChar w:fldCharType="begin"/>
        </w:r>
        <w:r>
          <w:instrText xml:space="preserve">PAGE   \* MERGEFORMAT</w:instrText>
        </w:r>
        <w:r>
          <w:fldChar w:fldCharType="separate"/>
        </w:r>
        <w:r>
          <w:rPr>
            <w:lang w:val="zh-CN"/>
          </w:rPr>
          <w:t>1</w:t>
        </w:r>
        <w:r>
          <w:fldChar w:fldCharType="end"/>
        </w:r>
      </w:p>
    </w:sdtContent>
  </w:sdt>
  <w:p>
    <w:pPr>
      <w:pStyle w:val="12"/>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54742638"/>
    </w:sdtPr>
    <w:sdtContent>
      <w:p>
        <w:pPr>
          <w:pStyle w:val="12"/>
          <w:ind w:firstLine="360"/>
          <w:jc w:val="center"/>
        </w:pPr>
        <w:r>
          <w:fldChar w:fldCharType="begin"/>
        </w:r>
        <w:r>
          <w:instrText xml:space="preserve">PAGE   \* MERGEFORMAT</w:instrText>
        </w:r>
        <w:r>
          <w:fldChar w:fldCharType="separate"/>
        </w:r>
        <w:r>
          <w:rPr>
            <w:lang w:val="zh-CN"/>
          </w:rPr>
          <w:t>107</w:t>
        </w:r>
        <w:r>
          <w:fldChar w:fldCharType="end"/>
        </w:r>
      </w:p>
    </w:sdtContent>
  </w:sdt>
  <w:p>
    <w:pPr>
      <w:pStyle w:val="1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56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documentProtection w:enforcement="0"/>
  <w:defaultTabStop w:val="420"/>
  <w:drawingGridHorizontalSpacing w:val="140"/>
  <w:drawingGridVerticalSpacing w:val="381"/>
  <w:displayHorizont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1C64AC"/>
    <w:rsid w:val="00000034"/>
    <w:rsid w:val="00000D03"/>
    <w:rsid w:val="000016CF"/>
    <w:rsid w:val="00001F2A"/>
    <w:rsid w:val="0000300F"/>
    <w:rsid w:val="00003091"/>
    <w:rsid w:val="00004953"/>
    <w:rsid w:val="0000554D"/>
    <w:rsid w:val="00005A7D"/>
    <w:rsid w:val="00005AEF"/>
    <w:rsid w:val="000063F7"/>
    <w:rsid w:val="0000755A"/>
    <w:rsid w:val="0000770E"/>
    <w:rsid w:val="000078A7"/>
    <w:rsid w:val="00010CF7"/>
    <w:rsid w:val="00010E3A"/>
    <w:rsid w:val="00011E9E"/>
    <w:rsid w:val="000139F2"/>
    <w:rsid w:val="00014F43"/>
    <w:rsid w:val="00015B67"/>
    <w:rsid w:val="00015B70"/>
    <w:rsid w:val="00017D75"/>
    <w:rsid w:val="00020BE1"/>
    <w:rsid w:val="00020CA9"/>
    <w:rsid w:val="00020CB2"/>
    <w:rsid w:val="00023F9C"/>
    <w:rsid w:val="00024BF7"/>
    <w:rsid w:val="00025AD8"/>
    <w:rsid w:val="00026336"/>
    <w:rsid w:val="00027152"/>
    <w:rsid w:val="000303E4"/>
    <w:rsid w:val="00030809"/>
    <w:rsid w:val="0003104D"/>
    <w:rsid w:val="00031172"/>
    <w:rsid w:val="00032409"/>
    <w:rsid w:val="0003346F"/>
    <w:rsid w:val="0003387D"/>
    <w:rsid w:val="00035223"/>
    <w:rsid w:val="00035B98"/>
    <w:rsid w:val="00037509"/>
    <w:rsid w:val="00037777"/>
    <w:rsid w:val="00037B12"/>
    <w:rsid w:val="000417CB"/>
    <w:rsid w:val="00043390"/>
    <w:rsid w:val="0004571E"/>
    <w:rsid w:val="00045F2D"/>
    <w:rsid w:val="000466DF"/>
    <w:rsid w:val="00046DE6"/>
    <w:rsid w:val="0004761B"/>
    <w:rsid w:val="00047B17"/>
    <w:rsid w:val="00047BA5"/>
    <w:rsid w:val="00051CCD"/>
    <w:rsid w:val="00052657"/>
    <w:rsid w:val="00052BE3"/>
    <w:rsid w:val="00053A04"/>
    <w:rsid w:val="000540A1"/>
    <w:rsid w:val="00054F0E"/>
    <w:rsid w:val="000554E8"/>
    <w:rsid w:val="00055B58"/>
    <w:rsid w:val="000564B1"/>
    <w:rsid w:val="00057535"/>
    <w:rsid w:val="00057823"/>
    <w:rsid w:val="00062E1F"/>
    <w:rsid w:val="00063B38"/>
    <w:rsid w:val="00063F88"/>
    <w:rsid w:val="0006718A"/>
    <w:rsid w:val="0006735F"/>
    <w:rsid w:val="000677FE"/>
    <w:rsid w:val="00067B4C"/>
    <w:rsid w:val="00073150"/>
    <w:rsid w:val="000739F7"/>
    <w:rsid w:val="00073EA5"/>
    <w:rsid w:val="00076C03"/>
    <w:rsid w:val="00076EB6"/>
    <w:rsid w:val="0007740E"/>
    <w:rsid w:val="00077B63"/>
    <w:rsid w:val="00081196"/>
    <w:rsid w:val="00081ADC"/>
    <w:rsid w:val="00083245"/>
    <w:rsid w:val="00083CC8"/>
    <w:rsid w:val="000848A3"/>
    <w:rsid w:val="00084FD8"/>
    <w:rsid w:val="00085446"/>
    <w:rsid w:val="00090D56"/>
    <w:rsid w:val="00091310"/>
    <w:rsid w:val="000918DF"/>
    <w:rsid w:val="0009199A"/>
    <w:rsid w:val="00091A17"/>
    <w:rsid w:val="000927E4"/>
    <w:rsid w:val="000934BE"/>
    <w:rsid w:val="000936B8"/>
    <w:rsid w:val="000939E6"/>
    <w:rsid w:val="00093F0E"/>
    <w:rsid w:val="00095BB4"/>
    <w:rsid w:val="00095BEF"/>
    <w:rsid w:val="00096599"/>
    <w:rsid w:val="000965ED"/>
    <w:rsid w:val="000A126D"/>
    <w:rsid w:val="000A19EB"/>
    <w:rsid w:val="000A1A36"/>
    <w:rsid w:val="000A22E7"/>
    <w:rsid w:val="000A403F"/>
    <w:rsid w:val="000A406D"/>
    <w:rsid w:val="000A4B28"/>
    <w:rsid w:val="000A6F63"/>
    <w:rsid w:val="000B039F"/>
    <w:rsid w:val="000B1AE5"/>
    <w:rsid w:val="000B220E"/>
    <w:rsid w:val="000B2C02"/>
    <w:rsid w:val="000B2C31"/>
    <w:rsid w:val="000B5193"/>
    <w:rsid w:val="000B5B95"/>
    <w:rsid w:val="000B625A"/>
    <w:rsid w:val="000B6AC7"/>
    <w:rsid w:val="000B6C11"/>
    <w:rsid w:val="000C180C"/>
    <w:rsid w:val="000C2F8E"/>
    <w:rsid w:val="000C3A54"/>
    <w:rsid w:val="000C5A5A"/>
    <w:rsid w:val="000C76CC"/>
    <w:rsid w:val="000C79BB"/>
    <w:rsid w:val="000C7BDA"/>
    <w:rsid w:val="000D0BA1"/>
    <w:rsid w:val="000D3FDA"/>
    <w:rsid w:val="000D3FFE"/>
    <w:rsid w:val="000D41F0"/>
    <w:rsid w:val="000D4F67"/>
    <w:rsid w:val="000E0384"/>
    <w:rsid w:val="000E10E1"/>
    <w:rsid w:val="000E23EC"/>
    <w:rsid w:val="000E2B22"/>
    <w:rsid w:val="000E2E28"/>
    <w:rsid w:val="000E3F8D"/>
    <w:rsid w:val="000E4A17"/>
    <w:rsid w:val="000E4F79"/>
    <w:rsid w:val="000E55F7"/>
    <w:rsid w:val="000E58CE"/>
    <w:rsid w:val="000E5ABC"/>
    <w:rsid w:val="000E5D19"/>
    <w:rsid w:val="000F3028"/>
    <w:rsid w:val="000F375D"/>
    <w:rsid w:val="000F4877"/>
    <w:rsid w:val="000F73D0"/>
    <w:rsid w:val="000F7EBA"/>
    <w:rsid w:val="00100748"/>
    <w:rsid w:val="00102187"/>
    <w:rsid w:val="00102E96"/>
    <w:rsid w:val="00103E84"/>
    <w:rsid w:val="00105151"/>
    <w:rsid w:val="00106C76"/>
    <w:rsid w:val="001107D0"/>
    <w:rsid w:val="00111BE5"/>
    <w:rsid w:val="001127A5"/>
    <w:rsid w:val="001142AF"/>
    <w:rsid w:val="00114C62"/>
    <w:rsid w:val="001163B0"/>
    <w:rsid w:val="00116525"/>
    <w:rsid w:val="0012093B"/>
    <w:rsid w:val="00121876"/>
    <w:rsid w:val="00122319"/>
    <w:rsid w:val="001224C2"/>
    <w:rsid w:val="00124672"/>
    <w:rsid w:val="00125846"/>
    <w:rsid w:val="001260AA"/>
    <w:rsid w:val="001278BD"/>
    <w:rsid w:val="00127CD6"/>
    <w:rsid w:val="00130F5D"/>
    <w:rsid w:val="00134337"/>
    <w:rsid w:val="001354EB"/>
    <w:rsid w:val="0013573A"/>
    <w:rsid w:val="001369E8"/>
    <w:rsid w:val="00143570"/>
    <w:rsid w:val="00143DD1"/>
    <w:rsid w:val="00144269"/>
    <w:rsid w:val="0014534A"/>
    <w:rsid w:val="0014535C"/>
    <w:rsid w:val="001473DB"/>
    <w:rsid w:val="0014771A"/>
    <w:rsid w:val="0015213D"/>
    <w:rsid w:val="001525BD"/>
    <w:rsid w:val="00152D93"/>
    <w:rsid w:val="00153124"/>
    <w:rsid w:val="00153E47"/>
    <w:rsid w:val="00154C54"/>
    <w:rsid w:val="00157BEB"/>
    <w:rsid w:val="00160079"/>
    <w:rsid w:val="001603E3"/>
    <w:rsid w:val="00160AA3"/>
    <w:rsid w:val="00162434"/>
    <w:rsid w:val="00162491"/>
    <w:rsid w:val="001628FC"/>
    <w:rsid w:val="00163476"/>
    <w:rsid w:val="00163C52"/>
    <w:rsid w:val="00163CE1"/>
    <w:rsid w:val="00163F4E"/>
    <w:rsid w:val="00164162"/>
    <w:rsid w:val="00164376"/>
    <w:rsid w:val="001649EF"/>
    <w:rsid w:val="00165631"/>
    <w:rsid w:val="00165F6E"/>
    <w:rsid w:val="00170421"/>
    <w:rsid w:val="001722E3"/>
    <w:rsid w:val="001745D1"/>
    <w:rsid w:val="0017488A"/>
    <w:rsid w:val="00174DD9"/>
    <w:rsid w:val="001752B1"/>
    <w:rsid w:val="00177086"/>
    <w:rsid w:val="00177B8C"/>
    <w:rsid w:val="00177CEE"/>
    <w:rsid w:val="00180264"/>
    <w:rsid w:val="001809EA"/>
    <w:rsid w:val="001813EE"/>
    <w:rsid w:val="00182CEF"/>
    <w:rsid w:val="001840E5"/>
    <w:rsid w:val="00184A7F"/>
    <w:rsid w:val="00185168"/>
    <w:rsid w:val="00185881"/>
    <w:rsid w:val="00187606"/>
    <w:rsid w:val="001903E3"/>
    <w:rsid w:val="00191441"/>
    <w:rsid w:val="00191556"/>
    <w:rsid w:val="00191645"/>
    <w:rsid w:val="00191DB0"/>
    <w:rsid w:val="001925E1"/>
    <w:rsid w:val="00192609"/>
    <w:rsid w:val="00194578"/>
    <w:rsid w:val="00195621"/>
    <w:rsid w:val="00195956"/>
    <w:rsid w:val="00195E01"/>
    <w:rsid w:val="001966B0"/>
    <w:rsid w:val="00197570"/>
    <w:rsid w:val="001A03E0"/>
    <w:rsid w:val="001A04E6"/>
    <w:rsid w:val="001A154A"/>
    <w:rsid w:val="001A2268"/>
    <w:rsid w:val="001A315E"/>
    <w:rsid w:val="001A3655"/>
    <w:rsid w:val="001A57C1"/>
    <w:rsid w:val="001A61DE"/>
    <w:rsid w:val="001B0B39"/>
    <w:rsid w:val="001B15C9"/>
    <w:rsid w:val="001B16E6"/>
    <w:rsid w:val="001B2A21"/>
    <w:rsid w:val="001B2C90"/>
    <w:rsid w:val="001B4557"/>
    <w:rsid w:val="001B4E5F"/>
    <w:rsid w:val="001B6660"/>
    <w:rsid w:val="001B704A"/>
    <w:rsid w:val="001B73A0"/>
    <w:rsid w:val="001B7C59"/>
    <w:rsid w:val="001C096F"/>
    <w:rsid w:val="001C0F94"/>
    <w:rsid w:val="001C16F3"/>
    <w:rsid w:val="001C1D85"/>
    <w:rsid w:val="001C4210"/>
    <w:rsid w:val="001C49FB"/>
    <w:rsid w:val="001C62B6"/>
    <w:rsid w:val="001C64AC"/>
    <w:rsid w:val="001C6C12"/>
    <w:rsid w:val="001C7737"/>
    <w:rsid w:val="001D053F"/>
    <w:rsid w:val="001D0E1C"/>
    <w:rsid w:val="001D192F"/>
    <w:rsid w:val="001D1D5D"/>
    <w:rsid w:val="001D27B5"/>
    <w:rsid w:val="001D2B16"/>
    <w:rsid w:val="001D3EF7"/>
    <w:rsid w:val="001D4274"/>
    <w:rsid w:val="001D591B"/>
    <w:rsid w:val="001D6504"/>
    <w:rsid w:val="001D798C"/>
    <w:rsid w:val="001D7FF3"/>
    <w:rsid w:val="001E06EB"/>
    <w:rsid w:val="001E13A7"/>
    <w:rsid w:val="001E217E"/>
    <w:rsid w:val="001E2602"/>
    <w:rsid w:val="001E2A94"/>
    <w:rsid w:val="001E3B0B"/>
    <w:rsid w:val="001E45D2"/>
    <w:rsid w:val="001E6291"/>
    <w:rsid w:val="001E6753"/>
    <w:rsid w:val="001E6D17"/>
    <w:rsid w:val="001E6D24"/>
    <w:rsid w:val="001E78C1"/>
    <w:rsid w:val="001F0238"/>
    <w:rsid w:val="001F07FC"/>
    <w:rsid w:val="001F1E5C"/>
    <w:rsid w:val="001F2680"/>
    <w:rsid w:val="001F2829"/>
    <w:rsid w:val="001F3306"/>
    <w:rsid w:val="001F4390"/>
    <w:rsid w:val="001F4532"/>
    <w:rsid w:val="001F4B0E"/>
    <w:rsid w:val="001F5ECE"/>
    <w:rsid w:val="001F7689"/>
    <w:rsid w:val="0020014C"/>
    <w:rsid w:val="002001E8"/>
    <w:rsid w:val="002015F9"/>
    <w:rsid w:val="00204275"/>
    <w:rsid w:val="00205554"/>
    <w:rsid w:val="00205844"/>
    <w:rsid w:val="00205D22"/>
    <w:rsid w:val="00206883"/>
    <w:rsid w:val="00206C59"/>
    <w:rsid w:val="00206CC5"/>
    <w:rsid w:val="002077CE"/>
    <w:rsid w:val="002106C5"/>
    <w:rsid w:val="002118A8"/>
    <w:rsid w:val="002128D3"/>
    <w:rsid w:val="0021347A"/>
    <w:rsid w:val="00213C32"/>
    <w:rsid w:val="00214623"/>
    <w:rsid w:val="0021675A"/>
    <w:rsid w:val="00216A38"/>
    <w:rsid w:val="00217072"/>
    <w:rsid w:val="00217607"/>
    <w:rsid w:val="00220867"/>
    <w:rsid w:val="00220B38"/>
    <w:rsid w:val="00221E20"/>
    <w:rsid w:val="00222C62"/>
    <w:rsid w:val="00222E66"/>
    <w:rsid w:val="0022377E"/>
    <w:rsid w:val="0022382E"/>
    <w:rsid w:val="002245EF"/>
    <w:rsid w:val="00224688"/>
    <w:rsid w:val="002263DD"/>
    <w:rsid w:val="002310D7"/>
    <w:rsid w:val="00232275"/>
    <w:rsid w:val="00233887"/>
    <w:rsid w:val="002338FB"/>
    <w:rsid w:val="00233F39"/>
    <w:rsid w:val="00234703"/>
    <w:rsid w:val="002357A9"/>
    <w:rsid w:val="00236017"/>
    <w:rsid w:val="00236EFC"/>
    <w:rsid w:val="002373A9"/>
    <w:rsid w:val="0024055E"/>
    <w:rsid w:val="00241CEB"/>
    <w:rsid w:val="00246C64"/>
    <w:rsid w:val="002514F4"/>
    <w:rsid w:val="0025184E"/>
    <w:rsid w:val="00253FC7"/>
    <w:rsid w:val="00254D5A"/>
    <w:rsid w:val="002550DD"/>
    <w:rsid w:val="002571F7"/>
    <w:rsid w:val="00261EDA"/>
    <w:rsid w:val="0026463E"/>
    <w:rsid w:val="0026465B"/>
    <w:rsid w:val="002653ED"/>
    <w:rsid w:val="00266A2B"/>
    <w:rsid w:val="00267192"/>
    <w:rsid w:val="00270E93"/>
    <w:rsid w:val="00271851"/>
    <w:rsid w:val="00271D94"/>
    <w:rsid w:val="0027263B"/>
    <w:rsid w:val="00273B3C"/>
    <w:rsid w:val="00274BF2"/>
    <w:rsid w:val="00274C39"/>
    <w:rsid w:val="002750FF"/>
    <w:rsid w:val="00275F68"/>
    <w:rsid w:val="002763DB"/>
    <w:rsid w:val="002779D4"/>
    <w:rsid w:val="00277A0A"/>
    <w:rsid w:val="00277DF1"/>
    <w:rsid w:val="002804FF"/>
    <w:rsid w:val="00281783"/>
    <w:rsid w:val="00281B20"/>
    <w:rsid w:val="00281F34"/>
    <w:rsid w:val="00283223"/>
    <w:rsid w:val="00283D74"/>
    <w:rsid w:val="00284732"/>
    <w:rsid w:val="00285A12"/>
    <w:rsid w:val="00286231"/>
    <w:rsid w:val="002868B6"/>
    <w:rsid w:val="00287531"/>
    <w:rsid w:val="00287B21"/>
    <w:rsid w:val="00287DAE"/>
    <w:rsid w:val="002903FF"/>
    <w:rsid w:val="00290D5C"/>
    <w:rsid w:val="00293762"/>
    <w:rsid w:val="002947D8"/>
    <w:rsid w:val="00295965"/>
    <w:rsid w:val="002963FA"/>
    <w:rsid w:val="00296BDD"/>
    <w:rsid w:val="002A0271"/>
    <w:rsid w:val="002A033F"/>
    <w:rsid w:val="002A05FF"/>
    <w:rsid w:val="002A1C04"/>
    <w:rsid w:val="002A1E8E"/>
    <w:rsid w:val="002A4765"/>
    <w:rsid w:val="002A4E47"/>
    <w:rsid w:val="002A5612"/>
    <w:rsid w:val="002A59EC"/>
    <w:rsid w:val="002A6053"/>
    <w:rsid w:val="002A69C2"/>
    <w:rsid w:val="002A7098"/>
    <w:rsid w:val="002A76D0"/>
    <w:rsid w:val="002B3C62"/>
    <w:rsid w:val="002B3E03"/>
    <w:rsid w:val="002B4174"/>
    <w:rsid w:val="002B4C92"/>
    <w:rsid w:val="002B5DBE"/>
    <w:rsid w:val="002B6678"/>
    <w:rsid w:val="002B6B8A"/>
    <w:rsid w:val="002B6D30"/>
    <w:rsid w:val="002C0EF7"/>
    <w:rsid w:val="002C1B49"/>
    <w:rsid w:val="002C390F"/>
    <w:rsid w:val="002C478E"/>
    <w:rsid w:val="002C535E"/>
    <w:rsid w:val="002C5E6D"/>
    <w:rsid w:val="002C6664"/>
    <w:rsid w:val="002C7B64"/>
    <w:rsid w:val="002D0471"/>
    <w:rsid w:val="002D0DE0"/>
    <w:rsid w:val="002D1B78"/>
    <w:rsid w:val="002D2178"/>
    <w:rsid w:val="002D3504"/>
    <w:rsid w:val="002D3939"/>
    <w:rsid w:val="002D4095"/>
    <w:rsid w:val="002D42CD"/>
    <w:rsid w:val="002D492D"/>
    <w:rsid w:val="002D5857"/>
    <w:rsid w:val="002D5DD4"/>
    <w:rsid w:val="002D609C"/>
    <w:rsid w:val="002D72D7"/>
    <w:rsid w:val="002D7F89"/>
    <w:rsid w:val="002E09E2"/>
    <w:rsid w:val="002E1FBF"/>
    <w:rsid w:val="002E298E"/>
    <w:rsid w:val="002E6AE7"/>
    <w:rsid w:val="002E7738"/>
    <w:rsid w:val="002F2BDA"/>
    <w:rsid w:val="002F2F6B"/>
    <w:rsid w:val="002F2FF2"/>
    <w:rsid w:val="002F3AF8"/>
    <w:rsid w:val="002F4A55"/>
    <w:rsid w:val="002F6560"/>
    <w:rsid w:val="002F67D9"/>
    <w:rsid w:val="003016D5"/>
    <w:rsid w:val="00305856"/>
    <w:rsid w:val="0030611F"/>
    <w:rsid w:val="00306208"/>
    <w:rsid w:val="0030657E"/>
    <w:rsid w:val="003108E8"/>
    <w:rsid w:val="003114D5"/>
    <w:rsid w:val="00311B01"/>
    <w:rsid w:val="00313EF3"/>
    <w:rsid w:val="003141A8"/>
    <w:rsid w:val="00314CAD"/>
    <w:rsid w:val="00316956"/>
    <w:rsid w:val="00316CA9"/>
    <w:rsid w:val="00317F95"/>
    <w:rsid w:val="0032004D"/>
    <w:rsid w:val="00320D19"/>
    <w:rsid w:val="003217A0"/>
    <w:rsid w:val="00321AA3"/>
    <w:rsid w:val="00321AB6"/>
    <w:rsid w:val="00322668"/>
    <w:rsid w:val="00322B1C"/>
    <w:rsid w:val="00324D5D"/>
    <w:rsid w:val="0032671C"/>
    <w:rsid w:val="00327BE8"/>
    <w:rsid w:val="00332458"/>
    <w:rsid w:val="00332C69"/>
    <w:rsid w:val="003334DA"/>
    <w:rsid w:val="00333ABF"/>
    <w:rsid w:val="00333BBB"/>
    <w:rsid w:val="003342D6"/>
    <w:rsid w:val="0033545F"/>
    <w:rsid w:val="00335B5E"/>
    <w:rsid w:val="003365A5"/>
    <w:rsid w:val="003373C1"/>
    <w:rsid w:val="0034021C"/>
    <w:rsid w:val="00340613"/>
    <w:rsid w:val="003429F5"/>
    <w:rsid w:val="00342D79"/>
    <w:rsid w:val="00346321"/>
    <w:rsid w:val="0034634D"/>
    <w:rsid w:val="0035149E"/>
    <w:rsid w:val="00351967"/>
    <w:rsid w:val="00352634"/>
    <w:rsid w:val="00352712"/>
    <w:rsid w:val="0035581E"/>
    <w:rsid w:val="00355DC8"/>
    <w:rsid w:val="00356129"/>
    <w:rsid w:val="00356448"/>
    <w:rsid w:val="003566C1"/>
    <w:rsid w:val="003567E4"/>
    <w:rsid w:val="00356868"/>
    <w:rsid w:val="003570D0"/>
    <w:rsid w:val="003605CF"/>
    <w:rsid w:val="003630BA"/>
    <w:rsid w:val="0036408A"/>
    <w:rsid w:val="00365252"/>
    <w:rsid w:val="0036586F"/>
    <w:rsid w:val="00366905"/>
    <w:rsid w:val="003703E6"/>
    <w:rsid w:val="00370662"/>
    <w:rsid w:val="003706E9"/>
    <w:rsid w:val="00370B37"/>
    <w:rsid w:val="00371641"/>
    <w:rsid w:val="00372456"/>
    <w:rsid w:val="00374B6D"/>
    <w:rsid w:val="00374BB6"/>
    <w:rsid w:val="00375B5B"/>
    <w:rsid w:val="00376210"/>
    <w:rsid w:val="00377A28"/>
    <w:rsid w:val="00380600"/>
    <w:rsid w:val="003809C6"/>
    <w:rsid w:val="00380A49"/>
    <w:rsid w:val="00380DF0"/>
    <w:rsid w:val="003813D8"/>
    <w:rsid w:val="003820A0"/>
    <w:rsid w:val="00384D4C"/>
    <w:rsid w:val="00385A41"/>
    <w:rsid w:val="00385DCF"/>
    <w:rsid w:val="003862CE"/>
    <w:rsid w:val="003879BF"/>
    <w:rsid w:val="003906B7"/>
    <w:rsid w:val="003913F9"/>
    <w:rsid w:val="003917CF"/>
    <w:rsid w:val="00392519"/>
    <w:rsid w:val="003933EE"/>
    <w:rsid w:val="00394D2E"/>
    <w:rsid w:val="00395655"/>
    <w:rsid w:val="003A1A6D"/>
    <w:rsid w:val="003A40D8"/>
    <w:rsid w:val="003A5F2C"/>
    <w:rsid w:val="003A7024"/>
    <w:rsid w:val="003A799A"/>
    <w:rsid w:val="003B0A53"/>
    <w:rsid w:val="003B1A9D"/>
    <w:rsid w:val="003B2348"/>
    <w:rsid w:val="003B2C0F"/>
    <w:rsid w:val="003B3878"/>
    <w:rsid w:val="003B436B"/>
    <w:rsid w:val="003B49E3"/>
    <w:rsid w:val="003B5143"/>
    <w:rsid w:val="003B6574"/>
    <w:rsid w:val="003B660E"/>
    <w:rsid w:val="003B6BD9"/>
    <w:rsid w:val="003B6C61"/>
    <w:rsid w:val="003B7C95"/>
    <w:rsid w:val="003C0AF4"/>
    <w:rsid w:val="003C0DD3"/>
    <w:rsid w:val="003C1792"/>
    <w:rsid w:val="003C17C2"/>
    <w:rsid w:val="003C38C3"/>
    <w:rsid w:val="003C46D9"/>
    <w:rsid w:val="003C47E0"/>
    <w:rsid w:val="003C4BB9"/>
    <w:rsid w:val="003C6C4A"/>
    <w:rsid w:val="003C6FF8"/>
    <w:rsid w:val="003C7730"/>
    <w:rsid w:val="003D1508"/>
    <w:rsid w:val="003D18C3"/>
    <w:rsid w:val="003D1952"/>
    <w:rsid w:val="003D22CC"/>
    <w:rsid w:val="003D23D8"/>
    <w:rsid w:val="003D30EE"/>
    <w:rsid w:val="003D4CC5"/>
    <w:rsid w:val="003D6411"/>
    <w:rsid w:val="003D6BCF"/>
    <w:rsid w:val="003E006F"/>
    <w:rsid w:val="003E0271"/>
    <w:rsid w:val="003E034D"/>
    <w:rsid w:val="003E0D73"/>
    <w:rsid w:val="003E12E2"/>
    <w:rsid w:val="003E2828"/>
    <w:rsid w:val="003E2B2F"/>
    <w:rsid w:val="003E3365"/>
    <w:rsid w:val="003E57C8"/>
    <w:rsid w:val="003E5C91"/>
    <w:rsid w:val="003E6A9E"/>
    <w:rsid w:val="003F0FA8"/>
    <w:rsid w:val="003F2186"/>
    <w:rsid w:val="003F2B65"/>
    <w:rsid w:val="003F2D63"/>
    <w:rsid w:val="003F3075"/>
    <w:rsid w:val="003F3432"/>
    <w:rsid w:val="003F369A"/>
    <w:rsid w:val="003F3BB3"/>
    <w:rsid w:val="003F5054"/>
    <w:rsid w:val="003F621E"/>
    <w:rsid w:val="003F6A68"/>
    <w:rsid w:val="003F6D95"/>
    <w:rsid w:val="003F782E"/>
    <w:rsid w:val="003F79BF"/>
    <w:rsid w:val="003F7D55"/>
    <w:rsid w:val="003F7E27"/>
    <w:rsid w:val="00400307"/>
    <w:rsid w:val="0040150F"/>
    <w:rsid w:val="00402121"/>
    <w:rsid w:val="004028FC"/>
    <w:rsid w:val="00402D9C"/>
    <w:rsid w:val="00403883"/>
    <w:rsid w:val="0040388E"/>
    <w:rsid w:val="00403C4D"/>
    <w:rsid w:val="004047B1"/>
    <w:rsid w:val="00405455"/>
    <w:rsid w:val="0040562F"/>
    <w:rsid w:val="004069D3"/>
    <w:rsid w:val="00407200"/>
    <w:rsid w:val="004100D7"/>
    <w:rsid w:val="00410C02"/>
    <w:rsid w:val="00411704"/>
    <w:rsid w:val="004164AA"/>
    <w:rsid w:val="00416661"/>
    <w:rsid w:val="00417A0E"/>
    <w:rsid w:val="00417C2B"/>
    <w:rsid w:val="004220F9"/>
    <w:rsid w:val="00422B39"/>
    <w:rsid w:val="00423135"/>
    <w:rsid w:val="004240D2"/>
    <w:rsid w:val="00424C73"/>
    <w:rsid w:val="00430131"/>
    <w:rsid w:val="00430F03"/>
    <w:rsid w:val="00432970"/>
    <w:rsid w:val="0043338A"/>
    <w:rsid w:val="00433CA2"/>
    <w:rsid w:val="004340B5"/>
    <w:rsid w:val="00437334"/>
    <w:rsid w:val="00441398"/>
    <w:rsid w:val="00443B6B"/>
    <w:rsid w:val="00444890"/>
    <w:rsid w:val="00444E63"/>
    <w:rsid w:val="004457BA"/>
    <w:rsid w:val="00446BBC"/>
    <w:rsid w:val="004503E4"/>
    <w:rsid w:val="00450BEB"/>
    <w:rsid w:val="0045150D"/>
    <w:rsid w:val="004531AD"/>
    <w:rsid w:val="0045409A"/>
    <w:rsid w:val="00456038"/>
    <w:rsid w:val="0045791A"/>
    <w:rsid w:val="00460526"/>
    <w:rsid w:val="004606A0"/>
    <w:rsid w:val="0046283D"/>
    <w:rsid w:val="00463BEE"/>
    <w:rsid w:val="004647A4"/>
    <w:rsid w:val="0046573B"/>
    <w:rsid w:val="00465B37"/>
    <w:rsid w:val="004679CC"/>
    <w:rsid w:val="00467F51"/>
    <w:rsid w:val="00467FC9"/>
    <w:rsid w:val="00467FF2"/>
    <w:rsid w:val="0047091D"/>
    <w:rsid w:val="00470DD7"/>
    <w:rsid w:val="00472108"/>
    <w:rsid w:val="00472B60"/>
    <w:rsid w:val="00472CD5"/>
    <w:rsid w:val="00474CBC"/>
    <w:rsid w:val="00474CE7"/>
    <w:rsid w:val="00475509"/>
    <w:rsid w:val="0047598D"/>
    <w:rsid w:val="00477242"/>
    <w:rsid w:val="0047762D"/>
    <w:rsid w:val="00480C89"/>
    <w:rsid w:val="00480CA8"/>
    <w:rsid w:val="00481DFD"/>
    <w:rsid w:val="00482664"/>
    <w:rsid w:val="0048274D"/>
    <w:rsid w:val="00482A92"/>
    <w:rsid w:val="00487FC2"/>
    <w:rsid w:val="00490257"/>
    <w:rsid w:val="004905D5"/>
    <w:rsid w:val="00490BEC"/>
    <w:rsid w:val="004918F8"/>
    <w:rsid w:val="00491E2D"/>
    <w:rsid w:val="0049248F"/>
    <w:rsid w:val="004928B6"/>
    <w:rsid w:val="0049359F"/>
    <w:rsid w:val="00493C48"/>
    <w:rsid w:val="00494058"/>
    <w:rsid w:val="0049453A"/>
    <w:rsid w:val="0049585B"/>
    <w:rsid w:val="00496234"/>
    <w:rsid w:val="004979C6"/>
    <w:rsid w:val="00497F94"/>
    <w:rsid w:val="004A0F1B"/>
    <w:rsid w:val="004A2812"/>
    <w:rsid w:val="004A2EAC"/>
    <w:rsid w:val="004A3D86"/>
    <w:rsid w:val="004A3DD5"/>
    <w:rsid w:val="004A3FF0"/>
    <w:rsid w:val="004A5B62"/>
    <w:rsid w:val="004B039B"/>
    <w:rsid w:val="004B134E"/>
    <w:rsid w:val="004B13F8"/>
    <w:rsid w:val="004B17C2"/>
    <w:rsid w:val="004B23D7"/>
    <w:rsid w:val="004B265B"/>
    <w:rsid w:val="004B4763"/>
    <w:rsid w:val="004B481D"/>
    <w:rsid w:val="004B6235"/>
    <w:rsid w:val="004B7AE4"/>
    <w:rsid w:val="004C0D22"/>
    <w:rsid w:val="004C3CD3"/>
    <w:rsid w:val="004C49E9"/>
    <w:rsid w:val="004C4C34"/>
    <w:rsid w:val="004C507B"/>
    <w:rsid w:val="004C5DEF"/>
    <w:rsid w:val="004C5F37"/>
    <w:rsid w:val="004C7C24"/>
    <w:rsid w:val="004D09BD"/>
    <w:rsid w:val="004D0DAD"/>
    <w:rsid w:val="004D12B5"/>
    <w:rsid w:val="004D1325"/>
    <w:rsid w:val="004D2029"/>
    <w:rsid w:val="004D2644"/>
    <w:rsid w:val="004D2F02"/>
    <w:rsid w:val="004D3EAE"/>
    <w:rsid w:val="004D4033"/>
    <w:rsid w:val="004D5666"/>
    <w:rsid w:val="004D5F46"/>
    <w:rsid w:val="004D6B9A"/>
    <w:rsid w:val="004D6D6C"/>
    <w:rsid w:val="004D7738"/>
    <w:rsid w:val="004E38BA"/>
    <w:rsid w:val="004E3CBA"/>
    <w:rsid w:val="004E756E"/>
    <w:rsid w:val="004E75BC"/>
    <w:rsid w:val="004E7B78"/>
    <w:rsid w:val="004E7FFB"/>
    <w:rsid w:val="004F008F"/>
    <w:rsid w:val="004F0527"/>
    <w:rsid w:val="004F055B"/>
    <w:rsid w:val="004F1753"/>
    <w:rsid w:val="004F3887"/>
    <w:rsid w:val="004F3AC5"/>
    <w:rsid w:val="004F4290"/>
    <w:rsid w:val="004F579F"/>
    <w:rsid w:val="004F67B3"/>
    <w:rsid w:val="00500143"/>
    <w:rsid w:val="0050037C"/>
    <w:rsid w:val="00500947"/>
    <w:rsid w:val="00500E0D"/>
    <w:rsid w:val="00500FAA"/>
    <w:rsid w:val="005016EB"/>
    <w:rsid w:val="00501AE6"/>
    <w:rsid w:val="00502880"/>
    <w:rsid w:val="00502881"/>
    <w:rsid w:val="00502981"/>
    <w:rsid w:val="00503187"/>
    <w:rsid w:val="00503188"/>
    <w:rsid w:val="00503E3D"/>
    <w:rsid w:val="00503FC4"/>
    <w:rsid w:val="005052D3"/>
    <w:rsid w:val="0050672D"/>
    <w:rsid w:val="00507C12"/>
    <w:rsid w:val="00510867"/>
    <w:rsid w:val="00510E44"/>
    <w:rsid w:val="00511037"/>
    <w:rsid w:val="00511BED"/>
    <w:rsid w:val="00512286"/>
    <w:rsid w:val="00513534"/>
    <w:rsid w:val="0051570D"/>
    <w:rsid w:val="00515979"/>
    <w:rsid w:val="005160F7"/>
    <w:rsid w:val="0051616E"/>
    <w:rsid w:val="00517EF4"/>
    <w:rsid w:val="00520026"/>
    <w:rsid w:val="0052007E"/>
    <w:rsid w:val="00522C50"/>
    <w:rsid w:val="00523702"/>
    <w:rsid w:val="00523B76"/>
    <w:rsid w:val="00523BF1"/>
    <w:rsid w:val="00525751"/>
    <w:rsid w:val="0052580C"/>
    <w:rsid w:val="005261EC"/>
    <w:rsid w:val="00530F74"/>
    <w:rsid w:val="0053103E"/>
    <w:rsid w:val="00531556"/>
    <w:rsid w:val="00532CB2"/>
    <w:rsid w:val="00533283"/>
    <w:rsid w:val="00533405"/>
    <w:rsid w:val="00534F38"/>
    <w:rsid w:val="0053503F"/>
    <w:rsid w:val="00536A18"/>
    <w:rsid w:val="00537CF5"/>
    <w:rsid w:val="00537E1D"/>
    <w:rsid w:val="005407AE"/>
    <w:rsid w:val="0054171B"/>
    <w:rsid w:val="00541982"/>
    <w:rsid w:val="00541A0A"/>
    <w:rsid w:val="0054223E"/>
    <w:rsid w:val="0054298C"/>
    <w:rsid w:val="00542CA4"/>
    <w:rsid w:val="005438FC"/>
    <w:rsid w:val="00543926"/>
    <w:rsid w:val="0054466D"/>
    <w:rsid w:val="00547867"/>
    <w:rsid w:val="00547D47"/>
    <w:rsid w:val="00550AE4"/>
    <w:rsid w:val="00550EF6"/>
    <w:rsid w:val="005525B2"/>
    <w:rsid w:val="00552668"/>
    <w:rsid w:val="0055382B"/>
    <w:rsid w:val="0055431B"/>
    <w:rsid w:val="005545A2"/>
    <w:rsid w:val="0055498F"/>
    <w:rsid w:val="005552F0"/>
    <w:rsid w:val="00555476"/>
    <w:rsid w:val="00555D0F"/>
    <w:rsid w:val="005561A4"/>
    <w:rsid w:val="00557BB8"/>
    <w:rsid w:val="00561512"/>
    <w:rsid w:val="00562C31"/>
    <w:rsid w:val="0056518F"/>
    <w:rsid w:val="00565F75"/>
    <w:rsid w:val="00566188"/>
    <w:rsid w:val="00566AC9"/>
    <w:rsid w:val="005673E7"/>
    <w:rsid w:val="00570257"/>
    <w:rsid w:val="0057186E"/>
    <w:rsid w:val="00574B81"/>
    <w:rsid w:val="00575667"/>
    <w:rsid w:val="00576EA1"/>
    <w:rsid w:val="00581781"/>
    <w:rsid w:val="00582C71"/>
    <w:rsid w:val="00583534"/>
    <w:rsid w:val="005857D2"/>
    <w:rsid w:val="00585DB3"/>
    <w:rsid w:val="005869EF"/>
    <w:rsid w:val="00587BBC"/>
    <w:rsid w:val="00587F03"/>
    <w:rsid w:val="00590CE2"/>
    <w:rsid w:val="005912A0"/>
    <w:rsid w:val="00593A47"/>
    <w:rsid w:val="00593B2A"/>
    <w:rsid w:val="0059409E"/>
    <w:rsid w:val="005960A9"/>
    <w:rsid w:val="0059786C"/>
    <w:rsid w:val="00597F35"/>
    <w:rsid w:val="005A128A"/>
    <w:rsid w:val="005A2412"/>
    <w:rsid w:val="005A2B90"/>
    <w:rsid w:val="005A2F86"/>
    <w:rsid w:val="005A36B2"/>
    <w:rsid w:val="005A36DD"/>
    <w:rsid w:val="005A6C29"/>
    <w:rsid w:val="005A7D3E"/>
    <w:rsid w:val="005B00E9"/>
    <w:rsid w:val="005B0C14"/>
    <w:rsid w:val="005B13FD"/>
    <w:rsid w:val="005B1A54"/>
    <w:rsid w:val="005B1F8D"/>
    <w:rsid w:val="005B2A96"/>
    <w:rsid w:val="005B42CC"/>
    <w:rsid w:val="005B4B28"/>
    <w:rsid w:val="005B5D71"/>
    <w:rsid w:val="005B6916"/>
    <w:rsid w:val="005B7C64"/>
    <w:rsid w:val="005C05CC"/>
    <w:rsid w:val="005C11CB"/>
    <w:rsid w:val="005C20F0"/>
    <w:rsid w:val="005C389C"/>
    <w:rsid w:val="005C4C29"/>
    <w:rsid w:val="005C5E1D"/>
    <w:rsid w:val="005C603A"/>
    <w:rsid w:val="005C7D7D"/>
    <w:rsid w:val="005D2A32"/>
    <w:rsid w:val="005D2BEC"/>
    <w:rsid w:val="005D4944"/>
    <w:rsid w:val="005D5100"/>
    <w:rsid w:val="005D5154"/>
    <w:rsid w:val="005D5465"/>
    <w:rsid w:val="005D547B"/>
    <w:rsid w:val="005D55AB"/>
    <w:rsid w:val="005D7848"/>
    <w:rsid w:val="005E1999"/>
    <w:rsid w:val="005E1F57"/>
    <w:rsid w:val="005E2078"/>
    <w:rsid w:val="005E22E8"/>
    <w:rsid w:val="005E280C"/>
    <w:rsid w:val="005E2A61"/>
    <w:rsid w:val="005E3475"/>
    <w:rsid w:val="005E3C42"/>
    <w:rsid w:val="005E6193"/>
    <w:rsid w:val="005E6A94"/>
    <w:rsid w:val="005F00B6"/>
    <w:rsid w:val="005F06A6"/>
    <w:rsid w:val="005F0F35"/>
    <w:rsid w:val="005F25B9"/>
    <w:rsid w:val="005F3EF8"/>
    <w:rsid w:val="005F3FDD"/>
    <w:rsid w:val="005F483A"/>
    <w:rsid w:val="005F57E6"/>
    <w:rsid w:val="005F6215"/>
    <w:rsid w:val="005F6D3D"/>
    <w:rsid w:val="006003CA"/>
    <w:rsid w:val="00601951"/>
    <w:rsid w:val="006022AB"/>
    <w:rsid w:val="00604419"/>
    <w:rsid w:val="00604890"/>
    <w:rsid w:val="00606A5E"/>
    <w:rsid w:val="00607CA6"/>
    <w:rsid w:val="00611E8E"/>
    <w:rsid w:val="00613E75"/>
    <w:rsid w:val="0061411B"/>
    <w:rsid w:val="006156FA"/>
    <w:rsid w:val="0061584B"/>
    <w:rsid w:val="00615C09"/>
    <w:rsid w:val="006209F1"/>
    <w:rsid w:val="0062151D"/>
    <w:rsid w:val="006219D7"/>
    <w:rsid w:val="00622A08"/>
    <w:rsid w:val="00623038"/>
    <w:rsid w:val="00623325"/>
    <w:rsid w:val="006249D4"/>
    <w:rsid w:val="00625D06"/>
    <w:rsid w:val="006267F1"/>
    <w:rsid w:val="006307DE"/>
    <w:rsid w:val="00632A7E"/>
    <w:rsid w:val="006337AC"/>
    <w:rsid w:val="006358D8"/>
    <w:rsid w:val="00636749"/>
    <w:rsid w:val="00636A2C"/>
    <w:rsid w:val="006373F7"/>
    <w:rsid w:val="00641034"/>
    <w:rsid w:val="00642CDD"/>
    <w:rsid w:val="006434DE"/>
    <w:rsid w:val="00644FEB"/>
    <w:rsid w:val="00645C22"/>
    <w:rsid w:val="00645C8C"/>
    <w:rsid w:val="00652FC5"/>
    <w:rsid w:val="00653860"/>
    <w:rsid w:val="00654E4D"/>
    <w:rsid w:val="006553FF"/>
    <w:rsid w:val="00655874"/>
    <w:rsid w:val="00660785"/>
    <w:rsid w:val="00660ADD"/>
    <w:rsid w:val="0066171B"/>
    <w:rsid w:val="00661D43"/>
    <w:rsid w:val="0066418D"/>
    <w:rsid w:val="0066491D"/>
    <w:rsid w:val="00665677"/>
    <w:rsid w:val="00667842"/>
    <w:rsid w:val="00672315"/>
    <w:rsid w:val="00674027"/>
    <w:rsid w:val="00674C89"/>
    <w:rsid w:val="00675035"/>
    <w:rsid w:val="00675C95"/>
    <w:rsid w:val="00676A5F"/>
    <w:rsid w:val="00676DD7"/>
    <w:rsid w:val="00680213"/>
    <w:rsid w:val="00681001"/>
    <w:rsid w:val="00681234"/>
    <w:rsid w:val="006823FB"/>
    <w:rsid w:val="00682EBB"/>
    <w:rsid w:val="0068458D"/>
    <w:rsid w:val="006848C8"/>
    <w:rsid w:val="00684A39"/>
    <w:rsid w:val="00684F33"/>
    <w:rsid w:val="00685B55"/>
    <w:rsid w:val="006863FA"/>
    <w:rsid w:val="006871BA"/>
    <w:rsid w:val="00687C64"/>
    <w:rsid w:val="00690AAB"/>
    <w:rsid w:val="006930F3"/>
    <w:rsid w:val="00693172"/>
    <w:rsid w:val="006939C9"/>
    <w:rsid w:val="0069425B"/>
    <w:rsid w:val="00694D25"/>
    <w:rsid w:val="0069772F"/>
    <w:rsid w:val="006A0973"/>
    <w:rsid w:val="006A3160"/>
    <w:rsid w:val="006A36D5"/>
    <w:rsid w:val="006A3749"/>
    <w:rsid w:val="006A3D7E"/>
    <w:rsid w:val="006A7058"/>
    <w:rsid w:val="006A7A77"/>
    <w:rsid w:val="006B0D60"/>
    <w:rsid w:val="006B1951"/>
    <w:rsid w:val="006B1CBE"/>
    <w:rsid w:val="006B274F"/>
    <w:rsid w:val="006B2E04"/>
    <w:rsid w:val="006B3472"/>
    <w:rsid w:val="006B3A8C"/>
    <w:rsid w:val="006B43D0"/>
    <w:rsid w:val="006B5314"/>
    <w:rsid w:val="006B7B51"/>
    <w:rsid w:val="006C0956"/>
    <w:rsid w:val="006C35E0"/>
    <w:rsid w:val="006C39E7"/>
    <w:rsid w:val="006C4F3F"/>
    <w:rsid w:val="006C5892"/>
    <w:rsid w:val="006C6D62"/>
    <w:rsid w:val="006D0BD2"/>
    <w:rsid w:val="006D18E1"/>
    <w:rsid w:val="006D3452"/>
    <w:rsid w:val="006D566E"/>
    <w:rsid w:val="006D5DFF"/>
    <w:rsid w:val="006D63D3"/>
    <w:rsid w:val="006D7C41"/>
    <w:rsid w:val="006D7FD4"/>
    <w:rsid w:val="006E15CC"/>
    <w:rsid w:val="006E17CB"/>
    <w:rsid w:val="006E180F"/>
    <w:rsid w:val="006E1B4A"/>
    <w:rsid w:val="006E2A4D"/>
    <w:rsid w:val="006E2EF5"/>
    <w:rsid w:val="006E2F43"/>
    <w:rsid w:val="006E39DC"/>
    <w:rsid w:val="006E4136"/>
    <w:rsid w:val="006E49F5"/>
    <w:rsid w:val="006E7563"/>
    <w:rsid w:val="006F153B"/>
    <w:rsid w:val="006F67A7"/>
    <w:rsid w:val="00700075"/>
    <w:rsid w:val="00700F14"/>
    <w:rsid w:val="007012F0"/>
    <w:rsid w:val="007015FC"/>
    <w:rsid w:val="007024BF"/>
    <w:rsid w:val="0070551A"/>
    <w:rsid w:val="00706136"/>
    <w:rsid w:val="00706164"/>
    <w:rsid w:val="00707CFA"/>
    <w:rsid w:val="00713D58"/>
    <w:rsid w:val="0071581E"/>
    <w:rsid w:val="007161D3"/>
    <w:rsid w:val="00717165"/>
    <w:rsid w:val="00720489"/>
    <w:rsid w:val="007220B9"/>
    <w:rsid w:val="0072277F"/>
    <w:rsid w:val="0072351F"/>
    <w:rsid w:val="007236E8"/>
    <w:rsid w:val="007249E6"/>
    <w:rsid w:val="00725B7C"/>
    <w:rsid w:val="007262B1"/>
    <w:rsid w:val="007269AA"/>
    <w:rsid w:val="00726C12"/>
    <w:rsid w:val="0072744B"/>
    <w:rsid w:val="007300FC"/>
    <w:rsid w:val="007301D5"/>
    <w:rsid w:val="00730B71"/>
    <w:rsid w:val="00730D36"/>
    <w:rsid w:val="007323E5"/>
    <w:rsid w:val="007355F7"/>
    <w:rsid w:val="007356BC"/>
    <w:rsid w:val="0073604B"/>
    <w:rsid w:val="00736F43"/>
    <w:rsid w:val="007416AE"/>
    <w:rsid w:val="00741DBA"/>
    <w:rsid w:val="007438E6"/>
    <w:rsid w:val="00743BF7"/>
    <w:rsid w:val="00744818"/>
    <w:rsid w:val="00744832"/>
    <w:rsid w:val="007448C8"/>
    <w:rsid w:val="007452DC"/>
    <w:rsid w:val="00745383"/>
    <w:rsid w:val="007459C8"/>
    <w:rsid w:val="0074760E"/>
    <w:rsid w:val="0075079D"/>
    <w:rsid w:val="007507C5"/>
    <w:rsid w:val="00751177"/>
    <w:rsid w:val="00752352"/>
    <w:rsid w:val="00752A66"/>
    <w:rsid w:val="007530F2"/>
    <w:rsid w:val="00753770"/>
    <w:rsid w:val="007537AD"/>
    <w:rsid w:val="007538EE"/>
    <w:rsid w:val="00754785"/>
    <w:rsid w:val="007548CA"/>
    <w:rsid w:val="00756A40"/>
    <w:rsid w:val="00757A34"/>
    <w:rsid w:val="00760765"/>
    <w:rsid w:val="007612FF"/>
    <w:rsid w:val="00762160"/>
    <w:rsid w:val="007626BD"/>
    <w:rsid w:val="007633F6"/>
    <w:rsid w:val="007639EE"/>
    <w:rsid w:val="00763B27"/>
    <w:rsid w:val="00764FE2"/>
    <w:rsid w:val="00765467"/>
    <w:rsid w:val="00765588"/>
    <w:rsid w:val="00765B41"/>
    <w:rsid w:val="00766097"/>
    <w:rsid w:val="007661D0"/>
    <w:rsid w:val="00766C4D"/>
    <w:rsid w:val="00767807"/>
    <w:rsid w:val="00771436"/>
    <w:rsid w:val="007725D0"/>
    <w:rsid w:val="00772F4A"/>
    <w:rsid w:val="00774570"/>
    <w:rsid w:val="00774CDB"/>
    <w:rsid w:val="007750F3"/>
    <w:rsid w:val="00780DF9"/>
    <w:rsid w:val="007818D6"/>
    <w:rsid w:val="0078190D"/>
    <w:rsid w:val="00782E12"/>
    <w:rsid w:val="00783967"/>
    <w:rsid w:val="00783DCC"/>
    <w:rsid w:val="007850FC"/>
    <w:rsid w:val="00787322"/>
    <w:rsid w:val="00787327"/>
    <w:rsid w:val="007879B2"/>
    <w:rsid w:val="007909D9"/>
    <w:rsid w:val="00790A87"/>
    <w:rsid w:val="00791107"/>
    <w:rsid w:val="00792265"/>
    <w:rsid w:val="0079389F"/>
    <w:rsid w:val="007952C1"/>
    <w:rsid w:val="00797462"/>
    <w:rsid w:val="007A094C"/>
    <w:rsid w:val="007A21A0"/>
    <w:rsid w:val="007A356A"/>
    <w:rsid w:val="007A3E0E"/>
    <w:rsid w:val="007A3F7F"/>
    <w:rsid w:val="007A4409"/>
    <w:rsid w:val="007A444C"/>
    <w:rsid w:val="007A4FCA"/>
    <w:rsid w:val="007A5676"/>
    <w:rsid w:val="007A6906"/>
    <w:rsid w:val="007A74E7"/>
    <w:rsid w:val="007A7A83"/>
    <w:rsid w:val="007B184F"/>
    <w:rsid w:val="007B2E94"/>
    <w:rsid w:val="007B3B63"/>
    <w:rsid w:val="007B3C22"/>
    <w:rsid w:val="007B43A7"/>
    <w:rsid w:val="007B5585"/>
    <w:rsid w:val="007B5AD0"/>
    <w:rsid w:val="007B6E37"/>
    <w:rsid w:val="007C04AE"/>
    <w:rsid w:val="007C0E90"/>
    <w:rsid w:val="007C1B03"/>
    <w:rsid w:val="007C1C4E"/>
    <w:rsid w:val="007C1E61"/>
    <w:rsid w:val="007C1FE0"/>
    <w:rsid w:val="007C4912"/>
    <w:rsid w:val="007C4AAD"/>
    <w:rsid w:val="007C4B10"/>
    <w:rsid w:val="007C51C7"/>
    <w:rsid w:val="007C6ECF"/>
    <w:rsid w:val="007C7B2C"/>
    <w:rsid w:val="007D0FC8"/>
    <w:rsid w:val="007D17CD"/>
    <w:rsid w:val="007D1B83"/>
    <w:rsid w:val="007D2F72"/>
    <w:rsid w:val="007D3338"/>
    <w:rsid w:val="007D57BF"/>
    <w:rsid w:val="007D7B90"/>
    <w:rsid w:val="007E0442"/>
    <w:rsid w:val="007E0F6A"/>
    <w:rsid w:val="007E3C9D"/>
    <w:rsid w:val="007E440B"/>
    <w:rsid w:val="007E48D4"/>
    <w:rsid w:val="007E4A26"/>
    <w:rsid w:val="007E4CEC"/>
    <w:rsid w:val="007E5BF1"/>
    <w:rsid w:val="007F0AC0"/>
    <w:rsid w:val="007F108A"/>
    <w:rsid w:val="007F1BF5"/>
    <w:rsid w:val="007F2E33"/>
    <w:rsid w:val="007F3BB3"/>
    <w:rsid w:val="007F3E58"/>
    <w:rsid w:val="00800D3C"/>
    <w:rsid w:val="00800F72"/>
    <w:rsid w:val="00801292"/>
    <w:rsid w:val="008021DC"/>
    <w:rsid w:val="00803976"/>
    <w:rsid w:val="00805C59"/>
    <w:rsid w:val="00806E40"/>
    <w:rsid w:val="00810012"/>
    <w:rsid w:val="0081036C"/>
    <w:rsid w:val="00811542"/>
    <w:rsid w:val="00811C91"/>
    <w:rsid w:val="00813737"/>
    <w:rsid w:val="00814CD1"/>
    <w:rsid w:val="00816580"/>
    <w:rsid w:val="008165E9"/>
    <w:rsid w:val="00816652"/>
    <w:rsid w:val="0081785F"/>
    <w:rsid w:val="00817D4F"/>
    <w:rsid w:val="00820735"/>
    <w:rsid w:val="00822B33"/>
    <w:rsid w:val="008232BD"/>
    <w:rsid w:val="00823F64"/>
    <w:rsid w:val="008245BE"/>
    <w:rsid w:val="00824A63"/>
    <w:rsid w:val="00824D6B"/>
    <w:rsid w:val="00825D00"/>
    <w:rsid w:val="00827543"/>
    <w:rsid w:val="00827796"/>
    <w:rsid w:val="00830822"/>
    <w:rsid w:val="00831287"/>
    <w:rsid w:val="008318CA"/>
    <w:rsid w:val="00832023"/>
    <w:rsid w:val="0083245F"/>
    <w:rsid w:val="00832933"/>
    <w:rsid w:val="00834E0C"/>
    <w:rsid w:val="0083550B"/>
    <w:rsid w:val="00836BFB"/>
    <w:rsid w:val="00837C32"/>
    <w:rsid w:val="008408EE"/>
    <w:rsid w:val="008427F6"/>
    <w:rsid w:val="00842976"/>
    <w:rsid w:val="00843B81"/>
    <w:rsid w:val="0084623A"/>
    <w:rsid w:val="00846785"/>
    <w:rsid w:val="00847450"/>
    <w:rsid w:val="00847D90"/>
    <w:rsid w:val="008505BB"/>
    <w:rsid w:val="00851A9E"/>
    <w:rsid w:val="00852930"/>
    <w:rsid w:val="00852D98"/>
    <w:rsid w:val="00853226"/>
    <w:rsid w:val="00853593"/>
    <w:rsid w:val="008536E1"/>
    <w:rsid w:val="00854309"/>
    <w:rsid w:val="00854A19"/>
    <w:rsid w:val="00855400"/>
    <w:rsid w:val="00855C25"/>
    <w:rsid w:val="0085649D"/>
    <w:rsid w:val="00856764"/>
    <w:rsid w:val="00860FB9"/>
    <w:rsid w:val="00861909"/>
    <w:rsid w:val="008622FE"/>
    <w:rsid w:val="008639F5"/>
    <w:rsid w:val="00863A3E"/>
    <w:rsid w:val="00863C4C"/>
    <w:rsid w:val="008646FE"/>
    <w:rsid w:val="00865885"/>
    <w:rsid w:val="0086592D"/>
    <w:rsid w:val="00865990"/>
    <w:rsid w:val="00865B6B"/>
    <w:rsid w:val="00866880"/>
    <w:rsid w:val="00866F17"/>
    <w:rsid w:val="00870062"/>
    <w:rsid w:val="00870AA9"/>
    <w:rsid w:val="0087118A"/>
    <w:rsid w:val="00873EB5"/>
    <w:rsid w:val="00874560"/>
    <w:rsid w:val="00874D82"/>
    <w:rsid w:val="0087514D"/>
    <w:rsid w:val="00875D46"/>
    <w:rsid w:val="008763E2"/>
    <w:rsid w:val="00876E9B"/>
    <w:rsid w:val="00876F57"/>
    <w:rsid w:val="00877AF5"/>
    <w:rsid w:val="00881AB1"/>
    <w:rsid w:val="00882157"/>
    <w:rsid w:val="008836C2"/>
    <w:rsid w:val="00884E60"/>
    <w:rsid w:val="0088553C"/>
    <w:rsid w:val="00885578"/>
    <w:rsid w:val="00886BBA"/>
    <w:rsid w:val="00887C24"/>
    <w:rsid w:val="008901EE"/>
    <w:rsid w:val="00891CC1"/>
    <w:rsid w:val="008920E3"/>
    <w:rsid w:val="008922C1"/>
    <w:rsid w:val="00892A11"/>
    <w:rsid w:val="00892E1D"/>
    <w:rsid w:val="008931C5"/>
    <w:rsid w:val="0089368B"/>
    <w:rsid w:val="00893887"/>
    <w:rsid w:val="00894043"/>
    <w:rsid w:val="008942FA"/>
    <w:rsid w:val="008945A9"/>
    <w:rsid w:val="00895787"/>
    <w:rsid w:val="00895DD2"/>
    <w:rsid w:val="00897405"/>
    <w:rsid w:val="008A2C4E"/>
    <w:rsid w:val="008A3D06"/>
    <w:rsid w:val="008A4099"/>
    <w:rsid w:val="008A7538"/>
    <w:rsid w:val="008A7E4E"/>
    <w:rsid w:val="008B1BCA"/>
    <w:rsid w:val="008B36F5"/>
    <w:rsid w:val="008B3E7B"/>
    <w:rsid w:val="008B407F"/>
    <w:rsid w:val="008B56AC"/>
    <w:rsid w:val="008B60C1"/>
    <w:rsid w:val="008B6A42"/>
    <w:rsid w:val="008C05A3"/>
    <w:rsid w:val="008C066C"/>
    <w:rsid w:val="008C1540"/>
    <w:rsid w:val="008C3372"/>
    <w:rsid w:val="008C36D2"/>
    <w:rsid w:val="008C499B"/>
    <w:rsid w:val="008C5A86"/>
    <w:rsid w:val="008C6256"/>
    <w:rsid w:val="008C7911"/>
    <w:rsid w:val="008D3791"/>
    <w:rsid w:val="008D48A4"/>
    <w:rsid w:val="008D5CBD"/>
    <w:rsid w:val="008D5CD7"/>
    <w:rsid w:val="008E0AC3"/>
    <w:rsid w:val="008E0BD2"/>
    <w:rsid w:val="008E0C84"/>
    <w:rsid w:val="008E1987"/>
    <w:rsid w:val="008E3503"/>
    <w:rsid w:val="008E493E"/>
    <w:rsid w:val="008E5AB5"/>
    <w:rsid w:val="008E730F"/>
    <w:rsid w:val="008E746B"/>
    <w:rsid w:val="008E7CF3"/>
    <w:rsid w:val="008F26B1"/>
    <w:rsid w:val="008F32F1"/>
    <w:rsid w:val="008F3EEE"/>
    <w:rsid w:val="008F704E"/>
    <w:rsid w:val="0090006F"/>
    <w:rsid w:val="00900109"/>
    <w:rsid w:val="00900B4F"/>
    <w:rsid w:val="0090205A"/>
    <w:rsid w:val="0090262F"/>
    <w:rsid w:val="009030C6"/>
    <w:rsid w:val="00904F9D"/>
    <w:rsid w:val="00910D6E"/>
    <w:rsid w:val="0091152A"/>
    <w:rsid w:val="009115A5"/>
    <w:rsid w:val="00911B0A"/>
    <w:rsid w:val="00912B6D"/>
    <w:rsid w:val="009136E4"/>
    <w:rsid w:val="00913B8B"/>
    <w:rsid w:val="0091660E"/>
    <w:rsid w:val="00916626"/>
    <w:rsid w:val="00916713"/>
    <w:rsid w:val="00916CAE"/>
    <w:rsid w:val="0092010E"/>
    <w:rsid w:val="00920DCD"/>
    <w:rsid w:val="00921057"/>
    <w:rsid w:val="00921271"/>
    <w:rsid w:val="00923210"/>
    <w:rsid w:val="00923799"/>
    <w:rsid w:val="0092422E"/>
    <w:rsid w:val="00924D79"/>
    <w:rsid w:val="009260AC"/>
    <w:rsid w:val="00926795"/>
    <w:rsid w:val="00926854"/>
    <w:rsid w:val="009268AD"/>
    <w:rsid w:val="009272EA"/>
    <w:rsid w:val="00930BA1"/>
    <w:rsid w:val="009312F3"/>
    <w:rsid w:val="009325EF"/>
    <w:rsid w:val="00933762"/>
    <w:rsid w:val="00936940"/>
    <w:rsid w:val="00941390"/>
    <w:rsid w:val="00941B24"/>
    <w:rsid w:val="0094204E"/>
    <w:rsid w:val="00942F05"/>
    <w:rsid w:val="009436B9"/>
    <w:rsid w:val="0094533C"/>
    <w:rsid w:val="0094586C"/>
    <w:rsid w:val="00945898"/>
    <w:rsid w:val="009460AA"/>
    <w:rsid w:val="009464AD"/>
    <w:rsid w:val="009469B9"/>
    <w:rsid w:val="00947F2E"/>
    <w:rsid w:val="00953B9B"/>
    <w:rsid w:val="009543D6"/>
    <w:rsid w:val="009557F0"/>
    <w:rsid w:val="00956A7D"/>
    <w:rsid w:val="00956EAA"/>
    <w:rsid w:val="0095740F"/>
    <w:rsid w:val="00957D33"/>
    <w:rsid w:val="00957DC4"/>
    <w:rsid w:val="009608DC"/>
    <w:rsid w:val="00960B23"/>
    <w:rsid w:val="00961AF2"/>
    <w:rsid w:val="0096205C"/>
    <w:rsid w:val="00964B5D"/>
    <w:rsid w:val="00966470"/>
    <w:rsid w:val="00966A19"/>
    <w:rsid w:val="009675D6"/>
    <w:rsid w:val="00967653"/>
    <w:rsid w:val="00970315"/>
    <w:rsid w:val="00971039"/>
    <w:rsid w:val="00971AAB"/>
    <w:rsid w:val="0097378A"/>
    <w:rsid w:val="00974101"/>
    <w:rsid w:val="009761FF"/>
    <w:rsid w:val="00977862"/>
    <w:rsid w:val="009812EA"/>
    <w:rsid w:val="0098152D"/>
    <w:rsid w:val="00981CB9"/>
    <w:rsid w:val="009828C0"/>
    <w:rsid w:val="00982C52"/>
    <w:rsid w:val="0098313B"/>
    <w:rsid w:val="0098358C"/>
    <w:rsid w:val="0098439F"/>
    <w:rsid w:val="00984CF0"/>
    <w:rsid w:val="009857E1"/>
    <w:rsid w:val="00985F60"/>
    <w:rsid w:val="00987DBD"/>
    <w:rsid w:val="009939C0"/>
    <w:rsid w:val="00993CDF"/>
    <w:rsid w:val="00995545"/>
    <w:rsid w:val="00996380"/>
    <w:rsid w:val="00996A31"/>
    <w:rsid w:val="009973EE"/>
    <w:rsid w:val="009974DE"/>
    <w:rsid w:val="009977DF"/>
    <w:rsid w:val="009A09E9"/>
    <w:rsid w:val="009A09F5"/>
    <w:rsid w:val="009A0B7D"/>
    <w:rsid w:val="009A1DA7"/>
    <w:rsid w:val="009A38AF"/>
    <w:rsid w:val="009A3DB0"/>
    <w:rsid w:val="009A466D"/>
    <w:rsid w:val="009A60BE"/>
    <w:rsid w:val="009B06DF"/>
    <w:rsid w:val="009B21CA"/>
    <w:rsid w:val="009B2A1A"/>
    <w:rsid w:val="009B30D5"/>
    <w:rsid w:val="009B340D"/>
    <w:rsid w:val="009B4BBB"/>
    <w:rsid w:val="009B5060"/>
    <w:rsid w:val="009B53A8"/>
    <w:rsid w:val="009B59DD"/>
    <w:rsid w:val="009B6D74"/>
    <w:rsid w:val="009B6F46"/>
    <w:rsid w:val="009B7150"/>
    <w:rsid w:val="009B7D53"/>
    <w:rsid w:val="009B7FE0"/>
    <w:rsid w:val="009C1186"/>
    <w:rsid w:val="009C1482"/>
    <w:rsid w:val="009C171C"/>
    <w:rsid w:val="009C3687"/>
    <w:rsid w:val="009C38F9"/>
    <w:rsid w:val="009C4CDB"/>
    <w:rsid w:val="009C6802"/>
    <w:rsid w:val="009C6A2D"/>
    <w:rsid w:val="009C7C2C"/>
    <w:rsid w:val="009D0EF9"/>
    <w:rsid w:val="009D26CE"/>
    <w:rsid w:val="009D474D"/>
    <w:rsid w:val="009D4B73"/>
    <w:rsid w:val="009D4D07"/>
    <w:rsid w:val="009D4ED2"/>
    <w:rsid w:val="009D59A9"/>
    <w:rsid w:val="009D5AF3"/>
    <w:rsid w:val="009D5C1B"/>
    <w:rsid w:val="009D5F2E"/>
    <w:rsid w:val="009D7F2C"/>
    <w:rsid w:val="009E1663"/>
    <w:rsid w:val="009E282A"/>
    <w:rsid w:val="009E381D"/>
    <w:rsid w:val="009E3C4C"/>
    <w:rsid w:val="009E4DC8"/>
    <w:rsid w:val="009E61F2"/>
    <w:rsid w:val="009E6C8B"/>
    <w:rsid w:val="009F141C"/>
    <w:rsid w:val="009F1892"/>
    <w:rsid w:val="009F2063"/>
    <w:rsid w:val="009F503D"/>
    <w:rsid w:val="009F64ED"/>
    <w:rsid w:val="009F7480"/>
    <w:rsid w:val="00A0130C"/>
    <w:rsid w:val="00A02258"/>
    <w:rsid w:val="00A02C06"/>
    <w:rsid w:val="00A030E1"/>
    <w:rsid w:val="00A038BF"/>
    <w:rsid w:val="00A053DC"/>
    <w:rsid w:val="00A102FF"/>
    <w:rsid w:val="00A10888"/>
    <w:rsid w:val="00A112CC"/>
    <w:rsid w:val="00A1132A"/>
    <w:rsid w:val="00A15268"/>
    <w:rsid w:val="00A16E00"/>
    <w:rsid w:val="00A16FBE"/>
    <w:rsid w:val="00A17EA4"/>
    <w:rsid w:val="00A17FE2"/>
    <w:rsid w:val="00A204F4"/>
    <w:rsid w:val="00A234A2"/>
    <w:rsid w:val="00A23F65"/>
    <w:rsid w:val="00A2606E"/>
    <w:rsid w:val="00A27916"/>
    <w:rsid w:val="00A27C4E"/>
    <w:rsid w:val="00A30180"/>
    <w:rsid w:val="00A30956"/>
    <w:rsid w:val="00A32510"/>
    <w:rsid w:val="00A339D5"/>
    <w:rsid w:val="00A359F9"/>
    <w:rsid w:val="00A3600D"/>
    <w:rsid w:val="00A36CD5"/>
    <w:rsid w:val="00A36DA2"/>
    <w:rsid w:val="00A36E20"/>
    <w:rsid w:val="00A37F16"/>
    <w:rsid w:val="00A37FE2"/>
    <w:rsid w:val="00A40585"/>
    <w:rsid w:val="00A40D7A"/>
    <w:rsid w:val="00A41075"/>
    <w:rsid w:val="00A42B22"/>
    <w:rsid w:val="00A43291"/>
    <w:rsid w:val="00A43665"/>
    <w:rsid w:val="00A44453"/>
    <w:rsid w:val="00A44D8D"/>
    <w:rsid w:val="00A450AF"/>
    <w:rsid w:val="00A4573C"/>
    <w:rsid w:val="00A47E84"/>
    <w:rsid w:val="00A51FCC"/>
    <w:rsid w:val="00A5312A"/>
    <w:rsid w:val="00A54A6A"/>
    <w:rsid w:val="00A565C6"/>
    <w:rsid w:val="00A57F87"/>
    <w:rsid w:val="00A60459"/>
    <w:rsid w:val="00A61463"/>
    <w:rsid w:val="00A63FCC"/>
    <w:rsid w:val="00A64B5E"/>
    <w:rsid w:val="00A65222"/>
    <w:rsid w:val="00A663EC"/>
    <w:rsid w:val="00A66AC7"/>
    <w:rsid w:val="00A6725F"/>
    <w:rsid w:val="00A71323"/>
    <w:rsid w:val="00A71476"/>
    <w:rsid w:val="00A72B3A"/>
    <w:rsid w:val="00A732A6"/>
    <w:rsid w:val="00A74E86"/>
    <w:rsid w:val="00A75FF9"/>
    <w:rsid w:val="00A76574"/>
    <w:rsid w:val="00A77911"/>
    <w:rsid w:val="00A815DC"/>
    <w:rsid w:val="00A85B50"/>
    <w:rsid w:val="00A87EFA"/>
    <w:rsid w:val="00A90A57"/>
    <w:rsid w:val="00A90D8D"/>
    <w:rsid w:val="00A9199B"/>
    <w:rsid w:val="00A926DD"/>
    <w:rsid w:val="00A93C66"/>
    <w:rsid w:val="00A9405D"/>
    <w:rsid w:val="00A940FA"/>
    <w:rsid w:val="00A94100"/>
    <w:rsid w:val="00A9598D"/>
    <w:rsid w:val="00A95C0E"/>
    <w:rsid w:val="00A972D7"/>
    <w:rsid w:val="00AA0DE3"/>
    <w:rsid w:val="00AA3604"/>
    <w:rsid w:val="00AA4567"/>
    <w:rsid w:val="00AA4644"/>
    <w:rsid w:val="00AA464F"/>
    <w:rsid w:val="00AA563D"/>
    <w:rsid w:val="00AA5693"/>
    <w:rsid w:val="00AA5C43"/>
    <w:rsid w:val="00AA7216"/>
    <w:rsid w:val="00AA74CD"/>
    <w:rsid w:val="00AA7582"/>
    <w:rsid w:val="00AA798A"/>
    <w:rsid w:val="00AB0B33"/>
    <w:rsid w:val="00AB0C81"/>
    <w:rsid w:val="00AB126E"/>
    <w:rsid w:val="00AB1F95"/>
    <w:rsid w:val="00AB3EDF"/>
    <w:rsid w:val="00AB45A9"/>
    <w:rsid w:val="00AB6324"/>
    <w:rsid w:val="00AB6670"/>
    <w:rsid w:val="00AB7208"/>
    <w:rsid w:val="00AB7B67"/>
    <w:rsid w:val="00AB7E28"/>
    <w:rsid w:val="00AC0072"/>
    <w:rsid w:val="00AC090C"/>
    <w:rsid w:val="00AC4A58"/>
    <w:rsid w:val="00AC5270"/>
    <w:rsid w:val="00AC5606"/>
    <w:rsid w:val="00AC5E91"/>
    <w:rsid w:val="00AC66F3"/>
    <w:rsid w:val="00AC6BB8"/>
    <w:rsid w:val="00AC6BE9"/>
    <w:rsid w:val="00AD0051"/>
    <w:rsid w:val="00AD0986"/>
    <w:rsid w:val="00AD18DF"/>
    <w:rsid w:val="00AD2A86"/>
    <w:rsid w:val="00AD2B54"/>
    <w:rsid w:val="00AD60BE"/>
    <w:rsid w:val="00AD7DD6"/>
    <w:rsid w:val="00AE0072"/>
    <w:rsid w:val="00AE08EC"/>
    <w:rsid w:val="00AE3AE9"/>
    <w:rsid w:val="00AE4A31"/>
    <w:rsid w:val="00AE58B1"/>
    <w:rsid w:val="00AE5C71"/>
    <w:rsid w:val="00AE6424"/>
    <w:rsid w:val="00AE6981"/>
    <w:rsid w:val="00AE75CD"/>
    <w:rsid w:val="00AE7A77"/>
    <w:rsid w:val="00AE7E6E"/>
    <w:rsid w:val="00AF068D"/>
    <w:rsid w:val="00AF08AA"/>
    <w:rsid w:val="00AF1495"/>
    <w:rsid w:val="00AF1759"/>
    <w:rsid w:val="00AF1D6C"/>
    <w:rsid w:val="00AF31E5"/>
    <w:rsid w:val="00AF3AE0"/>
    <w:rsid w:val="00AF4284"/>
    <w:rsid w:val="00AF4706"/>
    <w:rsid w:val="00AF4A55"/>
    <w:rsid w:val="00AF4E5D"/>
    <w:rsid w:val="00AF5686"/>
    <w:rsid w:val="00AF5C7D"/>
    <w:rsid w:val="00AF72C1"/>
    <w:rsid w:val="00AF7B85"/>
    <w:rsid w:val="00B0018C"/>
    <w:rsid w:val="00B02E03"/>
    <w:rsid w:val="00B02F4E"/>
    <w:rsid w:val="00B04F42"/>
    <w:rsid w:val="00B0667D"/>
    <w:rsid w:val="00B06CAF"/>
    <w:rsid w:val="00B102A3"/>
    <w:rsid w:val="00B11255"/>
    <w:rsid w:val="00B1302C"/>
    <w:rsid w:val="00B13102"/>
    <w:rsid w:val="00B14201"/>
    <w:rsid w:val="00B1448F"/>
    <w:rsid w:val="00B14688"/>
    <w:rsid w:val="00B243C0"/>
    <w:rsid w:val="00B2539F"/>
    <w:rsid w:val="00B26092"/>
    <w:rsid w:val="00B2658D"/>
    <w:rsid w:val="00B26CC6"/>
    <w:rsid w:val="00B27264"/>
    <w:rsid w:val="00B272CB"/>
    <w:rsid w:val="00B3091F"/>
    <w:rsid w:val="00B31744"/>
    <w:rsid w:val="00B340FF"/>
    <w:rsid w:val="00B34539"/>
    <w:rsid w:val="00B363D8"/>
    <w:rsid w:val="00B366AB"/>
    <w:rsid w:val="00B377DA"/>
    <w:rsid w:val="00B40352"/>
    <w:rsid w:val="00B41742"/>
    <w:rsid w:val="00B41983"/>
    <w:rsid w:val="00B43601"/>
    <w:rsid w:val="00B43A36"/>
    <w:rsid w:val="00B445DD"/>
    <w:rsid w:val="00B46ED5"/>
    <w:rsid w:val="00B4774A"/>
    <w:rsid w:val="00B51AAE"/>
    <w:rsid w:val="00B51D49"/>
    <w:rsid w:val="00B528D5"/>
    <w:rsid w:val="00B53099"/>
    <w:rsid w:val="00B54A40"/>
    <w:rsid w:val="00B55166"/>
    <w:rsid w:val="00B552CE"/>
    <w:rsid w:val="00B554D2"/>
    <w:rsid w:val="00B56A77"/>
    <w:rsid w:val="00B57361"/>
    <w:rsid w:val="00B57983"/>
    <w:rsid w:val="00B60A10"/>
    <w:rsid w:val="00B62F62"/>
    <w:rsid w:val="00B63F64"/>
    <w:rsid w:val="00B66786"/>
    <w:rsid w:val="00B66AB6"/>
    <w:rsid w:val="00B66F62"/>
    <w:rsid w:val="00B67F11"/>
    <w:rsid w:val="00B700DF"/>
    <w:rsid w:val="00B7290A"/>
    <w:rsid w:val="00B72DD3"/>
    <w:rsid w:val="00B74780"/>
    <w:rsid w:val="00B75D9C"/>
    <w:rsid w:val="00B76255"/>
    <w:rsid w:val="00B7739C"/>
    <w:rsid w:val="00B77BA2"/>
    <w:rsid w:val="00B8047E"/>
    <w:rsid w:val="00B80ECA"/>
    <w:rsid w:val="00B81183"/>
    <w:rsid w:val="00B8329F"/>
    <w:rsid w:val="00B85777"/>
    <w:rsid w:val="00B8642B"/>
    <w:rsid w:val="00B879BB"/>
    <w:rsid w:val="00B9038D"/>
    <w:rsid w:val="00B90E6B"/>
    <w:rsid w:val="00B910C4"/>
    <w:rsid w:val="00B91589"/>
    <w:rsid w:val="00B92074"/>
    <w:rsid w:val="00B9259E"/>
    <w:rsid w:val="00B933DC"/>
    <w:rsid w:val="00B955EC"/>
    <w:rsid w:val="00B95643"/>
    <w:rsid w:val="00BA0860"/>
    <w:rsid w:val="00BA0CDD"/>
    <w:rsid w:val="00BA2020"/>
    <w:rsid w:val="00BA4002"/>
    <w:rsid w:val="00BA4A7D"/>
    <w:rsid w:val="00BA59FE"/>
    <w:rsid w:val="00BB0EA4"/>
    <w:rsid w:val="00BB175C"/>
    <w:rsid w:val="00BB176B"/>
    <w:rsid w:val="00BB1CDF"/>
    <w:rsid w:val="00BB1E90"/>
    <w:rsid w:val="00BB21A5"/>
    <w:rsid w:val="00BB232B"/>
    <w:rsid w:val="00BB3A7A"/>
    <w:rsid w:val="00BB6C9A"/>
    <w:rsid w:val="00BB768D"/>
    <w:rsid w:val="00BC3351"/>
    <w:rsid w:val="00BC3454"/>
    <w:rsid w:val="00BC3A48"/>
    <w:rsid w:val="00BC3A87"/>
    <w:rsid w:val="00BC6B84"/>
    <w:rsid w:val="00BD0859"/>
    <w:rsid w:val="00BD0BA0"/>
    <w:rsid w:val="00BD1963"/>
    <w:rsid w:val="00BD5039"/>
    <w:rsid w:val="00BD6045"/>
    <w:rsid w:val="00BD69D5"/>
    <w:rsid w:val="00BD6CD4"/>
    <w:rsid w:val="00BD6FE1"/>
    <w:rsid w:val="00BD7ACB"/>
    <w:rsid w:val="00BE16D5"/>
    <w:rsid w:val="00BE22D7"/>
    <w:rsid w:val="00BE4F58"/>
    <w:rsid w:val="00BE6BDB"/>
    <w:rsid w:val="00BE7870"/>
    <w:rsid w:val="00BE7C9D"/>
    <w:rsid w:val="00BF06A9"/>
    <w:rsid w:val="00BF0F59"/>
    <w:rsid w:val="00BF19DC"/>
    <w:rsid w:val="00BF1BAD"/>
    <w:rsid w:val="00BF1DD3"/>
    <w:rsid w:val="00BF29E0"/>
    <w:rsid w:val="00BF2E9D"/>
    <w:rsid w:val="00BF2F8A"/>
    <w:rsid w:val="00BF3383"/>
    <w:rsid w:val="00BF3E99"/>
    <w:rsid w:val="00BF3FAB"/>
    <w:rsid w:val="00BF458C"/>
    <w:rsid w:val="00BF4E31"/>
    <w:rsid w:val="00BF4F30"/>
    <w:rsid w:val="00BF686D"/>
    <w:rsid w:val="00BF7D4D"/>
    <w:rsid w:val="00C03E02"/>
    <w:rsid w:val="00C05B36"/>
    <w:rsid w:val="00C06FF3"/>
    <w:rsid w:val="00C07919"/>
    <w:rsid w:val="00C07C51"/>
    <w:rsid w:val="00C1023B"/>
    <w:rsid w:val="00C104AA"/>
    <w:rsid w:val="00C112FE"/>
    <w:rsid w:val="00C1134A"/>
    <w:rsid w:val="00C13789"/>
    <w:rsid w:val="00C15A8F"/>
    <w:rsid w:val="00C16417"/>
    <w:rsid w:val="00C165F0"/>
    <w:rsid w:val="00C2297E"/>
    <w:rsid w:val="00C23C18"/>
    <w:rsid w:val="00C242E7"/>
    <w:rsid w:val="00C243DF"/>
    <w:rsid w:val="00C244AE"/>
    <w:rsid w:val="00C2476C"/>
    <w:rsid w:val="00C24894"/>
    <w:rsid w:val="00C26E65"/>
    <w:rsid w:val="00C270F0"/>
    <w:rsid w:val="00C277B2"/>
    <w:rsid w:val="00C3076B"/>
    <w:rsid w:val="00C3252D"/>
    <w:rsid w:val="00C332D9"/>
    <w:rsid w:val="00C333BD"/>
    <w:rsid w:val="00C33850"/>
    <w:rsid w:val="00C338CD"/>
    <w:rsid w:val="00C33954"/>
    <w:rsid w:val="00C3447C"/>
    <w:rsid w:val="00C34B86"/>
    <w:rsid w:val="00C35788"/>
    <w:rsid w:val="00C35D44"/>
    <w:rsid w:val="00C36405"/>
    <w:rsid w:val="00C36A93"/>
    <w:rsid w:val="00C36FA3"/>
    <w:rsid w:val="00C404B9"/>
    <w:rsid w:val="00C40A78"/>
    <w:rsid w:val="00C430C2"/>
    <w:rsid w:val="00C4365E"/>
    <w:rsid w:val="00C43D5C"/>
    <w:rsid w:val="00C461FA"/>
    <w:rsid w:val="00C52C42"/>
    <w:rsid w:val="00C53015"/>
    <w:rsid w:val="00C5328A"/>
    <w:rsid w:val="00C5660D"/>
    <w:rsid w:val="00C56C31"/>
    <w:rsid w:val="00C56ECD"/>
    <w:rsid w:val="00C56EE4"/>
    <w:rsid w:val="00C5767A"/>
    <w:rsid w:val="00C6119D"/>
    <w:rsid w:val="00C621CB"/>
    <w:rsid w:val="00C63FF1"/>
    <w:rsid w:val="00C64859"/>
    <w:rsid w:val="00C65499"/>
    <w:rsid w:val="00C659F9"/>
    <w:rsid w:val="00C65AB5"/>
    <w:rsid w:val="00C65F54"/>
    <w:rsid w:val="00C6729B"/>
    <w:rsid w:val="00C70827"/>
    <w:rsid w:val="00C7405C"/>
    <w:rsid w:val="00C7592C"/>
    <w:rsid w:val="00C77836"/>
    <w:rsid w:val="00C80050"/>
    <w:rsid w:val="00C8112E"/>
    <w:rsid w:val="00C81B58"/>
    <w:rsid w:val="00C82BEA"/>
    <w:rsid w:val="00C8303C"/>
    <w:rsid w:val="00C8450F"/>
    <w:rsid w:val="00C84CD9"/>
    <w:rsid w:val="00C871EA"/>
    <w:rsid w:val="00C90C75"/>
    <w:rsid w:val="00C9111C"/>
    <w:rsid w:val="00C914F9"/>
    <w:rsid w:val="00C91A6F"/>
    <w:rsid w:val="00C93448"/>
    <w:rsid w:val="00C935CC"/>
    <w:rsid w:val="00C93CFC"/>
    <w:rsid w:val="00C94151"/>
    <w:rsid w:val="00C94D50"/>
    <w:rsid w:val="00C94F60"/>
    <w:rsid w:val="00C968EC"/>
    <w:rsid w:val="00C9691E"/>
    <w:rsid w:val="00C96AB1"/>
    <w:rsid w:val="00CA107C"/>
    <w:rsid w:val="00CA2323"/>
    <w:rsid w:val="00CA279D"/>
    <w:rsid w:val="00CA2FE3"/>
    <w:rsid w:val="00CA312C"/>
    <w:rsid w:val="00CA3649"/>
    <w:rsid w:val="00CA3787"/>
    <w:rsid w:val="00CA6A15"/>
    <w:rsid w:val="00CB04CA"/>
    <w:rsid w:val="00CB0B33"/>
    <w:rsid w:val="00CB2F51"/>
    <w:rsid w:val="00CB47BF"/>
    <w:rsid w:val="00CB7E9D"/>
    <w:rsid w:val="00CC3E4F"/>
    <w:rsid w:val="00CC4122"/>
    <w:rsid w:val="00CC6BAF"/>
    <w:rsid w:val="00CC6F0B"/>
    <w:rsid w:val="00CC761F"/>
    <w:rsid w:val="00CC7D14"/>
    <w:rsid w:val="00CD178E"/>
    <w:rsid w:val="00CD1D31"/>
    <w:rsid w:val="00CD2DF1"/>
    <w:rsid w:val="00CD3AAD"/>
    <w:rsid w:val="00CD5146"/>
    <w:rsid w:val="00CD5AA9"/>
    <w:rsid w:val="00CE03B8"/>
    <w:rsid w:val="00CE15A9"/>
    <w:rsid w:val="00CE1F3D"/>
    <w:rsid w:val="00CE235C"/>
    <w:rsid w:val="00CE4766"/>
    <w:rsid w:val="00CE49B9"/>
    <w:rsid w:val="00CE6746"/>
    <w:rsid w:val="00CE6D37"/>
    <w:rsid w:val="00CE71D0"/>
    <w:rsid w:val="00CF0750"/>
    <w:rsid w:val="00CF0B49"/>
    <w:rsid w:val="00CF0BA5"/>
    <w:rsid w:val="00CF1411"/>
    <w:rsid w:val="00CF15AF"/>
    <w:rsid w:val="00CF21A0"/>
    <w:rsid w:val="00CF21AD"/>
    <w:rsid w:val="00CF2C9A"/>
    <w:rsid w:val="00CF3233"/>
    <w:rsid w:val="00CF3C96"/>
    <w:rsid w:val="00CF49EF"/>
    <w:rsid w:val="00CF4E01"/>
    <w:rsid w:val="00CF5484"/>
    <w:rsid w:val="00CF6007"/>
    <w:rsid w:val="00CF6269"/>
    <w:rsid w:val="00CF6CE7"/>
    <w:rsid w:val="00D00774"/>
    <w:rsid w:val="00D00993"/>
    <w:rsid w:val="00D01AFC"/>
    <w:rsid w:val="00D020D6"/>
    <w:rsid w:val="00D03D9B"/>
    <w:rsid w:val="00D05338"/>
    <w:rsid w:val="00D062CD"/>
    <w:rsid w:val="00D06687"/>
    <w:rsid w:val="00D105C8"/>
    <w:rsid w:val="00D117B3"/>
    <w:rsid w:val="00D11961"/>
    <w:rsid w:val="00D12057"/>
    <w:rsid w:val="00D12FBA"/>
    <w:rsid w:val="00D12FCB"/>
    <w:rsid w:val="00D13C4A"/>
    <w:rsid w:val="00D141D6"/>
    <w:rsid w:val="00D15029"/>
    <w:rsid w:val="00D15496"/>
    <w:rsid w:val="00D1627B"/>
    <w:rsid w:val="00D16B70"/>
    <w:rsid w:val="00D17519"/>
    <w:rsid w:val="00D17A37"/>
    <w:rsid w:val="00D2194D"/>
    <w:rsid w:val="00D237F5"/>
    <w:rsid w:val="00D238B8"/>
    <w:rsid w:val="00D2485E"/>
    <w:rsid w:val="00D25754"/>
    <w:rsid w:val="00D26CD9"/>
    <w:rsid w:val="00D27265"/>
    <w:rsid w:val="00D27D1D"/>
    <w:rsid w:val="00D3107E"/>
    <w:rsid w:val="00D3171C"/>
    <w:rsid w:val="00D31A0F"/>
    <w:rsid w:val="00D337C8"/>
    <w:rsid w:val="00D34A35"/>
    <w:rsid w:val="00D35283"/>
    <w:rsid w:val="00D35F38"/>
    <w:rsid w:val="00D36AB1"/>
    <w:rsid w:val="00D36D2B"/>
    <w:rsid w:val="00D37BC6"/>
    <w:rsid w:val="00D40001"/>
    <w:rsid w:val="00D40110"/>
    <w:rsid w:val="00D42365"/>
    <w:rsid w:val="00D4298A"/>
    <w:rsid w:val="00D429D3"/>
    <w:rsid w:val="00D43362"/>
    <w:rsid w:val="00D445C1"/>
    <w:rsid w:val="00D450CF"/>
    <w:rsid w:val="00D470EE"/>
    <w:rsid w:val="00D50269"/>
    <w:rsid w:val="00D52E61"/>
    <w:rsid w:val="00D54317"/>
    <w:rsid w:val="00D567BE"/>
    <w:rsid w:val="00D572D3"/>
    <w:rsid w:val="00D6018A"/>
    <w:rsid w:val="00D609F2"/>
    <w:rsid w:val="00D627BB"/>
    <w:rsid w:val="00D636A3"/>
    <w:rsid w:val="00D65E38"/>
    <w:rsid w:val="00D67443"/>
    <w:rsid w:val="00D724A4"/>
    <w:rsid w:val="00D735D2"/>
    <w:rsid w:val="00D7364A"/>
    <w:rsid w:val="00D739E7"/>
    <w:rsid w:val="00D73B9E"/>
    <w:rsid w:val="00D74075"/>
    <w:rsid w:val="00D74A1D"/>
    <w:rsid w:val="00D77A29"/>
    <w:rsid w:val="00D77E91"/>
    <w:rsid w:val="00D801DD"/>
    <w:rsid w:val="00D81031"/>
    <w:rsid w:val="00D8251B"/>
    <w:rsid w:val="00D82E1F"/>
    <w:rsid w:val="00D861A2"/>
    <w:rsid w:val="00D86B6B"/>
    <w:rsid w:val="00D870BD"/>
    <w:rsid w:val="00D92209"/>
    <w:rsid w:val="00D92212"/>
    <w:rsid w:val="00D93232"/>
    <w:rsid w:val="00D93F5C"/>
    <w:rsid w:val="00D945CC"/>
    <w:rsid w:val="00D95451"/>
    <w:rsid w:val="00D95C70"/>
    <w:rsid w:val="00DA058E"/>
    <w:rsid w:val="00DA2132"/>
    <w:rsid w:val="00DA42AC"/>
    <w:rsid w:val="00DA443E"/>
    <w:rsid w:val="00DA6262"/>
    <w:rsid w:val="00DA7C0B"/>
    <w:rsid w:val="00DB0F81"/>
    <w:rsid w:val="00DB1A8C"/>
    <w:rsid w:val="00DB2377"/>
    <w:rsid w:val="00DB35F5"/>
    <w:rsid w:val="00DB4411"/>
    <w:rsid w:val="00DB63C8"/>
    <w:rsid w:val="00DB655C"/>
    <w:rsid w:val="00DC0366"/>
    <w:rsid w:val="00DC0389"/>
    <w:rsid w:val="00DC0507"/>
    <w:rsid w:val="00DC0BAE"/>
    <w:rsid w:val="00DC3358"/>
    <w:rsid w:val="00DC3483"/>
    <w:rsid w:val="00DC4158"/>
    <w:rsid w:val="00DC4C58"/>
    <w:rsid w:val="00DC50BF"/>
    <w:rsid w:val="00DC77BF"/>
    <w:rsid w:val="00DD0DA7"/>
    <w:rsid w:val="00DD12B5"/>
    <w:rsid w:val="00DD16CE"/>
    <w:rsid w:val="00DD2987"/>
    <w:rsid w:val="00DD3247"/>
    <w:rsid w:val="00DD38E6"/>
    <w:rsid w:val="00DD7FB0"/>
    <w:rsid w:val="00DE0650"/>
    <w:rsid w:val="00DE1BFF"/>
    <w:rsid w:val="00DE246C"/>
    <w:rsid w:val="00DE51AE"/>
    <w:rsid w:val="00DE61ED"/>
    <w:rsid w:val="00DE688B"/>
    <w:rsid w:val="00DF062C"/>
    <w:rsid w:val="00DF0D37"/>
    <w:rsid w:val="00DF13B6"/>
    <w:rsid w:val="00DF152C"/>
    <w:rsid w:val="00DF1ED9"/>
    <w:rsid w:val="00DF20BB"/>
    <w:rsid w:val="00DF327A"/>
    <w:rsid w:val="00DF3CE2"/>
    <w:rsid w:val="00DF41F0"/>
    <w:rsid w:val="00DF61B9"/>
    <w:rsid w:val="00DF6C96"/>
    <w:rsid w:val="00DF7FA7"/>
    <w:rsid w:val="00E00747"/>
    <w:rsid w:val="00E0115B"/>
    <w:rsid w:val="00E015B3"/>
    <w:rsid w:val="00E015B9"/>
    <w:rsid w:val="00E01806"/>
    <w:rsid w:val="00E02176"/>
    <w:rsid w:val="00E03E88"/>
    <w:rsid w:val="00E04756"/>
    <w:rsid w:val="00E05418"/>
    <w:rsid w:val="00E061B0"/>
    <w:rsid w:val="00E06D2F"/>
    <w:rsid w:val="00E0744B"/>
    <w:rsid w:val="00E07555"/>
    <w:rsid w:val="00E105F8"/>
    <w:rsid w:val="00E1083B"/>
    <w:rsid w:val="00E120F3"/>
    <w:rsid w:val="00E12E54"/>
    <w:rsid w:val="00E14AC4"/>
    <w:rsid w:val="00E14E96"/>
    <w:rsid w:val="00E15343"/>
    <w:rsid w:val="00E22E1A"/>
    <w:rsid w:val="00E22EC8"/>
    <w:rsid w:val="00E230C5"/>
    <w:rsid w:val="00E23E1F"/>
    <w:rsid w:val="00E2424B"/>
    <w:rsid w:val="00E247CB"/>
    <w:rsid w:val="00E24AC9"/>
    <w:rsid w:val="00E24EBA"/>
    <w:rsid w:val="00E24F53"/>
    <w:rsid w:val="00E25349"/>
    <w:rsid w:val="00E25D25"/>
    <w:rsid w:val="00E26968"/>
    <w:rsid w:val="00E27016"/>
    <w:rsid w:val="00E3016F"/>
    <w:rsid w:val="00E30A2A"/>
    <w:rsid w:val="00E33BAC"/>
    <w:rsid w:val="00E33D3B"/>
    <w:rsid w:val="00E33F98"/>
    <w:rsid w:val="00E346DD"/>
    <w:rsid w:val="00E35A1E"/>
    <w:rsid w:val="00E36671"/>
    <w:rsid w:val="00E36915"/>
    <w:rsid w:val="00E36CFC"/>
    <w:rsid w:val="00E37A30"/>
    <w:rsid w:val="00E37B6C"/>
    <w:rsid w:val="00E37BDD"/>
    <w:rsid w:val="00E41107"/>
    <w:rsid w:val="00E422FD"/>
    <w:rsid w:val="00E427AE"/>
    <w:rsid w:val="00E4389C"/>
    <w:rsid w:val="00E44FBC"/>
    <w:rsid w:val="00E500C9"/>
    <w:rsid w:val="00E50384"/>
    <w:rsid w:val="00E51314"/>
    <w:rsid w:val="00E51469"/>
    <w:rsid w:val="00E51562"/>
    <w:rsid w:val="00E51E41"/>
    <w:rsid w:val="00E5418B"/>
    <w:rsid w:val="00E54E26"/>
    <w:rsid w:val="00E55667"/>
    <w:rsid w:val="00E55EBB"/>
    <w:rsid w:val="00E5694E"/>
    <w:rsid w:val="00E57159"/>
    <w:rsid w:val="00E60041"/>
    <w:rsid w:val="00E60749"/>
    <w:rsid w:val="00E612A4"/>
    <w:rsid w:val="00E61B9C"/>
    <w:rsid w:val="00E62AA9"/>
    <w:rsid w:val="00E62E16"/>
    <w:rsid w:val="00E63823"/>
    <w:rsid w:val="00E6413D"/>
    <w:rsid w:val="00E64B57"/>
    <w:rsid w:val="00E6551E"/>
    <w:rsid w:val="00E667FA"/>
    <w:rsid w:val="00E66877"/>
    <w:rsid w:val="00E67E66"/>
    <w:rsid w:val="00E7066E"/>
    <w:rsid w:val="00E70DF2"/>
    <w:rsid w:val="00E715C5"/>
    <w:rsid w:val="00E7248D"/>
    <w:rsid w:val="00E72CE1"/>
    <w:rsid w:val="00E7393F"/>
    <w:rsid w:val="00E73A89"/>
    <w:rsid w:val="00E73BEB"/>
    <w:rsid w:val="00E74F93"/>
    <w:rsid w:val="00E7514D"/>
    <w:rsid w:val="00E76861"/>
    <w:rsid w:val="00E777AC"/>
    <w:rsid w:val="00E80112"/>
    <w:rsid w:val="00E8052B"/>
    <w:rsid w:val="00E8092F"/>
    <w:rsid w:val="00E80DD1"/>
    <w:rsid w:val="00E81DE2"/>
    <w:rsid w:val="00E84381"/>
    <w:rsid w:val="00E847BA"/>
    <w:rsid w:val="00E84C7A"/>
    <w:rsid w:val="00E84CB6"/>
    <w:rsid w:val="00E86A7C"/>
    <w:rsid w:val="00E86D89"/>
    <w:rsid w:val="00E87097"/>
    <w:rsid w:val="00E87622"/>
    <w:rsid w:val="00E87E9C"/>
    <w:rsid w:val="00E90A03"/>
    <w:rsid w:val="00E91E85"/>
    <w:rsid w:val="00E926D8"/>
    <w:rsid w:val="00E92B74"/>
    <w:rsid w:val="00E93830"/>
    <w:rsid w:val="00E939F8"/>
    <w:rsid w:val="00E94115"/>
    <w:rsid w:val="00E94D4B"/>
    <w:rsid w:val="00E95D76"/>
    <w:rsid w:val="00E962B5"/>
    <w:rsid w:val="00E96578"/>
    <w:rsid w:val="00E96AFA"/>
    <w:rsid w:val="00E96E17"/>
    <w:rsid w:val="00E9704D"/>
    <w:rsid w:val="00E97151"/>
    <w:rsid w:val="00E97434"/>
    <w:rsid w:val="00E97DEE"/>
    <w:rsid w:val="00E97ED1"/>
    <w:rsid w:val="00EA0252"/>
    <w:rsid w:val="00EA1618"/>
    <w:rsid w:val="00EA220C"/>
    <w:rsid w:val="00EA383C"/>
    <w:rsid w:val="00EA4A15"/>
    <w:rsid w:val="00EA574C"/>
    <w:rsid w:val="00EA5CC1"/>
    <w:rsid w:val="00EA6121"/>
    <w:rsid w:val="00EA635B"/>
    <w:rsid w:val="00EA774C"/>
    <w:rsid w:val="00EB0081"/>
    <w:rsid w:val="00EB141B"/>
    <w:rsid w:val="00EB226F"/>
    <w:rsid w:val="00EB2959"/>
    <w:rsid w:val="00EB29CC"/>
    <w:rsid w:val="00EB3C37"/>
    <w:rsid w:val="00EB3DEA"/>
    <w:rsid w:val="00EB519E"/>
    <w:rsid w:val="00EB5544"/>
    <w:rsid w:val="00EB63B5"/>
    <w:rsid w:val="00EB798A"/>
    <w:rsid w:val="00EB7FE0"/>
    <w:rsid w:val="00EC0088"/>
    <w:rsid w:val="00EC17BC"/>
    <w:rsid w:val="00EC1860"/>
    <w:rsid w:val="00EC1AE2"/>
    <w:rsid w:val="00EC2285"/>
    <w:rsid w:val="00EC23F3"/>
    <w:rsid w:val="00EC293A"/>
    <w:rsid w:val="00EC41D8"/>
    <w:rsid w:val="00EC4F1E"/>
    <w:rsid w:val="00EC533B"/>
    <w:rsid w:val="00EC5BB3"/>
    <w:rsid w:val="00EC67A5"/>
    <w:rsid w:val="00EC682A"/>
    <w:rsid w:val="00ED2160"/>
    <w:rsid w:val="00ED26EC"/>
    <w:rsid w:val="00ED2735"/>
    <w:rsid w:val="00ED28C2"/>
    <w:rsid w:val="00ED2CD1"/>
    <w:rsid w:val="00ED3EE4"/>
    <w:rsid w:val="00ED5A47"/>
    <w:rsid w:val="00EE03B4"/>
    <w:rsid w:val="00EE059A"/>
    <w:rsid w:val="00EE0808"/>
    <w:rsid w:val="00EE0B5F"/>
    <w:rsid w:val="00EE15A4"/>
    <w:rsid w:val="00EE3F17"/>
    <w:rsid w:val="00EE49FD"/>
    <w:rsid w:val="00EE5302"/>
    <w:rsid w:val="00EE5DC6"/>
    <w:rsid w:val="00EE5DDB"/>
    <w:rsid w:val="00EE70F8"/>
    <w:rsid w:val="00EE7B8E"/>
    <w:rsid w:val="00EF00CB"/>
    <w:rsid w:val="00EF0C9F"/>
    <w:rsid w:val="00EF14CD"/>
    <w:rsid w:val="00EF1D24"/>
    <w:rsid w:val="00EF2221"/>
    <w:rsid w:val="00EF24A2"/>
    <w:rsid w:val="00EF2EEC"/>
    <w:rsid w:val="00EF3060"/>
    <w:rsid w:val="00EF4EF0"/>
    <w:rsid w:val="00EF5532"/>
    <w:rsid w:val="00EF5580"/>
    <w:rsid w:val="00F00B50"/>
    <w:rsid w:val="00F00C20"/>
    <w:rsid w:val="00F01752"/>
    <w:rsid w:val="00F03FF6"/>
    <w:rsid w:val="00F049CF"/>
    <w:rsid w:val="00F05329"/>
    <w:rsid w:val="00F142B2"/>
    <w:rsid w:val="00F14DB1"/>
    <w:rsid w:val="00F15277"/>
    <w:rsid w:val="00F1548F"/>
    <w:rsid w:val="00F17C77"/>
    <w:rsid w:val="00F202B5"/>
    <w:rsid w:val="00F20821"/>
    <w:rsid w:val="00F23C74"/>
    <w:rsid w:val="00F24A39"/>
    <w:rsid w:val="00F24DD6"/>
    <w:rsid w:val="00F257E2"/>
    <w:rsid w:val="00F25DAA"/>
    <w:rsid w:val="00F25E99"/>
    <w:rsid w:val="00F327F8"/>
    <w:rsid w:val="00F34415"/>
    <w:rsid w:val="00F35707"/>
    <w:rsid w:val="00F364C3"/>
    <w:rsid w:val="00F368BC"/>
    <w:rsid w:val="00F37048"/>
    <w:rsid w:val="00F402CD"/>
    <w:rsid w:val="00F414DB"/>
    <w:rsid w:val="00F43D01"/>
    <w:rsid w:val="00F43FB1"/>
    <w:rsid w:val="00F469B4"/>
    <w:rsid w:val="00F46A1E"/>
    <w:rsid w:val="00F472AA"/>
    <w:rsid w:val="00F47CD3"/>
    <w:rsid w:val="00F47DC4"/>
    <w:rsid w:val="00F513CC"/>
    <w:rsid w:val="00F518C3"/>
    <w:rsid w:val="00F54C7F"/>
    <w:rsid w:val="00F553FA"/>
    <w:rsid w:val="00F55EE7"/>
    <w:rsid w:val="00F572F7"/>
    <w:rsid w:val="00F57336"/>
    <w:rsid w:val="00F57ABA"/>
    <w:rsid w:val="00F61148"/>
    <w:rsid w:val="00F62A56"/>
    <w:rsid w:val="00F63AE8"/>
    <w:rsid w:val="00F648BB"/>
    <w:rsid w:val="00F65C10"/>
    <w:rsid w:val="00F65FE1"/>
    <w:rsid w:val="00F70498"/>
    <w:rsid w:val="00F70F1D"/>
    <w:rsid w:val="00F716B9"/>
    <w:rsid w:val="00F716F2"/>
    <w:rsid w:val="00F71935"/>
    <w:rsid w:val="00F72A2B"/>
    <w:rsid w:val="00F744E7"/>
    <w:rsid w:val="00F7554B"/>
    <w:rsid w:val="00F75BB0"/>
    <w:rsid w:val="00F768CC"/>
    <w:rsid w:val="00F80167"/>
    <w:rsid w:val="00F806E1"/>
    <w:rsid w:val="00F8202B"/>
    <w:rsid w:val="00F83793"/>
    <w:rsid w:val="00F83D07"/>
    <w:rsid w:val="00F857F4"/>
    <w:rsid w:val="00F85A79"/>
    <w:rsid w:val="00F86D37"/>
    <w:rsid w:val="00F87F20"/>
    <w:rsid w:val="00F92783"/>
    <w:rsid w:val="00F93264"/>
    <w:rsid w:val="00F940DD"/>
    <w:rsid w:val="00F943F7"/>
    <w:rsid w:val="00F95D58"/>
    <w:rsid w:val="00F961D1"/>
    <w:rsid w:val="00F96B52"/>
    <w:rsid w:val="00FA1389"/>
    <w:rsid w:val="00FA170F"/>
    <w:rsid w:val="00FA3AED"/>
    <w:rsid w:val="00FA4341"/>
    <w:rsid w:val="00FA5490"/>
    <w:rsid w:val="00FA5A3B"/>
    <w:rsid w:val="00FA6840"/>
    <w:rsid w:val="00FA69EA"/>
    <w:rsid w:val="00FB031E"/>
    <w:rsid w:val="00FB051B"/>
    <w:rsid w:val="00FB0EE0"/>
    <w:rsid w:val="00FB6C8B"/>
    <w:rsid w:val="00FB7E2A"/>
    <w:rsid w:val="00FC14F2"/>
    <w:rsid w:val="00FC2874"/>
    <w:rsid w:val="00FC2F2D"/>
    <w:rsid w:val="00FC3045"/>
    <w:rsid w:val="00FC361D"/>
    <w:rsid w:val="00FC3638"/>
    <w:rsid w:val="00FC547A"/>
    <w:rsid w:val="00FC5A0C"/>
    <w:rsid w:val="00FC5A34"/>
    <w:rsid w:val="00FC6DC2"/>
    <w:rsid w:val="00FD0DEF"/>
    <w:rsid w:val="00FD3A60"/>
    <w:rsid w:val="00FD3FAC"/>
    <w:rsid w:val="00FD4756"/>
    <w:rsid w:val="00FD505D"/>
    <w:rsid w:val="00FD533C"/>
    <w:rsid w:val="00FD537D"/>
    <w:rsid w:val="00FD7D91"/>
    <w:rsid w:val="00FD7EBD"/>
    <w:rsid w:val="00FE205B"/>
    <w:rsid w:val="00FE3DB6"/>
    <w:rsid w:val="00FE6F98"/>
    <w:rsid w:val="00FE763D"/>
    <w:rsid w:val="00FE765A"/>
    <w:rsid w:val="00FF1086"/>
    <w:rsid w:val="00FF1658"/>
    <w:rsid w:val="00FF198E"/>
    <w:rsid w:val="00FF2FA7"/>
    <w:rsid w:val="00FF322E"/>
    <w:rsid w:val="00FF3582"/>
    <w:rsid w:val="00FF358E"/>
    <w:rsid w:val="00FF5110"/>
    <w:rsid w:val="00FF541E"/>
    <w:rsid w:val="00FF58CD"/>
    <w:rsid w:val="00FF5ADE"/>
    <w:rsid w:val="00FF6D48"/>
    <w:rsid w:val="00FF7C87"/>
    <w:rsid w:val="010B7742"/>
    <w:rsid w:val="01170431"/>
    <w:rsid w:val="01177BB4"/>
    <w:rsid w:val="013558FF"/>
    <w:rsid w:val="01A66C30"/>
    <w:rsid w:val="01CD6BA9"/>
    <w:rsid w:val="0201622B"/>
    <w:rsid w:val="02916328"/>
    <w:rsid w:val="030023CB"/>
    <w:rsid w:val="034C201D"/>
    <w:rsid w:val="03D161C6"/>
    <w:rsid w:val="03E11A76"/>
    <w:rsid w:val="03E22D2D"/>
    <w:rsid w:val="03FA755D"/>
    <w:rsid w:val="043F4EC7"/>
    <w:rsid w:val="04801616"/>
    <w:rsid w:val="04D02A23"/>
    <w:rsid w:val="04DC3163"/>
    <w:rsid w:val="054B2AB8"/>
    <w:rsid w:val="0553349E"/>
    <w:rsid w:val="05621366"/>
    <w:rsid w:val="05632E85"/>
    <w:rsid w:val="056507B4"/>
    <w:rsid w:val="059B6BDA"/>
    <w:rsid w:val="05D03D5E"/>
    <w:rsid w:val="05E53372"/>
    <w:rsid w:val="063272C2"/>
    <w:rsid w:val="06BC07B1"/>
    <w:rsid w:val="06CC1269"/>
    <w:rsid w:val="06FB5FE9"/>
    <w:rsid w:val="07192CE3"/>
    <w:rsid w:val="077DA404"/>
    <w:rsid w:val="07A85F94"/>
    <w:rsid w:val="07CC5E7F"/>
    <w:rsid w:val="07D258D6"/>
    <w:rsid w:val="0832476F"/>
    <w:rsid w:val="083922D4"/>
    <w:rsid w:val="085D6C8F"/>
    <w:rsid w:val="0865300F"/>
    <w:rsid w:val="08C8449F"/>
    <w:rsid w:val="09522099"/>
    <w:rsid w:val="09AD62F3"/>
    <w:rsid w:val="09DB4679"/>
    <w:rsid w:val="09DD00E0"/>
    <w:rsid w:val="0A3E7B96"/>
    <w:rsid w:val="0A4D30A3"/>
    <w:rsid w:val="0ABBA282"/>
    <w:rsid w:val="0AD568EB"/>
    <w:rsid w:val="0AD76301"/>
    <w:rsid w:val="0B3D1E9F"/>
    <w:rsid w:val="0B675506"/>
    <w:rsid w:val="0B72701B"/>
    <w:rsid w:val="0BB77F4F"/>
    <w:rsid w:val="0BF73F90"/>
    <w:rsid w:val="0C184D9E"/>
    <w:rsid w:val="0C785CB6"/>
    <w:rsid w:val="0C853D8D"/>
    <w:rsid w:val="0C9D4CB9"/>
    <w:rsid w:val="0CAC1026"/>
    <w:rsid w:val="0CAD2495"/>
    <w:rsid w:val="0CB925BF"/>
    <w:rsid w:val="0CBEE0DA"/>
    <w:rsid w:val="0D7E3C77"/>
    <w:rsid w:val="0DA64A37"/>
    <w:rsid w:val="0DB84926"/>
    <w:rsid w:val="0E0D3CCF"/>
    <w:rsid w:val="0E806179"/>
    <w:rsid w:val="0EBB70C4"/>
    <w:rsid w:val="0ED84574"/>
    <w:rsid w:val="0EE45FCF"/>
    <w:rsid w:val="0F001920"/>
    <w:rsid w:val="0F1E7053"/>
    <w:rsid w:val="0F76B091"/>
    <w:rsid w:val="0F8D7953"/>
    <w:rsid w:val="0FAF0E40"/>
    <w:rsid w:val="0FB23F7A"/>
    <w:rsid w:val="0FB308EA"/>
    <w:rsid w:val="0FBE1190"/>
    <w:rsid w:val="0FDA345A"/>
    <w:rsid w:val="0FF52861"/>
    <w:rsid w:val="0FFFFF68"/>
    <w:rsid w:val="10937F1A"/>
    <w:rsid w:val="114E421F"/>
    <w:rsid w:val="114E5C01"/>
    <w:rsid w:val="11624B7D"/>
    <w:rsid w:val="117A1CEB"/>
    <w:rsid w:val="11812F62"/>
    <w:rsid w:val="11FE4CA9"/>
    <w:rsid w:val="128521EB"/>
    <w:rsid w:val="12B82195"/>
    <w:rsid w:val="12E56E05"/>
    <w:rsid w:val="12EE4B62"/>
    <w:rsid w:val="13236806"/>
    <w:rsid w:val="132532A7"/>
    <w:rsid w:val="133A1ABC"/>
    <w:rsid w:val="13490800"/>
    <w:rsid w:val="13952947"/>
    <w:rsid w:val="139E51AC"/>
    <w:rsid w:val="13A516F2"/>
    <w:rsid w:val="13B84F93"/>
    <w:rsid w:val="13C2459A"/>
    <w:rsid w:val="13D77A1D"/>
    <w:rsid w:val="13E4738D"/>
    <w:rsid w:val="13EF8FE9"/>
    <w:rsid w:val="141F62E4"/>
    <w:rsid w:val="141FEA57"/>
    <w:rsid w:val="145F6B3A"/>
    <w:rsid w:val="14B75EB4"/>
    <w:rsid w:val="152368FC"/>
    <w:rsid w:val="152D4BFB"/>
    <w:rsid w:val="157317E4"/>
    <w:rsid w:val="15B00781"/>
    <w:rsid w:val="15BA55F4"/>
    <w:rsid w:val="15E31CF2"/>
    <w:rsid w:val="15E63CA6"/>
    <w:rsid w:val="15F83CFF"/>
    <w:rsid w:val="15FD2F6D"/>
    <w:rsid w:val="160239C7"/>
    <w:rsid w:val="161FC554"/>
    <w:rsid w:val="1622362A"/>
    <w:rsid w:val="16494017"/>
    <w:rsid w:val="169A79FA"/>
    <w:rsid w:val="169E0B7D"/>
    <w:rsid w:val="16A961C4"/>
    <w:rsid w:val="16CF6215"/>
    <w:rsid w:val="17195522"/>
    <w:rsid w:val="183F4A1B"/>
    <w:rsid w:val="18E53FDE"/>
    <w:rsid w:val="18F7EF91"/>
    <w:rsid w:val="19156FDC"/>
    <w:rsid w:val="19195D9D"/>
    <w:rsid w:val="19371A3D"/>
    <w:rsid w:val="19C61AF5"/>
    <w:rsid w:val="19C71BCB"/>
    <w:rsid w:val="19F31E85"/>
    <w:rsid w:val="1A299832"/>
    <w:rsid w:val="1A441B87"/>
    <w:rsid w:val="1A474DBD"/>
    <w:rsid w:val="1A5E5E0E"/>
    <w:rsid w:val="1A9B5E1C"/>
    <w:rsid w:val="1AED6D6F"/>
    <w:rsid w:val="1B0122B3"/>
    <w:rsid w:val="1B2B3093"/>
    <w:rsid w:val="1B9AA3D5"/>
    <w:rsid w:val="1BA12EB3"/>
    <w:rsid w:val="1BA85BB0"/>
    <w:rsid w:val="1BB06239"/>
    <w:rsid w:val="1BC20B26"/>
    <w:rsid w:val="1BD417C5"/>
    <w:rsid w:val="1BD65AD4"/>
    <w:rsid w:val="1C0A17A7"/>
    <w:rsid w:val="1C0B68BB"/>
    <w:rsid w:val="1C0D203C"/>
    <w:rsid w:val="1C8D269D"/>
    <w:rsid w:val="1CD56CE1"/>
    <w:rsid w:val="1CF46C19"/>
    <w:rsid w:val="1CF716A8"/>
    <w:rsid w:val="1CF72DEA"/>
    <w:rsid w:val="1D035C63"/>
    <w:rsid w:val="1D5DB63C"/>
    <w:rsid w:val="1D773796"/>
    <w:rsid w:val="1DA67191"/>
    <w:rsid w:val="1DCB4781"/>
    <w:rsid w:val="1DEC5CEE"/>
    <w:rsid w:val="1E1F4816"/>
    <w:rsid w:val="1E2D26DF"/>
    <w:rsid w:val="1E565AFE"/>
    <w:rsid w:val="1E8E2E7B"/>
    <w:rsid w:val="1EC42132"/>
    <w:rsid w:val="1ED40958"/>
    <w:rsid w:val="1EFFAFB7"/>
    <w:rsid w:val="1F134427"/>
    <w:rsid w:val="1F2E6C6A"/>
    <w:rsid w:val="1F394A88"/>
    <w:rsid w:val="1F4A0664"/>
    <w:rsid w:val="1F53413D"/>
    <w:rsid w:val="1F7A1A49"/>
    <w:rsid w:val="1FB415A8"/>
    <w:rsid w:val="1FE3122D"/>
    <w:rsid w:val="20190D4B"/>
    <w:rsid w:val="20426027"/>
    <w:rsid w:val="20517712"/>
    <w:rsid w:val="20733CBE"/>
    <w:rsid w:val="208B1CB2"/>
    <w:rsid w:val="209F1FA9"/>
    <w:rsid w:val="20EEF197"/>
    <w:rsid w:val="21004DD6"/>
    <w:rsid w:val="212C1AD5"/>
    <w:rsid w:val="213E64D2"/>
    <w:rsid w:val="21587AE5"/>
    <w:rsid w:val="216A21EB"/>
    <w:rsid w:val="217E50B6"/>
    <w:rsid w:val="21870381"/>
    <w:rsid w:val="21946F5C"/>
    <w:rsid w:val="219D4120"/>
    <w:rsid w:val="22113AE5"/>
    <w:rsid w:val="2234308B"/>
    <w:rsid w:val="22CF1C29"/>
    <w:rsid w:val="23050905"/>
    <w:rsid w:val="230818C6"/>
    <w:rsid w:val="23145D24"/>
    <w:rsid w:val="233527A0"/>
    <w:rsid w:val="234608D9"/>
    <w:rsid w:val="234D0021"/>
    <w:rsid w:val="234F37BE"/>
    <w:rsid w:val="235C2EC9"/>
    <w:rsid w:val="23B92F86"/>
    <w:rsid w:val="23F80A2E"/>
    <w:rsid w:val="242C7F0A"/>
    <w:rsid w:val="24514D71"/>
    <w:rsid w:val="24811BFB"/>
    <w:rsid w:val="249337E8"/>
    <w:rsid w:val="253718FE"/>
    <w:rsid w:val="253C4A45"/>
    <w:rsid w:val="25403CE9"/>
    <w:rsid w:val="255459A2"/>
    <w:rsid w:val="255E0FCC"/>
    <w:rsid w:val="25613E6C"/>
    <w:rsid w:val="259D9CC8"/>
    <w:rsid w:val="25BC2EFF"/>
    <w:rsid w:val="26124CD1"/>
    <w:rsid w:val="26241C6F"/>
    <w:rsid w:val="26425E6C"/>
    <w:rsid w:val="268135F5"/>
    <w:rsid w:val="268C1FBF"/>
    <w:rsid w:val="26F22A95"/>
    <w:rsid w:val="26FF6D94"/>
    <w:rsid w:val="27176910"/>
    <w:rsid w:val="271979FA"/>
    <w:rsid w:val="27251454"/>
    <w:rsid w:val="273D507E"/>
    <w:rsid w:val="2758262F"/>
    <w:rsid w:val="277E4A36"/>
    <w:rsid w:val="277F0A54"/>
    <w:rsid w:val="2795047D"/>
    <w:rsid w:val="27E3B921"/>
    <w:rsid w:val="27F611D6"/>
    <w:rsid w:val="27F61D99"/>
    <w:rsid w:val="287F5D92"/>
    <w:rsid w:val="28B90BC6"/>
    <w:rsid w:val="28C326C0"/>
    <w:rsid w:val="290B6A39"/>
    <w:rsid w:val="29A77150"/>
    <w:rsid w:val="29B62DE6"/>
    <w:rsid w:val="29F5252C"/>
    <w:rsid w:val="2A2C3B54"/>
    <w:rsid w:val="2A4A21D2"/>
    <w:rsid w:val="2AA72B66"/>
    <w:rsid w:val="2AA87178"/>
    <w:rsid w:val="2AB323A1"/>
    <w:rsid w:val="2AC467D1"/>
    <w:rsid w:val="2ACD21EF"/>
    <w:rsid w:val="2AD003FA"/>
    <w:rsid w:val="2AD41BE4"/>
    <w:rsid w:val="2ADFE4A5"/>
    <w:rsid w:val="2AE96BB0"/>
    <w:rsid w:val="2AFFBED7"/>
    <w:rsid w:val="2B056B57"/>
    <w:rsid w:val="2B1C6473"/>
    <w:rsid w:val="2B5C6EFC"/>
    <w:rsid w:val="2B7141A8"/>
    <w:rsid w:val="2BC81EDE"/>
    <w:rsid w:val="2BD7022E"/>
    <w:rsid w:val="2BDB51A5"/>
    <w:rsid w:val="2BFA6FC9"/>
    <w:rsid w:val="2BFD6272"/>
    <w:rsid w:val="2C244796"/>
    <w:rsid w:val="2CCC46AB"/>
    <w:rsid w:val="2CD625F4"/>
    <w:rsid w:val="2D0E0981"/>
    <w:rsid w:val="2D5B008B"/>
    <w:rsid w:val="2D6E2DF8"/>
    <w:rsid w:val="2D743EA9"/>
    <w:rsid w:val="2D7DB96F"/>
    <w:rsid w:val="2DD10878"/>
    <w:rsid w:val="2DF6F2C0"/>
    <w:rsid w:val="2E911AE8"/>
    <w:rsid w:val="2EB93162"/>
    <w:rsid w:val="2EDC4050"/>
    <w:rsid w:val="2EE16C0E"/>
    <w:rsid w:val="2EFB63F9"/>
    <w:rsid w:val="2EFFDC35"/>
    <w:rsid w:val="2F2A3F48"/>
    <w:rsid w:val="2F59469D"/>
    <w:rsid w:val="2F5B206E"/>
    <w:rsid w:val="2F741B85"/>
    <w:rsid w:val="2F7A8563"/>
    <w:rsid w:val="2F7DAA01"/>
    <w:rsid w:val="2F954984"/>
    <w:rsid w:val="2F9E58E9"/>
    <w:rsid w:val="2FAB5782"/>
    <w:rsid w:val="2FBB5DA6"/>
    <w:rsid w:val="2FBB722E"/>
    <w:rsid w:val="2FC80F4A"/>
    <w:rsid w:val="2FEFAB9A"/>
    <w:rsid w:val="2FF78E7A"/>
    <w:rsid w:val="2FFD361E"/>
    <w:rsid w:val="2FFFA39F"/>
    <w:rsid w:val="2FFFA4AC"/>
    <w:rsid w:val="30355A7A"/>
    <w:rsid w:val="306864B9"/>
    <w:rsid w:val="306A496C"/>
    <w:rsid w:val="30C55A6F"/>
    <w:rsid w:val="30ED74DC"/>
    <w:rsid w:val="311060B9"/>
    <w:rsid w:val="31513E98"/>
    <w:rsid w:val="31530395"/>
    <w:rsid w:val="31624754"/>
    <w:rsid w:val="31713092"/>
    <w:rsid w:val="318B0866"/>
    <w:rsid w:val="31C54085"/>
    <w:rsid w:val="31F13241"/>
    <w:rsid w:val="31F5FD6D"/>
    <w:rsid w:val="322879C9"/>
    <w:rsid w:val="3233046A"/>
    <w:rsid w:val="323F7C33"/>
    <w:rsid w:val="325B51EF"/>
    <w:rsid w:val="32B714E7"/>
    <w:rsid w:val="32BA05FD"/>
    <w:rsid w:val="32D3623D"/>
    <w:rsid w:val="32EB21A6"/>
    <w:rsid w:val="337D7999"/>
    <w:rsid w:val="33C213FB"/>
    <w:rsid w:val="33C834A9"/>
    <w:rsid w:val="33DE67F1"/>
    <w:rsid w:val="33E6768C"/>
    <w:rsid w:val="33E79783"/>
    <w:rsid w:val="33F5A8EC"/>
    <w:rsid w:val="33FD86DD"/>
    <w:rsid w:val="344E6265"/>
    <w:rsid w:val="34581561"/>
    <w:rsid w:val="34676308"/>
    <w:rsid w:val="347727A5"/>
    <w:rsid w:val="34A63164"/>
    <w:rsid w:val="35586E7F"/>
    <w:rsid w:val="359D735E"/>
    <w:rsid w:val="359D790C"/>
    <w:rsid w:val="35E73B76"/>
    <w:rsid w:val="35F61E1A"/>
    <w:rsid w:val="35FF1EAA"/>
    <w:rsid w:val="35FFBBB4"/>
    <w:rsid w:val="3613138C"/>
    <w:rsid w:val="366755D5"/>
    <w:rsid w:val="36681A85"/>
    <w:rsid w:val="36944C76"/>
    <w:rsid w:val="369D40C3"/>
    <w:rsid w:val="36AC2FB0"/>
    <w:rsid w:val="36BF6266"/>
    <w:rsid w:val="36E90D16"/>
    <w:rsid w:val="36F64672"/>
    <w:rsid w:val="371D1ACF"/>
    <w:rsid w:val="3748269B"/>
    <w:rsid w:val="376ED067"/>
    <w:rsid w:val="379C64AB"/>
    <w:rsid w:val="37BD0B88"/>
    <w:rsid w:val="37C52BDE"/>
    <w:rsid w:val="37D76631"/>
    <w:rsid w:val="37EC1E7F"/>
    <w:rsid w:val="37F53F69"/>
    <w:rsid w:val="37F7AB44"/>
    <w:rsid w:val="37F7C923"/>
    <w:rsid w:val="37FE198C"/>
    <w:rsid w:val="37FF29B9"/>
    <w:rsid w:val="37FFA4B0"/>
    <w:rsid w:val="3813326C"/>
    <w:rsid w:val="38262826"/>
    <w:rsid w:val="38534C3C"/>
    <w:rsid w:val="387A7BE1"/>
    <w:rsid w:val="388760E5"/>
    <w:rsid w:val="388B2098"/>
    <w:rsid w:val="3893AFAB"/>
    <w:rsid w:val="389B55DE"/>
    <w:rsid w:val="389C08D2"/>
    <w:rsid w:val="38A5751C"/>
    <w:rsid w:val="3907729C"/>
    <w:rsid w:val="392A7489"/>
    <w:rsid w:val="39563E58"/>
    <w:rsid w:val="39672711"/>
    <w:rsid w:val="3969549C"/>
    <w:rsid w:val="39A26052"/>
    <w:rsid w:val="39A86E5D"/>
    <w:rsid w:val="39CB7802"/>
    <w:rsid w:val="39D44D7D"/>
    <w:rsid w:val="39EC2384"/>
    <w:rsid w:val="3A2B6F44"/>
    <w:rsid w:val="3A37680E"/>
    <w:rsid w:val="3AA249F4"/>
    <w:rsid w:val="3AC5410B"/>
    <w:rsid w:val="3AD0339B"/>
    <w:rsid w:val="3B075778"/>
    <w:rsid w:val="3B255719"/>
    <w:rsid w:val="3B3230A5"/>
    <w:rsid w:val="3B4F4C60"/>
    <w:rsid w:val="3B56565A"/>
    <w:rsid w:val="3BBF2086"/>
    <w:rsid w:val="3BC87EAF"/>
    <w:rsid w:val="3BDF1BEC"/>
    <w:rsid w:val="3BEA8B02"/>
    <w:rsid w:val="3BF538B8"/>
    <w:rsid w:val="3BF74AAE"/>
    <w:rsid w:val="3BF96FE4"/>
    <w:rsid w:val="3BFB314A"/>
    <w:rsid w:val="3BFB6CF2"/>
    <w:rsid w:val="3BFC8339"/>
    <w:rsid w:val="3C0969AD"/>
    <w:rsid w:val="3C221043"/>
    <w:rsid w:val="3C333D76"/>
    <w:rsid w:val="3C4C58DB"/>
    <w:rsid w:val="3C7B44F4"/>
    <w:rsid w:val="3C8F2464"/>
    <w:rsid w:val="3CF82D14"/>
    <w:rsid w:val="3CFF77F8"/>
    <w:rsid w:val="3D1D6C06"/>
    <w:rsid w:val="3D2A69F0"/>
    <w:rsid w:val="3D3832F7"/>
    <w:rsid w:val="3D5341C3"/>
    <w:rsid w:val="3D5DCC7D"/>
    <w:rsid w:val="3D69026B"/>
    <w:rsid w:val="3DBD91F0"/>
    <w:rsid w:val="3DD3FC03"/>
    <w:rsid w:val="3DD9CF1C"/>
    <w:rsid w:val="3DDBC978"/>
    <w:rsid w:val="3DDDABAA"/>
    <w:rsid w:val="3DDE70A0"/>
    <w:rsid w:val="3DEF1680"/>
    <w:rsid w:val="3DFFCBA2"/>
    <w:rsid w:val="3E47A6C6"/>
    <w:rsid w:val="3E7D76C1"/>
    <w:rsid w:val="3EFD509E"/>
    <w:rsid w:val="3EFF31FA"/>
    <w:rsid w:val="3EFF551E"/>
    <w:rsid w:val="3F180D25"/>
    <w:rsid w:val="3F5FFEC5"/>
    <w:rsid w:val="3F614F0B"/>
    <w:rsid w:val="3F7280C5"/>
    <w:rsid w:val="3F7D1C94"/>
    <w:rsid w:val="3F7E98D6"/>
    <w:rsid w:val="3F7FBC50"/>
    <w:rsid w:val="3F7FCC42"/>
    <w:rsid w:val="3F9A0D06"/>
    <w:rsid w:val="3F9EA3C6"/>
    <w:rsid w:val="3F9FD606"/>
    <w:rsid w:val="3F9FEAA2"/>
    <w:rsid w:val="3FAF3316"/>
    <w:rsid w:val="3FB6F553"/>
    <w:rsid w:val="3FB9288C"/>
    <w:rsid w:val="3FBB0EC4"/>
    <w:rsid w:val="3FBF0027"/>
    <w:rsid w:val="3FD9D3F4"/>
    <w:rsid w:val="3FDE781F"/>
    <w:rsid w:val="3FEF144A"/>
    <w:rsid w:val="3FF1087C"/>
    <w:rsid w:val="3FF8AC2A"/>
    <w:rsid w:val="3FF9B7A6"/>
    <w:rsid w:val="3FF9CD57"/>
    <w:rsid w:val="3FFA0115"/>
    <w:rsid w:val="3FFBE425"/>
    <w:rsid w:val="3FFF6DCB"/>
    <w:rsid w:val="40352813"/>
    <w:rsid w:val="40553B1B"/>
    <w:rsid w:val="40561DE6"/>
    <w:rsid w:val="40605F70"/>
    <w:rsid w:val="409A2B22"/>
    <w:rsid w:val="40D12E19"/>
    <w:rsid w:val="414F40A0"/>
    <w:rsid w:val="41691A9A"/>
    <w:rsid w:val="41827323"/>
    <w:rsid w:val="41B8519B"/>
    <w:rsid w:val="41BA6C0B"/>
    <w:rsid w:val="41C222E3"/>
    <w:rsid w:val="41F3614B"/>
    <w:rsid w:val="425A342C"/>
    <w:rsid w:val="42A33A08"/>
    <w:rsid w:val="42AD25C8"/>
    <w:rsid w:val="42EA23B7"/>
    <w:rsid w:val="42F26004"/>
    <w:rsid w:val="42FA8E99"/>
    <w:rsid w:val="435B37A6"/>
    <w:rsid w:val="4364275C"/>
    <w:rsid w:val="436521D7"/>
    <w:rsid w:val="437D3FD8"/>
    <w:rsid w:val="438A5034"/>
    <w:rsid w:val="438D5C72"/>
    <w:rsid w:val="43CE3615"/>
    <w:rsid w:val="43DDD7D6"/>
    <w:rsid w:val="44173595"/>
    <w:rsid w:val="441B694E"/>
    <w:rsid w:val="44276E88"/>
    <w:rsid w:val="443B119F"/>
    <w:rsid w:val="443C7736"/>
    <w:rsid w:val="444A6F5F"/>
    <w:rsid w:val="44AD5502"/>
    <w:rsid w:val="451C32E3"/>
    <w:rsid w:val="453A2628"/>
    <w:rsid w:val="453C6FDB"/>
    <w:rsid w:val="45433AA6"/>
    <w:rsid w:val="45857A83"/>
    <w:rsid w:val="45D31D0F"/>
    <w:rsid w:val="45E81E6D"/>
    <w:rsid w:val="45EF61B9"/>
    <w:rsid w:val="45FD0AB1"/>
    <w:rsid w:val="466D611A"/>
    <w:rsid w:val="4687762A"/>
    <w:rsid w:val="468E0076"/>
    <w:rsid w:val="4690442B"/>
    <w:rsid w:val="46BA22B2"/>
    <w:rsid w:val="46BF7BD6"/>
    <w:rsid w:val="46DF5236"/>
    <w:rsid w:val="46EB4C84"/>
    <w:rsid w:val="47084895"/>
    <w:rsid w:val="470E1429"/>
    <w:rsid w:val="477F9E2E"/>
    <w:rsid w:val="47842DB5"/>
    <w:rsid w:val="47BF5880"/>
    <w:rsid w:val="47C212B1"/>
    <w:rsid w:val="47C92BE3"/>
    <w:rsid w:val="47E57F07"/>
    <w:rsid w:val="482111C3"/>
    <w:rsid w:val="48405247"/>
    <w:rsid w:val="484F2103"/>
    <w:rsid w:val="4853279C"/>
    <w:rsid w:val="48A27782"/>
    <w:rsid w:val="48C41BD4"/>
    <w:rsid w:val="48EB66A3"/>
    <w:rsid w:val="48F3358A"/>
    <w:rsid w:val="49F9744B"/>
    <w:rsid w:val="49FDAA20"/>
    <w:rsid w:val="4A360D7B"/>
    <w:rsid w:val="4A3C121B"/>
    <w:rsid w:val="4A470415"/>
    <w:rsid w:val="4AA4417C"/>
    <w:rsid w:val="4AC21C09"/>
    <w:rsid w:val="4AE521D9"/>
    <w:rsid w:val="4B6D0774"/>
    <w:rsid w:val="4B7C01B9"/>
    <w:rsid w:val="4B8F7768"/>
    <w:rsid w:val="4BEE3C70"/>
    <w:rsid w:val="4C691399"/>
    <w:rsid w:val="4CDAE026"/>
    <w:rsid w:val="4CE837AA"/>
    <w:rsid w:val="4CFA31B0"/>
    <w:rsid w:val="4CFC48F3"/>
    <w:rsid w:val="4CFF25A0"/>
    <w:rsid w:val="4D671B09"/>
    <w:rsid w:val="4D6A3FA3"/>
    <w:rsid w:val="4D6E2AA0"/>
    <w:rsid w:val="4E0B3324"/>
    <w:rsid w:val="4E1336B0"/>
    <w:rsid w:val="4E1A76B1"/>
    <w:rsid w:val="4E2C01F1"/>
    <w:rsid w:val="4E34492F"/>
    <w:rsid w:val="4E476F87"/>
    <w:rsid w:val="4E4A28C4"/>
    <w:rsid w:val="4E4C19FE"/>
    <w:rsid w:val="4E7BF5EF"/>
    <w:rsid w:val="4E7FF90B"/>
    <w:rsid w:val="4EA704EA"/>
    <w:rsid w:val="4EBDFF9F"/>
    <w:rsid w:val="4ED741AB"/>
    <w:rsid w:val="4ED75568"/>
    <w:rsid w:val="4EDFD461"/>
    <w:rsid w:val="4EE21538"/>
    <w:rsid w:val="4F450EC1"/>
    <w:rsid w:val="4F4E2192"/>
    <w:rsid w:val="4F537617"/>
    <w:rsid w:val="4F7701C2"/>
    <w:rsid w:val="4FA80D79"/>
    <w:rsid w:val="4FAE92DE"/>
    <w:rsid w:val="4FB823AA"/>
    <w:rsid w:val="4FBFDACF"/>
    <w:rsid w:val="4FE20F77"/>
    <w:rsid w:val="4FEB3633"/>
    <w:rsid w:val="4FF5B1B9"/>
    <w:rsid w:val="4FF7145E"/>
    <w:rsid w:val="4FF788E0"/>
    <w:rsid w:val="4FFB307B"/>
    <w:rsid w:val="4FFF8A72"/>
    <w:rsid w:val="503A315C"/>
    <w:rsid w:val="504A09F1"/>
    <w:rsid w:val="505E4C04"/>
    <w:rsid w:val="50AD6247"/>
    <w:rsid w:val="510F49D5"/>
    <w:rsid w:val="511E3423"/>
    <w:rsid w:val="517263E2"/>
    <w:rsid w:val="51805ECC"/>
    <w:rsid w:val="51E45E0E"/>
    <w:rsid w:val="51FA1EE4"/>
    <w:rsid w:val="521F6A35"/>
    <w:rsid w:val="52BF0BC1"/>
    <w:rsid w:val="52CCC3BA"/>
    <w:rsid w:val="52D85D5A"/>
    <w:rsid w:val="52DE44B4"/>
    <w:rsid w:val="52DFDAEA"/>
    <w:rsid w:val="53376FDC"/>
    <w:rsid w:val="53484490"/>
    <w:rsid w:val="538B4F0B"/>
    <w:rsid w:val="53AF8892"/>
    <w:rsid w:val="53CEA7DA"/>
    <w:rsid w:val="53DF54EC"/>
    <w:rsid w:val="53EFDE04"/>
    <w:rsid w:val="53FF993B"/>
    <w:rsid w:val="542A0B0E"/>
    <w:rsid w:val="542D4ACF"/>
    <w:rsid w:val="54587E2A"/>
    <w:rsid w:val="545915F1"/>
    <w:rsid w:val="549972BE"/>
    <w:rsid w:val="54B7657D"/>
    <w:rsid w:val="54F03C88"/>
    <w:rsid w:val="55174B29"/>
    <w:rsid w:val="5529095A"/>
    <w:rsid w:val="5537027C"/>
    <w:rsid w:val="55642634"/>
    <w:rsid w:val="5566688D"/>
    <w:rsid w:val="55762DA5"/>
    <w:rsid w:val="55871AC6"/>
    <w:rsid w:val="55B02391"/>
    <w:rsid w:val="55DCDF63"/>
    <w:rsid w:val="55E42B1C"/>
    <w:rsid w:val="55EFC203"/>
    <w:rsid w:val="55FFE1CB"/>
    <w:rsid w:val="56003854"/>
    <w:rsid w:val="56163134"/>
    <w:rsid w:val="564D7B39"/>
    <w:rsid w:val="565538E6"/>
    <w:rsid w:val="56951EB3"/>
    <w:rsid w:val="56CD3521"/>
    <w:rsid w:val="56E031DA"/>
    <w:rsid w:val="56FD33EA"/>
    <w:rsid w:val="5737A4B8"/>
    <w:rsid w:val="576B1DB4"/>
    <w:rsid w:val="579E186A"/>
    <w:rsid w:val="57BDD136"/>
    <w:rsid w:val="57C50DB6"/>
    <w:rsid w:val="57DC2DBF"/>
    <w:rsid w:val="57E334C4"/>
    <w:rsid w:val="57E53BF1"/>
    <w:rsid w:val="57EFFC49"/>
    <w:rsid w:val="57F155F9"/>
    <w:rsid w:val="57F79826"/>
    <w:rsid w:val="57F7AA53"/>
    <w:rsid w:val="57FA57E0"/>
    <w:rsid w:val="57FC1A4A"/>
    <w:rsid w:val="57FD43E7"/>
    <w:rsid w:val="58615BDD"/>
    <w:rsid w:val="589805B7"/>
    <w:rsid w:val="58BE4423"/>
    <w:rsid w:val="58FD921E"/>
    <w:rsid w:val="5913418D"/>
    <w:rsid w:val="59610256"/>
    <w:rsid w:val="596F4DAB"/>
    <w:rsid w:val="597359B7"/>
    <w:rsid w:val="59B548A4"/>
    <w:rsid w:val="59BF639E"/>
    <w:rsid w:val="59BF9A21"/>
    <w:rsid w:val="59C62747"/>
    <w:rsid w:val="59DF8348"/>
    <w:rsid w:val="59E5742D"/>
    <w:rsid w:val="59EE5391"/>
    <w:rsid w:val="59FFC586"/>
    <w:rsid w:val="59FFF15A"/>
    <w:rsid w:val="5A296565"/>
    <w:rsid w:val="5AFB3BCA"/>
    <w:rsid w:val="5AFBA109"/>
    <w:rsid w:val="5AFF9216"/>
    <w:rsid w:val="5B06488A"/>
    <w:rsid w:val="5B0C0937"/>
    <w:rsid w:val="5B5D5EB6"/>
    <w:rsid w:val="5B5F0C86"/>
    <w:rsid w:val="5B7FE73C"/>
    <w:rsid w:val="5B7FE79E"/>
    <w:rsid w:val="5B9566EF"/>
    <w:rsid w:val="5B9D4644"/>
    <w:rsid w:val="5BA0306A"/>
    <w:rsid w:val="5BC00DC8"/>
    <w:rsid w:val="5BD10C9D"/>
    <w:rsid w:val="5BDB1413"/>
    <w:rsid w:val="5BF05659"/>
    <w:rsid w:val="5BFB2239"/>
    <w:rsid w:val="5BFF8DE3"/>
    <w:rsid w:val="5BFFEA8F"/>
    <w:rsid w:val="5BFFF9DD"/>
    <w:rsid w:val="5C11755E"/>
    <w:rsid w:val="5C2C472A"/>
    <w:rsid w:val="5C5F678C"/>
    <w:rsid w:val="5C6467BC"/>
    <w:rsid w:val="5C67B940"/>
    <w:rsid w:val="5C7C69C2"/>
    <w:rsid w:val="5C8C6970"/>
    <w:rsid w:val="5C974299"/>
    <w:rsid w:val="5CA1365B"/>
    <w:rsid w:val="5CB9236E"/>
    <w:rsid w:val="5CE51E3A"/>
    <w:rsid w:val="5CFB0BB0"/>
    <w:rsid w:val="5CFC62F8"/>
    <w:rsid w:val="5D1C0CED"/>
    <w:rsid w:val="5D377B2F"/>
    <w:rsid w:val="5D560FB6"/>
    <w:rsid w:val="5D5977A1"/>
    <w:rsid w:val="5D7F3E29"/>
    <w:rsid w:val="5DBE5F22"/>
    <w:rsid w:val="5DBF46C0"/>
    <w:rsid w:val="5DBFEB2B"/>
    <w:rsid w:val="5DDBC2D5"/>
    <w:rsid w:val="5DDFD59C"/>
    <w:rsid w:val="5DE135C1"/>
    <w:rsid w:val="5DF75E5B"/>
    <w:rsid w:val="5DFF764A"/>
    <w:rsid w:val="5DFFF161"/>
    <w:rsid w:val="5E0574FD"/>
    <w:rsid w:val="5E6E89A7"/>
    <w:rsid w:val="5EB1400C"/>
    <w:rsid w:val="5EBD5879"/>
    <w:rsid w:val="5EBF1569"/>
    <w:rsid w:val="5EDF342C"/>
    <w:rsid w:val="5EE929B9"/>
    <w:rsid w:val="5EF440A3"/>
    <w:rsid w:val="5F1F3472"/>
    <w:rsid w:val="5F3F84AC"/>
    <w:rsid w:val="5F41FF3A"/>
    <w:rsid w:val="5F4D7E1D"/>
    <w:rsid w:val="5F5F5B3F"/>
    <w:rsid w:val="5F651F08"/>
    <w:rsid w:val="5F7562BC"/>
    <w:rsid w:val="5F9C4EE0"/>
    <w:rsid w:val="5F9F94A1"/>
    <w:rsid w:val="5FA28710"/>
    <w:rsid w:val="5FB2B6DB"/>
    <w:rsid w:val="5FB57600"/>
    <w:rsid w:val="5FCD9C15"/>
    <w:rsid w:val="5FCE5901"/>
    <w:rsid w:val="5FD45EEA"/>
    <w:rsid w:val="5FD90227"/>
    <w:rsid w:val="5FD9BDCE"/>
    <w:rsid w:val="5FED81A0"/>
    <w:rsid w:val="5FF05E07"/>
    <w:rsid w:val="5FF3E758"/>
    <w:rsid w:val="5FF78DFE"/>
    <w:rsid w:val="5FFB85FB"/>
    <w:rsid w:val="5FFD850A"/>
    <w:rsid w:val="5FFE42B3"/>
    <w:rsid w:val="5FFE8B9D"/>
    <w:rsid w:val="5FFF628E"/>
    <w:rsid w:val="5FFF9301"/>
    <w:rsid w:val="602A5424"/>
    <w:rsid w:val="60B02F38"/>
    <w:rsid w:val="60EC092C"/>
    <w:rsid w:val="60F57B00"/>
    <w:rsid w:val="60F77E8A"/>
    <w:rsid w:val="60F81D38"/>
    <w:rsid w:val="60FD2B75"/>
    <w:rsid w:val="61284A7C"/>
    <w:rsid w:val="6140672E"/>
    <w:rsid w:val="614814C1"/>
    <w:rsid w:val="614E7CEE"/>
    <w:rsid w:val="61580A19"/>
    <w:rsid w:val="617C665C"/>
    <w:rsid w:val="61C4442D"/>
    <w:rsid w:val="61DF0386"/>
    <w:rsid w:val="62071190"/>
    <w:rsid w:val="620F1DBE"/>
    <w:rsid w:val="62666E43"/>
    <w:rsid w:val="62770FD0"/>
    <w:rsid w:val="6291590F"/>
    <w:rsid w:val="62B4081B"/>
    <w:rsid w:val="62C75D67"/>
    <w:rsid w:val="62D73932"/>
    <w:rsid w:val="63105F63"/>
    <w:rsid w:val="635118BC"/>
    <w:rsid w:val="635F3DD8"/>
    <w:rsid w:val="63673C50"/>
    <w:rsid w:val="638D20B2"/>
    <w:rsid w:val="639411E1"/>
    <w:rsid w:val="63A7F85C"/>
    <w:rsid w:val="63AB53EB"/>
    <w:rsid w:val="63BFCA99"/>
    <w:rsid w:val="63CA2B23"/>
    <w:rsid w:val="63D45050"/>
    <w:rsid w:val="63DC7062"/>
    <w:rsid w:val="63DF743D"/>
    <w:rsid w:val="63E470FC"/>
    <w:rsid w:val="63FE8AED"/>
    <w:rsid w:val="64136BEB"/>
    <w:rsid w:val="642878AF"/>
    <w:rsid w:val="643249A0"/>
    <w:rsid w:val="647C4604"/>
    <w:rsid w:val="64F72008"/>
    <w:rsid w:val="65471B1F"/>
    <w:rsid w:val="654C5090"/>
    <w:rsid w:val="65CC19B7"/>
    <w:rsid w:val="65D17611"/>
    <w:rsid w:val="65D565A5"/>
    <w:rsid w:val="65F632EC"/>
    <w:rsid w:val="65FD6DA2"/>
    <w:rsid w:val="66177B34"/>
    <w:rsid w:val="66362824"/>
    <w:rsid w:val="6637753A"/>
    <w:rsid w:val="663BFF08"/>
    <w:rsid w:val="663C07CD"/>
    <w:rsid w:val="667550CE"/>
    <w:rsid w:val="668D3E6D"/>
    <w:rsid w:val="66B033E8"/>
    <w:rsid w:val="66D9B637"/>
    <w:rsid w:val="6718AAB5"/>
    <w:rsid w:val="67353E89"/>
    <w:rsid w:val="678573DD"/>
    <w:rsid w:val="678E3ED2"/>
    <w:rsid w:val="67CC03B3"/>
    <w:rsid w:val="67CE4B3A"/>
    <w:rsid w:val="67DBED96"/>
    <w:rsid w:val="67E75A4C"/>
    <w:rsid w:val="67F7C807"/>
    <w:rsid w:val="67FBA756"/>
    <w:rsid w:val="67FD53B3"/>
    <w:rsid w:val="67FF6459"/>
    <w:rsid w:val="686C14AE"/>
    <w:rsid w:val="68831563"/>
    <w:rsid w:val="68B47752"/>
    <w:rsid w:val="68CC3F11"/>
    <w:rsid w:val="68D4065D"/>
    <w:rsid w:val="68D55281"/>
    <w:rsid w:val="690869AE"/>
    <w:rsid w:val="696FB269"/>
    <w:rsid w:val="6999098D"/>
    <w:rsid w:val="69BFEDBE"/>
    <w:rsid w:val="69C514A2"/>
    <w:rsid w:val="69D778D9"/>
    <w:rsid w:val="69DF1D53"/>
    <w:rsid w:val="6A115CDD"/>
    <w:rsid w:val="6A2010B2"/>
    <w:rsid w:val="6A2912C6"/>
    <w:rsid w:val="6A48649A"/>
    <w:rsid w:val="6A6EEC67"/>
    <w:rsid w:val="6A7739DF"/>
    <w:rsid w:val="6A7D8B2C"/>
    <w:rsid w:val="6A91584C"/>
    <w:rsid w:val="6AA6E869"/>
    <w:rsid w:val="6ACBE884"/>
    <w:rsid w:val="6B1733F0"/>
    <w:rsid w:val="6B3E4F5F"/>
    <w:rsid w:val="6B613D9D"/>
    <w:rsid w:val="6B7728E7"/>
    <w:rsid w:val="6B8FFDD7"/>
    <w:rsid w:val="6B9D3199"/>
    <w:rsid w:val="6B9F69A7"/>
    <w:rsid w:val="6BBD00BF"/>
    <w:rsid w:val="6BBD023D"/>
    <w:rsid w:val="6BC84378"/>
    <w:rsid w:val="6BCA0CA8"/>
    <w:rsid w:val="6BEA5FE0"/>
    <w:rsid w:val="6BEB8350"/>
    <w:rsid w:val="6BEFA434"/>
    <w:rsid w:val="6BFBE22A"/>
    <w:rsid w:val="6BFE43F8"/>
    <w:rsid w:val="6C0438FC"/>
    <w:rsid w:val="6C0B4C85"/>
    <w:rsid w:val="6C0D745B"/>
    <w:rsid w:val="6C6CE5E0"/>
    <w:rsid w:val="6C8BE4C5"/>
    <w:rsid w:val="6C9638FC"/>
    <w:rsid w:val="6CDB50DF"/>
    <w:rsid w:val="6CF94EB6"/>
    <w:rsid w:val="6D180247"/>
    <w:rsid w:val="6D1A71D8"/>
    <w:rsid w:val="6D586EA8"/>
    <w:rsid w:val="6D5F3B4D"/>
    <w:rsid w:val="6D615739"/>
    <w:rsid w:val="6D7CD256"/>
    <w:rsid w:val="6D835D1D"/>
    <w:rsid w:val="6D9C3DDC"/>
    <w:rsid w:val="6DA30850"/>
    <w:rsid w:val="6DB81B27"/>
    <w:rsid w:val="6DBBDD56"/>
    <w:rsid w:val="6DBC2C01"/>
    <w:rsid w:val="6DCA0B2E"/>
    <w:rsid w:val="6DDF4BC3"/>
    <w:rsid w:val="6DF7B890"/>
    <w:rsid w:val="6DFD433D"/>
    <w:rsid w:val="6DFFF651"/>
    <w:rsid w:val="6DFFF768"/>
    <w:rsid w:val="6E054A46"/>
    <w:rsid w:val="6E187122"/>
    <w:rsid w:val="6E53911E"/>
    <w:rsid w:val="6E7E1F45"/>
    <w:rsid w:val="6EA84C5C"/>
    <w:rsid w:val="6EBF8DE3"/>
    <w:rsid w:val="6ED3A9ED"/>
    <w:rsid w:val="6EE0C914"/>
    <w:rsid w:val="6EEB2B1C"/>
    <w:rsid w:val="6EFDDAC7"/>
    <w:rsid w:val="6F064312"/>
    <w:rsid w:val="6F1D5BB9"/>
    <w:rsid w:val="6F1E034B"/>
    <w:rsid w:val="6F28366D"/>
    <w:rsid w:val="6F3B5643"/>
    <w:rsid w:val="6F47845E"/>
    <w:rsid w:val="6F6B901D"/>
    <w:rsid w:val="6F6E3F01"/>
    <w:rsid w:val="6F6F7150"/>
    <w:rsid w:val="6F735E8C"/>
    <w:rsid w:val="6F87F8A5"/>
    <w:rsid w:val="6F9E72E4"/>
    <w:rsid w:val="6FA7A00E"/>
    <w:rsid w:val="6FBA9174"/>
    <w:rsid w:val="6FC7DE24"/>
    <w:rsid w:val="6FECE437"/>
    <w:rsid w:val="6FF6405C"/>
    <w:rsid w:val="6FF7FBC8"/>
    <w:rsid w:val="6FFF4706"/>
    <w:rsid w:val="6FFF5DB8"/>
    <w:rsid w:val="6FFFBC54"/>
    <w:rsid w:val="70037EA3"/>
    <w:rsid w:val="7052357D"/>
    <w:rsid w:val="706533CC"/>
    <w:rsid w:val="70D92633"/>
    <w:rsid w:val="716F7B70"/>
    <w:rsid w:val="717A079A"/>
    <w:rsid w:val="717FB302"/>
    <w:rsid w:val="71BD320B"/>
    <w:rsid w:val="71C208C8"/>
    <w:rsid w:val="71F3E887"/>
    <w:rsid w:val="71FA44E4"/>
    <w:rsid w:val="72273A51"/>
    <w:rsid w:val="72711069"/>
    <w:rsid w:val="72A906FA"/>
    <w:rsid w:val="72D3392F"/>
    <w:rsid w:val="72DD7C72"/>
    <w:rsid w:val="72FBA3C3"/>
    <w:rsid w:val="72FF8B92"/>
    <w:rsid w:val="72FFAB68"/>
    <w:rsid w:val="73086FE1"/>
    <w:rsid w:val="733C6B3E"/>
    <w:rsid w:val="73ABB931"/>
    <w:rsid w:val="73BDD3F4"/>
    <w:rsid w:val="73CE145A"/>
    <w:rsid w:val="73D7493F"/>
    <w:rsid w:val="73D8B551"/>
    <w:rsid w:val="73DE2BB1"/>
    <w:rsid w:val="73EFA627"/>
    <w:rsid w:val="73F7AE21"/>
    <w:rsid w:val="73FA6BA1"/>
    <w:rsid w:val="73FFF114"/>
    <w:rsid w:val="742F10C4"/>
    <w:rsid w:val="74454A76"/>
    <w:rsid w:val="74640B32"/>
    <w:rsid w:val="74B040BD"/>
    <w:rsid w:val="74C24641"/>
    <w:rsid w:val="74FCF9E1"/>
    <w:rsid w:val="75093BE3"/>
    <w:rsid w:val="750B092F"/>
    <w:rsid w:val="751E4B61"/>
    <w:rsid w:val="753330FA"/>
    <w:rsid w:val="7536DC84"/>
    <w:rsid w:val="757FE6CC"/>
    <w:rsid w:val="75B36260"/>
    <w:rsid w:val="75BC09B0"/>
    <w:rsid w:val="75E5775F"/>
    <w:rsid w:val="75EFCCE7"/>
    <w:rsid w:val="75F19703"/>
    <w:rsid w:val="75F9A952"/>
    <w:rsid w:val="75FDBE7A"/>
    <w:rsid w:val="75FE3839"/>
    <w:rsid w:val="75FFFD91"/>
    <w:rsid w:val="766DDA9C"/>
    <w:rsid w:val="766E2762"/>
    <w:rsid w:val="766F5920"/>
    <w:rsid w:val="76775C65"/>
    <w:rsid w:val="767D380F"/>
    <w:rsid w:val="767DD6A6"/>
    <w:rsid w:val="767EFBEC"/>
    <w:rsid w:val="768D166B"/>
    <w:rsid w:val="76AA4DF4"/>
    <w:rsid w:val="76BFED64"/>
    <w:rsid w:val="76D67854"/>
    <w:rsid w:val="76F39CE0"/>
    <w:rsid w:val="76F76DCB"/>
    <w:rsid w:val="76F85D6C"/>
    <w:rsid w:val="76FCCB38"/>
    <w:rsid w:val="76FDF611"/>
    <w:rsid w:val="771D624B"/>
    <w:rsid w:val="772F620F"/>
    <w:rsid w:val="773ED9DC"/>
    <w:rsid w:val="77526FF2"/>
    <w:rsid w:val="777772AF"/>
    <w:rsid w:val="777AC235"/>
    <w:rsid w:val="777D9DAF"/>
    <w:rsid w:val="777E27F9"/>
    <w:rsid w:val="777E31A5"/>
    <w:rsid w:val="777FA6D5"/>
    <w:rsid w:val="777FC60B"/>
    <w:rsid w:val="77984AF5"/>
    <w:rsid w:val="779C4FD4"/>
    <w:rsid w:val="779FEB14"/>
    <w:rsid w:val="77B5D663"/>
    <w:rsid w:val="77BE5461"/>
    <w:rsid w:val="77BF594A"/>
    <w:rsid w:val="77CFCC79"/>
    <w:rsid w:val="77DF76AD"/>
    <w:rsid w:val="77EFCB6B"/>
    <w:rsid w:val="77F2578D"/>
    <w:rsid w:val="77F7EA2E"/>
    <w:rsid w:val="77FB163A"/>
    <w:rsid w:val="77FD1BA9"/>
    <w:rsid w:val="77FDE8A7"/>
    <w:rsid w:val="77FF3127"/>
    <w:rsid w:val="77FF7EB0"/>
    <w:rsid w:val="781E0576"/>
    <w:rsid w:val="78332178"/>
    <w:rsid w:val="7876446D"/>
    <w:rsid w:val="789FEA78"/>
    <w:rsid w:val="78D14AA3"/>
    <w:rsid w:val="78FF377B"/>
    <w:rsid w:val="791D4D4D"/>
    <w:rsid w:val="796EE628"/>
    <w:rsid w:val="79AF2418"/>
    <w:rsid w:val="79B22DAF"/>
    <w:rsid w:val="79FD27A6"/>
    <w:rsid w:val="79FD2AF0"/>
    <w:rsid w:val="79FF027D"/>
    <w:rsid w:val="7A8027D5"/>
    <w:rsid w:val="7AB61937"/>
    <w:rsid w:val="7B369E2B"/>
    <w:rsid w:val="7B3B80C9"/>
    <w:rsid w:val="7B3EBB2E"/>
    <w:rsid w:val="7B3F5D0D"/>
    <w:rsid w:val="7B7F16BF"/>
    <w:rsid w:val="7B7F74DF"/>
    <w:rsid w:val="7B8B27D0"/>
    <w:rsid w:val="7B8F25BC"/>
    <w:rsid w:val="7B8FBC2C"/>
    <w:rsid w:val="7B9BDD37"/>
    <w:rsid w:val="7BA6C3C2"/>
    <w:rsid w:val="7BADBAF5"/>
    <w:rsid w:val="7BB202B0"/>
    <w:rsid w:val="7BB72155"/>
    <w:rsid w:val="7BBF1A82"/>
    <w:rsid w:val="7BBF7D31"/>
    <w:rsid w:val="7BBFA322"/>
    <w:rsid w:val="7BCC2EDC"/>
    <w:rsid w:val="7BCD8355"/>
    <w:rsid w:val="7BDD81C7"/>
    <w:rsid w:val="7BE7BD85"/>
    <w:rsid w:val="7BEBF107"/>
    <w:rsid w:val="7BEF4916"/>
    <w:rsid w:val="7BF2C428"/>
    <w:rsid w:val="7BF32D3E"/>
    <w:rsid w:val="7BF7EF20"/>
    <w:rsid w:val="7BFD60D8"/>
    <w:rsid w:val="7BFDF462"/>
    <w:rsid w:val="7BFDFBC1"/>
    <w:rsid w:val="7BFFC46E"/>
    <w:rsid w:val="7C3F8E35"/>
    <w:rsid w:val="7C69045D"/>
    <w:rsid w:val="7C6B25A3"/>
    <w:rsid w:val="7C751801"/>
    <w:rsid w:val="7C75C24D"/>
    <w:rsid w:val="7C76583D"/>
    <w:rsid w:val="7C7FA1B4"/>
    <w:rsid w:val="7C7FE519"/>
    <w:rsid w:val="7C7FE7F0"/>
    <w:rsid w:val="7C984740"/>
    <w:rsid w:val="7CAF92E6"/>
    <w:rsid w:val="7CBE4FF4"/>
    <w:rsid w:val="7CCC108A"/>
    <w:rsid w:val="7CD06B45"/>
    <w:rsid w:val="7CDE0640"/>
    <w:rsid w:val="7CDE62D7"/>
    <w:rsid w:val="7CEFE36D"/>
    <w:rsid w:val="7CFD0F87"/>
    <w:rsid w:val="7D146E08"/>
    <w:rsid w:val="7D3239D3"/>
    <w:rsid w:val="7D374A09"/>
    <w:rsid w:val="7D3ED02D"/>
    <w:rsid w:val="7D53033D"/>
    <w:rsid w:val="7D56B7CA"/>
    <w:rsid w:val="7D5D4122"/>
    <w:rsid w:val="7D67296F"/>
    <w:rsid w:val="7D697BE6"/>
    <w:rsid w:val="7D6F6C2D"/>
    <w:rsid w:val="7D7252C8"/>
    <w:rsid w:val="7D7EBF55"/>
    <w:rsid w:val="7D7F8B87"/>
    <w:rsid w:val="7D854303"/>
    <w:rsid w:val="7D9313AC"/>
    <w:rsid w:val="7D9BDF50"/>
    <w:rsid w:val="7DA4326E"/>
    <w:rsid w:val="7DB606B5"/>
    <w:rsid w:val="7DCC2B4F"/>
    <w:rsid w:val="7DDD130B"/>
    <w:rsid w:val="7DDE9638"/>
    <w:rsid w:val="7DDFE940"/>
    <w:rsid w:val="7DE45F05"/>
    <w:rsid w:val="7DEA7EA4"/>
    <w:rsid w:val="7DEF7F14"/>
    <w:rsid w:val="7DF06192"/>
    <w:rsid w:val="7DF3DD4A"/>
    <w:rsid w:val="7DF58F03"/>
    <w:rsid w:val="7DF742F7"/>
    <w:rsid w:val="7DFBBBA5"/>
    <w:rsid w:val="7DFE013F"/>
    <w:rsid w:val="7DFEF263"/>
    <w:rsid w:val="7DFF5E42"/>
    <w:rsid w:val="7DFF65C4"/>
    <w:rsid w:val="7DFFD146"/>
    <w:rsid w:val="7E182BB0"/>
    <w:rsid w:val="7E265539"/>
    <w:rsid w:val="7E33D693"/>
    <w:rsid w:val="7E35E323"/>
    <w:rsid w:val="7E686C5A"/>
    <w:rsid w:val="7E77DC48"/>
    <w:rsid w:val="7E7B01D8"/>
    <w:rsid w:val="7E935E9B"/>
    <w:rsid w:val="7E9F01F1"/>
    <w:rsid w:val="7E9F3561"/>
    <w:rsid w:val="7E9FA171"/>
    <w:rsid w:val="7EAFE3E6"/>
    <w:rsid w:val="7EB4A2A6"/>
    <w:rsid w:val="7EB64527"/>
    <w:rsid w:val="7ECB895C"/>
    <w:rsid w:val="7ECD7C64"/>
    <w:rsid w:val="7ED72CA2"/>
    <w:rsid w:val="7EE5341C"/>
    <w:rsid w:val="7EE7A130"/>
    <w:rsid w:val="7EE9A46B"/>
    <w:rsid w:val="7EED2E5A"/>
    <w:rsid w:val="7EEFEF2B"/>
    <w:rsid w:val="7EF7242A"/>
    <w:rsid w:val="7EFB447C"/>
    <w:rsid w:val="7EFD6240"/>
    <w:rsid w:val="7EFE54F2"/>
    <w:rsid w:val="7EFE686E"/>
    <w:rsid w:val="7EFEC6E1"/>
    <w:rsid w:val="7F1A776C"/>
    <w:rsid w:val="7F1DDF2E"/>
    <w:rsid w:val="7F1E9E4A"/>
    <w:rsid w:val="7F2858AA"/>
    <w:rsid w:val="7F3B4695"/>
    <w:rsid w:val="7F3CE6C0"/>
    <w:rsid w:val="7F3D81C7"/>
    <w:rsid w:val="7F3F1D5F"/>
    <w:rsid w:val="7F53C831"/>
    <w:rsid w:val="7F5D7ADF"/>
    <w:rsid w:val="7F5F5B06"/>
    <w:rsid w:val="7F636432"/>
    <w:rsid w:val="7F66673F"/>
    <w:rsid w:val="7F6F502E"/>
    <w:rsid w:val="7F6F89E2"/>
    <w:rsid w:val="7F7638E2"/>
    <w:rsid w:val="7F77037C"/>
    <w:rsid w:val="7F77C1F4"/>
    <w:rsid w:val="7F79B8E6"/>
    <w:rsid w:val="7F7A1B1D"/>
    <w:rsid w:val="7F7B6358"/>
    <w:rsid w:val="7F7D7512"/>
    <w:rsid w:val="7F7F1D61"/>
    <w:rsid w:val="7F7F5DDC"/>
    <w:rsid w:val="7F7F940B"/>
    <w:rsid w:val="7F7F9FFC"/>
    <w:rsid w:val="7F8BEE50"/>
    <w:rsid w:val="7F972FEB"/>
    <w:rsid w:val="7F975C04"/>
    <w:rsid w:val="7F9D1054"/>
    <w:rsid w:val="7FA46FBE"/>
    <w:rsid w:val="7FA98AA5"/>
    <w:rsid w:val="7FAB5827"/>
    <w:rsid w:val="7FADB0F7"/>
    <w:rsid w:val="7FAE148A"/>
    <w:rsid w:val="7FB3810C"/>
    <w:rsid w:val="7FB7AD46"/>
    <w:rsid w:val="7FBC4F9F"/>
    <w:rsid w:val="7FBDDE66"/>
    <w:rsid w:val="7FBEC75B"/>
    <w:rsid w:val="7FBF5F1D"/>
    <w:rsid w:val="7FCBA6F6"/>
    <w:rsid w:val="7FCF433D"/>
    <w:rsid w:val="7FDB4ED8"/>
    <w:rsid w:val="7FDC8D62"/>
    <w:rsid w:val="7FDDA055"/>
    <w:rsid w:val="7FDDCE4E"/>
    <w:rsid w:val="7FDE2500"/>
    <w:rsid w:val="7FDEAADC"/>
    <w:rsid w:val="7FDFAEF0"/>
    <w:rsid w:val="7FDFBFD5"/>
    <w:rsid w:val="7FDFF737"/>
    <w:rsid w:val="7FE2AD8A"/>
    <w:rsid w:val="7FE795B7"/>
    <w:rsid w:val="7FE9EB8B"/>
    <w:rsid w:val="7FEB825A"/>
    <w:rsid w:val="7FED6E30"/>
    <w:rsid w:val="7FEF6F8E"/>
    <w:rsid w:val="7FEF8A63"/>
    <w:rsid w:val="7FF397AE"/>
    <w:rsid w:val="7FF5AB74"/>
    <w:rsid w:val="7FF6EFC5"/>
    <w:rsid w:val="7FF79A26"/>
    <w:rsid w:val="7FF7C2BE"/>
    <w:rsid w:val="7FFB5584"/>
    <w:rsid w:val="7FFC9E26"/>
    <w:rsid w:val="7FFCDADB"/>
    <w:rsid w:val="7FFD60B2"/>
    <w:rsid w:val="7FFD8E82"/>
    <w:rsid w:val="7FFE92C7"/>
    <w:rsid w:val="7FFF1E8B"/>
    <w:rsid w:val="7FFF52CA"/>
    <w:rsid w:val="7FFFDECF"/>
    <w:rsid w:val="7FFFF298"/>
    <w:rsid w:val="81FC8D9E"/>
    <w:rsid w:val="8CCF116B"/>
    <w:rsid w:val="8DFF2C36"/>
    <w:rsid w:val="8F55BBA2"/>
    <w:rsid w:val="8F7F6B22"/>
    <w:rsid w:val="8F9FE22F"/>
    <w:rsid w:val="8FFFBECD"/>
    <w:rsid w:val="94B2616A"/>
    <w:rsid w:val="95238A44"/>
    <w:rsid w:val="9739762D"/>
    <w:rsid w:val="975B1FA5"/>
    <w:rsid w:val="977F17F0"/>
    <w:rsid w:val="977FC168"/>
    <w:rsid w:val="97C29DF2"/>
    <w:rsid w:val="99FD8167"/>
    <w:rsid w:val="9A7B1CA1"/>
    <w:rsid w:val="9AF713B4"/>
    <w:rsid w:val="9BF790F4"/>
    <w:rsid w:val="9BFD44B0"/>
    <w:rsid w:val="9D739BD8"/>
    <w:rsid w:val="9D775CF4"/>
    <w:rsid w:val="9DBA55A4"/>
    <w:rsid w:val="9DBD6F18"/>
    <w:rsid w:val="9DDF448D"/>
    <w:rsid w:val="9DF5DF23"/>
    <w:rsid w:val="9DF980EE"/>
    <w:rsid w:val="9E7F3745"/>
    <w:rsid w:val="9E7FB4B8"/>
    <w:rsid w:val="9EFB6D19"/>
    <w:rsid w:val="9EFC4D05"/>
    <w:rsid w:val="9EFF9360"/>
    <w:rsid w:val="9F7A1425"/>
    <w:rsid w:val="9F7BB3E9"/>
    <w:rsid w:val="9FDF38EA"/>
    <w:rsid w:val="9FF96C85"/>
    <w:rsid w:val="9FFEA823"/>
    <w:rsid w:val="A2CFAD51"/>
    <w:rsid w:val="A5BFC585"/>
    <w:rsid w:val="A5D9E7E9"/>
    <w:rsid w:val="A7BB6379"/>
    <w:rsid w:val="A7D6B2CC"/>
    <w:rsid w:val="A7FEBCA3"/>
    <w:rsid w:val="A7FEF7EC"/>
    <w:rsid w:val="A7FFD99C"/>
    <w:rsid w:val="A8FCC435"/>
    <w:rsid w:val="AA3FACBC"/>
    <w:rsid w:val="ACBF7D5E"/>
    <w:rsid w:val="AD320048"/>
    <w:rsid w:val="AD6679EC"/>
    <w:rsid w:val="ADBBAF73"/>
    <w:rsid w:val="ADBBFD12"/>
    <w:rsid w:val="ADFFDFAC"/>
    <w:rsid w:val="AE6B5468"/>
    <w:rsid w:val="AEBBAC8A"/>
    <w:rsid w:val="AECD6D6B"/>
    <w:rsid w:val="AEFBBCCE"/>
    <w:rsid w:val="AFB7BEE8"/>
    <w:rsid w:val="AFBEA49A"/>
    <w:rsid w:val="AFCE69D3"/>
    <w:rsid w:val="AFED3C25"/>
    <w:rsid w:val="AFEF138D"/>
    <w:rsid w:val="AFEFC6B5"/>
    <w:rsid w:val="AFEFDEF1"/>
    <w:rsid w:val="B0EFDF2B"/>
    <w:rsid w:val="B1ABAC25"/>
    <w:rsid w:val="B2BF6B2E"/>
    <w:rsid w:val="B2F62B40"/>
    <w:rsid w:val="B3AF6F43"/>
    <w:rsid w:val="B4D7A148"/>
    <w:rsid w:val="B55AE484"/>
    <w:rsid w:val="B5DA5E81"/>
    <w:rsid w:val="B5E16812"/>
    <w:rsid w:val="B5FF804A"/>
    <w:rsid w:val="B5FFAE6D"/>
    <w:rsid w:val="B5FFC7D1"/>
    <w:rsid w:val="B6DF9B83"/>
    <w:rsid w:val="B6E3DB74"/>
    <w:rsid w:val="B76647F6"/>
    <w:rsid w:val="B77C14BD"/>
    <w:rsid w:val="B7B670C5"/>
    <w:rsid w:val="B7BB2007"/>
    <w:rsid w:val="B7DC1628"/>
    <w:rsid w:val="B7DDDD67"/>
    <w:rsid w:val="B7DE510A"/>
    <w:rsid w:val="B7EC7B11"/>
    <w:rsid w:val="B7EE01C3"/>
    <w:rsid w:val="B7F7BF9C"/>
    <w:rsid w:val="B7FD9A47"/>
    <w:rsid w:val="B7FDD31F"/>
    <w:rsid w:val="B87E7818"/>
    <w:rsid w:val="B97F38B3"/>
    <w:rsid w:val="B9B67A1B"/>
    <w:rsid w:val="B9DF425F"/>
    <w:rsid w:val="B9EF531D"/>
    <w:rsid w:val="B9EF5C83"/>
    <w:rsid w:val="BAB98740"/>
    <w:rsid w:val="BABE5F68"/>
    <w:rsid w:val="BAFCF287"/>
    <w:rsid w:val="BB25E291"/>
    <w:rsid w:val="BB2D9B96"/>
    <w:rsid w:val="BBD54231"/>
    <w:rsid w:val="BBDF755B"/>
    <w:rsid w:val="BBFB9FDD"/>
    <w:rsid w:val="BCAB92BD"/>
    <w:rsid w:val="BCFF58FE"/>
    <w:rsid w:val="BD3C6476"/>
    <w:rsid w:val="BD6F8EDE"/>
    <w:rsid w:val="BDB7B8F8"/>
    <w:rsid w:val="BDBD1CD4"/>
    <w:rsid w:val="BDF7294D"/>
    <w:rsid w:val="BDFC736C"/>
    <w:rsid w:val="BDFC9050"/>
    <w:rsid w:val="BDFD1001"/>
    <w:rsid w:val="BDFDB92A"/>
    <w:rsid w:val="BDFE6182"/>
    <w:rsid w:val="BDFE666D"/>
    <w:rsid w:val="BE7EDBAE"/>
    <w:rsid w:val="BE7FF2E9"/>
    <w:rsid w:val="BEBBCD6D"/>
    <w:rsid w:val="BEEB8EA0"/>
    <w:rsid w:val="BEF3A381"/>
    <w:rsid w:val="BEF67B9D"/>
    <w:rsid w:val="BEFF3D36"/>
    <w:rsid w:val="BF5791A0"/>
    <w:rsid w:val="BF7A1CFE"/>
    <w:rsid w:val="BF7C1C92"/>
    <w:rsid w:val="BF7D987B"/>
    <w:rsid w:val="BF7EAB56"/>
    <w:rsid w:val="BFAAD07C"/>
    <w:rsid w:val="BFB64F0C"/>
    <w:rsid w:val="BFB7ABB0"/>
    <w:rsid w:val="BFD6273F"/>
    <w:rsid w:val="BFDBCEC0"/>
    <w:rsid w:val="BFDDFD3C"/>
    <w:rsid w:val="BFE70341"/>
    <w:rsid w:val="BFEF9016"/>
    <w:rsid w:val="BFEFE493"/>
    <w:rsid w:val="BFF546FD"/>
    <w:rsid w:val="BFF5EF25"/>
    <w:rsid w:val="BFF7BA7A"/>
    <w:rsid w:val="BFFF069B"/>
    <w:rsid w:val="BFFF6F43"/>
    <w:rsid w:val="BFFF836E"/>
    <w:rsid w:val="BFFFF6CB"/>
    <w:rsid w:val="C22FC8DA"/>
    <w:rsid w:val="C94F6CDA"/>
    <w:rsid w:val="CAD871DE"/>
    <w:rsid w:val="CBBF0A95"/>
    <w:rsid w:val="CC55FC98"/>
    <w:rsid w:val="CD79BA04"/>
    <w:rsid w:val="CDFFBE8F"/>
    <w:rsid w:val="CDFFEA10"/>
    <w:rsid w:val="CE3B1E56"/>
    <w:rsid w:val="CED31ECF"/>
    <w:rsid w:val="CEFCEE40"/>
    <w:rsid w:val="CF3A8CD0"/>
    <w:rsid w:val="CF5E3413"/>
    <w:rsid w:val="CF7A2E64"/>
    <w:rsid w:val="CF7EED66"/>
    <w:rsid w:val="CF9F88DD"/>
    <w:rsid w:val="CFAF61D4"/>
    <w:rsid w:val="CFBFC478"/>
    <w:rsid w:val="CFDD6B5D"/>
    <w:rsid w:val="CFFB847B"/>
    <w:rsid w:val="CFFF7133"/>
    <w:rsid w:val="CFFFCE86"/>
    <w:rsid w:val="D33F9935"/>
    <w:rsid w:val="D3AF1C6F"/>
    <w:rsid w:val="D3E11940"/>
    <w:rsid w:val="D3F50B4B"/>
    <w:rsid w:val="D47CBDC1"/>
    <w:rsid w:val="D4F9FC08"/>
    <w:rsid w:val="D52F07D6"/>
    <w:rsid w:val="D5D5722B"/>
    <w:rsid w:val="D63A1E76"/>
    <w:rsid w:val="D673DFF7"/>
    <w:rsid w:val="D6778317"/>
    <w:rsid w:val="D73769BC"/>
    <w:rsid w:val="D75D2912"/>
    <w:rsid w:val="D76FCCBE"/>
    <w:rsid w:val="D77F2ACB"/>
    <w:rsid w:val="D77F59B2"/>
    <w:rsid w:val="D77F67BD"/>
    <w:rsid w:val="D77FAC60"/>
    <w:rsid w:val="D79F40E2"/>
    <w:rsid w:val="D7A6E242"/>
    <w:rsid w:val="D7E437EC"/>
    <w:rsid w:val="D7EBFAF4"/>
    <w:rsid w:val="D7EFE41E"/>
    <w:rsid w:val="D7FBD148"/>
    <w:rsid w:val="D7FE0BDF"/>
    <w:rsid w:val="D8FF12DD"/>
    <w:rsid w:val="DA9F2D09"/>
    <w:rsid w:val="DABF6182"/>
    <w:rsid w:val="DAFF5087"/>
    <w:rsid w:val="DB2C730D"/>
    <w:rsid w:val="DB9B6D6C"/>
    <w:rsid w:val="DB9F8E74"/>
    <w:rsid w:val="DBBD12DD"/>
    <w:rsid w:val="DBEFBBF7"/>
    <w:rsid w:val="DBF2BDD0"/>
    <w:rsid w:val="DBF3534B"/>
    <w:rsid w:val="DBFFAD9F"/>
    <w:rsid w:val="DD5D0932"/>
    <w:rsid w:val="DD8FF722"/>
    <w:rsid w:val="DDAE6D49"/>
    <w:rsid w:val="DDB300AD"/>
    <w:rsid w:val="DDD7C902"/>
    <w:rsid w:val="DDE77829"/>
    <w:rsid w:val="DDF2D264"/>
    <w:rsid w:val="DDFAA2B4"/>
    <w:rsid w:val="DDFDA96F"/>
    <w:rsid w:val="DDFE27DF"/>
    <w:rsid w:val="DDFEC788"/>
    <w:rsid w:val="DE9D8523"/>
    <w:rsid w:val="DECFACD1"/>
    <w:rsid w:val="DEDDFFAD"/>
    <w:rsid w:val="DEDF0B24"/>
    <w:rsid w:val="DEEBB1C4"/>
    <w:rsid w:val="DEF9D6DF"/>
    <w:rsid w:val="DEFA41EF"/>
    <w:rsid w:val="DF0F355E"/>
    <w:rsid w:val="DF5FD892"/>
    <w:rsid w:val="DF6F9B5B"/>
    <w:rsid w:val="DF7F4427"/>
    <w:rsid w:val="DF7FF001"/>
    <w:rsid w:val="DFAF0F5D"/>
    <w:rsid w:val="DFBA3037"/>
    <w:rsid w:val="DFBDD97C"/>
    <w:rsid w:val="DFCC08F8"/>
    <w:rsid w:val="DFCED94F"/>
    <w:rsid w:val="DFDD9BC5"/>
    <w:rsid w:val="DFDF1A70"/>
    <w:rsid w:val="DFE4EB09"/>
    <w:rsid w:val="DFE9CC7B"/>
    <w:rsid w:val="DFEB65CE"/>
    <w:rsid w:val="DFECF3A3"/>
    <w:rsid w:val="DFFB2346"/>
    <w:rsid w:val="DFFD0AEB"/>
    <w:rsid w:val="DFFFC089"/>
    <w:rsid w:val="E0DEC7DE"/>
    <w:rsid w:val="E1D56555"/>
    <w:rsid w:val="E1FB8ABD"/>
    <w:rsid w:val="E1FF35F9"/>
    <w:rsid w:val="E37CD4CD"/>
    <w:rsid w:val="E38A6F17"/>
    <w:rsid w:val="E3FBD2E1"/>
    <w:rsid w:val="E57E9CCB"/>
    <w:rsid w:val="E5937680"/>
    <w:rsid w:val="E5BB126D"/>
    <w:rsid w:val="E5F3EE92"/>
    <w:rsid w:val="E69FBC69"/>
    <w:rsid w:val="E6B7BB34"/>
    <w:rsid w:val="E78DA6C8"/>
    <w:rsid w:val="E7BF628A"/>
    <w:rsid w:val="E7D7F66E"/>
    <w:rsid w:val="E7EE67D5"/>
    <w:rsid w:val="E7EF842A"/>
    <w:rsid w:val="E8BA5C29"/>
    <w:rsid w:val="E975A3D0"/>
    <w:rsid w:val="E97FEEDB"/>
    <w:rsid w:val="E9974826"/>
    <w:rsid w:val="E9C632A8"/>
    <w:rsid w:val="EA571CB9"/>
    <w:rsid w:val="EAFB3856"/>
    <w:rsid w:val="EB9F987B"/>
    <w:rsid w:val="EBE32C4E"/>
    <w:rsid w:val="EBEF4B67"/>
    <w:rsid w:val="EBF7C40F"/>
    <w:rsid w:val="ECBEC289"/>
    <w:rsid w:val="ECE260A8"/>
    <w:rsid w:val="ECE7BD30"/>
    <w:rsid w:val="ECE7D744"/>
    <w:rsid w:val="ECF9C09E"/>
    <w:rsid w:val="ED5F568B"/>
    <w:rsid w:val="ED67A20C"/>
    <w:rsid w:val="ED7A02F4"/>
    <w:rsid w:val="ED97B2C6"/>
    <w:rsid w:val="EDB294C2"/>
    <w:rsid w:val="EDB72FAF"/>
    <w:rsid w:val="EDFD4E32"/>
    <w:rsid w:val="EDFDBA8E"/>
    <w:rsid w:val="EE3F3E53"/>
    <w:rsid w:val="EE575865"/>
    <w:rsid w:val="EE6D4CFE"/>
    <w:rsid w:val="EE7FB132"/>
    <w:rsid w:val="EE9D0791"/>
    <w:rsid w:val="EE9F7F9C"/>
    <w:rsid w:val="EEBFDA25"/>
    <w:rsid w:val="EEE56766"/>
    <w:rsid w:val="EEF605B2"/>
    <w:rsid w:val="EF15FC38"/>
    <w:rsid w:val="EF3BCB8A"/>
    <w:rsid w:val="EF5E2093"/>
    <w:rsid w:val="EF5EB28F"/>
    <w:rsid w:val="EF790DBF"/>
    <w:rsid w:val="EF97E154"/>
    <w:rsid w:val="EFB64B61"/>
    <w:rsid w:val="EFBFE90B"/>
    <w:rsid w:val="EFBFFAE5"/>
    <w:rsid w:val="EFD6072C"/>
    <w:rsid w:val="EFDB06C9"/>
    <w:rsid w:val="EFDF74E9"/>
    <w:rsid w:val="EFE772A8"/>
    <w:rsid w:val="EFEBF3FF"/>
    <w:rsid w:val="EFEECD9C"/>
    <w:rsid w:val="EFF9884E"/>
    <w:rsid w:val="EFFAD8A3"/>
    <w:rsid w:val="EFFBC295"/>
    <w:rsid w:val="EFFE627C"/>
    <w:rsid w:val="EFFEAC45"/>
    <w:rsid w:val="EFFF01ED"/>
    <w:rsid w:val="F07F689A"/>
    <w:rsid w:val="F1AF3F9E"/>
    <w:rsid w:val="F1DE0743"/>
    <w:rsid w:val="F1FDDCD2"/>
    <w:rsid w:val="F275A96F"/>
    <w:rsid w:val="F27FD5CA"/>
    <w:rsid w:val="F2B5AF9B"/>
    <w:rsid w:val="F2EE19F7"/>
    <w:rsid w:val="F2EF5909"/>
    <w:rsid w:val="F39FA8C7"/>
    <w:rsid w:val="F3AD78A5"/>
    <w:rsid w:val="F3CF9669"/>
    <w:rsid w:val="F3DECD7C"/>
    <w:rsid w:val="F3EF04DD"/>
    <w:rsid w:val="F3F486FF"/>
    <w:rsid w:val="F3F6B08C"/>
    <w:rsid w:val="F3FAB127"/>
    <w:rsid w:val="F3FF9E78"/>
    <w:rsid w:val="F43D69E6"/>
    <w:rsid w:val="F459A768"/>
    <w:rsid w:val="F4D7818A"/>
    <w:rsid w:val="F4F54943"/>
    <w:rsid w:val="F53761BC"/>
    <w:rsid w:val="F55796BE"/>
    <w:rsid w:val="F5BBEDD7"/>
    <w:rsid w:val="F5D41888"/>
    <w:rsid w:val="F5DBDE94"/>
    <w:rsid w:val="F5DF1CEC"/>
    <w:rsid w:val="F5DF48D8"/>
    <w:rsid w:val="F5FF80C7"/>
    <w:rsid w:val="F665F9A5"/>
    <w:rsid w:val="F6690979"/>
    <w:rsid w:val="F6B65C93"/>
    <w:rsid w:val="F6EB0256"/>
    <w:rsid w:val="F6F4D7F8"/>
    <w:rsid w:val="F6F6DCBC"/>
    <w:rsid w:val="F6FF7856"/>
    <w:rsid w:val="F71C4352"/>
    <w:rsid w:val="F74F9965"/>
    <w:rsid w:val="F75BFF0D"/>
    <w:rsid w:val="F763EDE2"/>
    <w:rsid w:val="F76E210C"/>
    <w:rsid w:val="F774BFE6"/>
    <w:rsid w:val="F77986C8"/>
    <w:rsid w:val="F77B321F"/>
    <w:rsid w:val="F77B408B"/>
    <w:rsid w:val="F77F97DC"/>
    <w:rsid w:val="F77FF897"/>
    <w:rsid w:val="F79D10B1"/>
    <w:rsid w:val="F79E8416"/>
    <w:rsid w:val="F7CF9835"/>
    <w:rsid w:val="F7DBCA94"/>
    <w:rsid w:val="F7DFEEBC"/>
    <w:rsid w:val="F7E9711B"/>
    <w:rsid w:val="F7EBC939"/>
    <w:rsid w:val="F7FC54D6"/>
    <w:rsid w:val="F7FD2AE7"/>
    <w:rsid w:val="F7FE578C"/>
    <w:rsid w:val="F7FE6072"/>
    <w:rsid w:val="F7FF22C0"/>
    <w:rsid w:val="F7FF53A9"/>
    <w:rsid w:val="F7FF57BA"/>
    <w:rsid w:val="F7FFB5EB"/>
    <w:rsid w:val="F7FFC299"/>
    <w:rsid w:val="F8EF4B97"/>
    <w:rsid w:val="F8F669A7"/>
    <w:rsid w:val="F92F0AE2"/>
    <w:rsid w:val="F97E1DD6"/>
    <w:rsid w:val="F98E907B"/>
    <w:rsid w:val="F9ABBBF1"/>
    <w:rsid w:val="F9BFF87B"/>
    <w:rsid w:val="F9F4BDD8"/>
    <w:rsid w:val="F9FD2AAC"/>
    <w:rsid w:val="F9FE873A"/>
    <w:rsid w:val="FA3B0446"/>
    <w:rsid w:val="FA5F584C"/>
    <w:rsid w:val="FA7BD2F9"/>
    <w:rsid w:val="FACB7B29"/>
    <w:rsid w:val="FAD3E4D5"/>
    <w:rsid w:val="FAE78DE5"/>
    <w:rsid w:val="FB1E7EC1"/>
    <w:rsid w:val="FB1F9414"/>
    <w:rsid w:val="FB355D81"/>
    <w:rsid w:val="FB379058"/>
    <w:rsid w:val="FB5D17E5"/>
    <w:rsid w:val="FB6F2860"/>
    <w:rsid w:val="FB7E39E0"/>
    <w:rsid w:val="FB97A31D"/>
    <w:rsid w:val="FBBFC445"/>
    <w:rsid w:val="FBCD5E1D"/>
    <w:rsid w:val="FBDAEDC4"/>
    <w:rsid w:val="FBDDB003"/>
    <w:rsid w:val="FBDF482A"/>
    <w:rsid w:val="FBE36CDC"/>
    <w:rsid w:val="FBEF57BF"/>
    <w:rsid w:val="FBF6243C"/>
    <w:rsid w:val="FBF862CA"/>
    <w:rsid w:val="FBFE664A"/>
    <w:rsid w:val="FC0B33A6"/>
    <w:rsid w:val="FC2BA635"/>
    <w:rsid w:val="FC728928"/>
    <w:rsid w:val="FCAE3717"/>
    <w:rsid w:val="FCE53D9E"/>
    <w:rsid w:val="FCE5A996"/>
    <w:rsid w:val="FCF247FB"/>
    <w:rsid w:val="FCFB82CF"/>
    <w:rsid w:val="FD0E2BED"/>
    <w:rsid w:val="FD36703E"/>
    <w:rsid w:val="FD3FE854"/>
    <w:rsid w:val="FD658D06"/>
    <w:rsid w:val="FD7EB6ED"/>
    <w:rsid w:val="FD9ED679"/>
    <w:rsid w:val="FDA38722"/>
    <w:rsid w:val="FDAF04E2"/>
    <w:rsid w:val="FDBE70A3"/>
    <w:rsid w:val="FDBFB070"/>
    <w:rsid w:val="FDD7BF7C"/>
    <w:rsid w:val="FDDF994D"/>
    <w:rsid w:val="FDDFDD53"/>
    <w:rsid w:val="FDE7E218"/>
    <w:rsid w:val="FDEF0100"/>
    <w:rsid w:val="FDF62A8E"/>
    <w:rsid w:val="FDFBB0A0"/>
    <w:rsid w:val="FDFDC06C"/>
    <w:rsid w:val="FDFF93BB"/>
    <w:rsid w:val="FDFFBD30"/>
    <w:rsid w:val="FE0751ED"/>
    <w:rsid w:val="FE19086F"/>
    <w:rsid w:val="FE2F94DF"/>
    <w:rsid w:val="FE3A8CE8"/>
    <w:rsid w:val="FE5F1EA1"/>
    <w:rsid w:val="FE5F99CD"/>
    <w:rsid w:val="FE766A49"/>
    <w:rsid w:val="FE7B2013"/>
    <w:rsid w:val="FE7D7558"/>
    <w:rsid w:val="FEA6D986"/>
    <w:rsid w:val="FEBF411F"/>
    <w:rsid w:val="FEC7D94E"/>
    <w:rsid w:val="FEDE7BFF"/>
    <w:rsid w:val="FEEF8656"/>
    <w:rsid w:val="FEF5628B"/>
    <w:rsid w:val="FEF70E4F"/>
    <w:rsid w:val="FEF75C67"/>
    <w:rsid w:val="FEF7B17E"/>
    <w:rsid w:val="FEFD679D"/>
    <w:rsid w:val="FEFD8EC7"/>
    <w:rsid w:val="FEFF228B"/>
    <w:rsid w:val="FEFFD37C"/>
    <w:rsid w:val="FEFFE850"/>
    <w:rsid w:val="FEFFFC66"/>
    <w:rsid w:val="FF15CB73"/>
    <w:rsid w:val="FF1F817F"/>
    <w:rsid w:val="FF3AF8FE"/>
    <w:rsid w:val="FF3B7E66"/>
    <w:rsid w:val="FF3F18F6"/>
    <w:rsid w:val="FF3F44E7"/>
    <w:rsid w:val="FF3F5CC2"/>
    <w:rsid w:val="FF3FD71D"/>
    <w:rsid w:val="FF3FE2E2"/>
    <w:rsid w:val="FF4B5372"/>
    <w:rsid w:val="FF592ADA"/>
    <w:rsid w:val="FF5B696B"/>
    <w:rsid w:val="FF678535"/>
    <w:rsid w:val="FF756870"/>
    <w:rsid w:val="FF77F0EA"/>
    <w:rsid w:val="FF7B0494"/>
    <w:rsid w:val="FF7E0F3F"/>
    <w:rsid w:val="FF7F32C2"/>
    <w:rsid w:val="FF9FBAA2"/>
    <w:rsid w:val="FFA5C015"/>
    <w:rsid w:val="FFA7369E"/>
    <w:rsid w:val="FFB7ACDC"/>
    <w:rsid w:val="FFBBDCB1"/>
    <w:rsid w:val="FFBD00C2"/>
    <w:rsid w:val="FFBEB189"/>
    <w:rsid w:val="FFBF1638"/>
    <w:rsid w:val="FFBFAC09"/>
    <w:rsid w:val="FFC7480F"/>
    <w:rsid w:val="FFCE2C70"/>
    <w:rsid w:val="FFCED8ED"/>
    <w:rsid w:val="FFCF7E37"/>
    <w:rsid w:val="FFD61B7A"/>
    <w:rsid w:val="FFDD37AF"/>
    <w:rsid w:val="FFDD3B3B"/>
    <w:rsid w:val="FFDD3D9B"/>
    <w:rsid w:val="FFDD3ED7"/>
    <w:rsid w:val="FFDF183B"/>
    <w:rsid w:val="FFDF39DC"/>
    <w:rsid w:val="FFDF4C6E"/>
    <w:rsid w:val="FFDF9DA4"/>
    <w:rsid w:val="FFDFB186"/>
    <w:rsid w:val="FFEAA8DE"/>
    <w:rsid w:val="FFEDC7EE"/>
    <w:rsid w:val="FFEEA782"/>
    <w:rsid w:val="FFEF3DD1"/>
    <w:rsid w:val="FFEFD100"/>
    <w:rsid w:val="FFEFF619"/>
    <w:rsid w:val="FFF17FC1"/>
    <w:rsid w:val="FFF289A4"/>
    <w:rsid w:val="FFF51E5A"/>
    <w:rsid w:val="FFF528D5"/>
    <w:rsid w:val="FFF5EEDD"/>
    <w:rsid w:val="FFF64A06"/>
    <w:rsid w:val="FFF731FF"/>
    <w:rsid w:val="FFF93B01"/>
    <w:rsid w:val="FFFA53F4"/>
    <w:rsid w:val="FFFB5CF4"/>
    <w:rsid w:val="FFFD10D7"/>
    <w:rsid w:val="FFFD482B"/>
    <w:rsid w:val="FFFDD130"/>
    <w:rsid w:val="FFFDD19A"/>
    <w:rsid w:val="FFFE1265"/>
    <w:rsid w:val="FFFF8155"/>
    <w:rsid w:val="FFFF8A3E"/>
    <w:rsid w:val="FFFF9C56"/>
    <w:rsid w:val="FFFFB57A"/>
    <w:rsid w:val="FFFFC9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200" w:firstLineChars="200"/>
      <w:jc w:val="both"/>
    </w:pPr>
    <w:rPr>
      <w:rFonts w:ascii="Times New Roman" w:hAnsi="Times New Roman" w:eastAsia="仿宋_GB2312" w:cs="Times New Roman"/>
      <w:kern w:val="2"/>
      <w:sz w:val="28"/>
      <w:szCs w:val="22"/>
      <w:lang w:val="en-US" w:eastAsia="zh-CN" w:bidi="ar-SA"/>
    </w:rPr>
  </w:style>
  <w:style w:type="paragraph" w:styleId="4">
    <w:name w:val="heading 1"/>
    <w:basedOn w:val="1"/>
    <w:next w:val="1"/>
    <w:link w:val="34"/>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26"/>
    <w:qFormat/>
    <w:uiPriority w:val="9"/>
    <w:pPr>
      <w:keepNext/>
      <w:keepLines/>
      <w:spacing w:line="312" w:lineRule="auto"/>
      <w:ind w:firstLine="0" w:firstLineChars="0"/>
      <w:jc w:val="center"/>
      <w:outlineLvl w:val="1"/>
    </w:pPr>
    <w:rPr>
      <w:rFonts w:ascii="Cambria" w:hAnsi="Cambria" w:eastAsia="宋体"/>
      <w:b/>
      <w:bCs/>
      <w:sz w:val="36"/>
      <w:szCs w:val="32"/>
    </w:rPr>
  </w:style>
  <w:style w:type="paragraph" w:styleId="6">
    <w:name w:val="heading 3"/>
    <w:basedOn w:val="1"/>
    <w:next w:val="1"/>
    <w:unhideWhenUsed/>
    <w:qFormat/>
    <w:uiPriority w:val="9"/>
    <w:pPr>
      <w:keepNext/>
      <w:keepLines/>
      <w:spacing w:before="260" w:after="260" w:line="413" w:lineRule="auto"/>
      <w:ind w:firstLine="1120"/>
      <w:jc w:val="left"/>
      <w:outlineLvl w:val="2"/>
    </w:pPr>
    <w:rPr>
      <w:rFonts w:ascii="Calibri" w:hAnsi="Calibri" w:eastAsia="宋体"/>
      <w:b/>
      <w:sz w:val="36"/>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link w:val="38"/>
    <w:unhideWhenUsed/>
    <w:qFormat/>
    <w:uiPriority w:val="99"/>
    <w:pPr>
      <w:ind w:firstLine="420"/>
    </w:pPr>
    <w:rPr>
      <w:rFonts w:hint="eastAsia" w:eastAsia="宋体"/>
      <w:sz w:val="21"/>
      <w:szCs w:val="20"/>
    </w:rPr>
  </w:style>
  <w:style w:type="paragraph" w:styleId="3">
    <w:name w:val="Body Text Indent"/>
    <w:basedOn w:val="1"/>
    <w:link w:val="37"/>
    <w:unhideWhenUsed/>
    <w:qFormat/>
    <w:uiPriority w:val="99"/>
    <w:pPr>
      <w:spacing w:after="120"/>
      <w:ind w:left="420" w:leftChars="200"/>
    </w:pPr>
  </w:style>
  <w:style w:type="paragraph" w:styleId="7">
    <w:name w:val="annotation text"/>
    <w:basedOn w:val="1"/>
    <w:link w:val="31"/>
    <w:unhideWhenUsed/>
    <w:qFormat/>
    <w:uiPriority w:val="99"/>
    <w:pPr>
      <w:jc w:val="left"/>
    </w:pPr>
  </w:style>
  <w:style w:type="paragraph" w:styleId="8">
    <w:name w:val="Body Text"/>
    <w:basedOn w:val="1"/>
    <w:link w:val="50"/>
    <w:unhideWhenUsed/>
    <w:qFormat/>
    <w:uiPriority w:val="99"/>
    <w:pPr>
      <w:spacing w:after="120"/>
      <w:ind w:left="980" w:hanging="420"/>
    </w:pPr>
    <w:rPr>
      <w:rFonts w:ascii="Calibri" w:hAnsi="Calibri" w:eastAsia="宋体"/>
    </w:rPr>
  </w:style>
  <w:style w:type="paragraph" w:styleId="9">
    <w:name w:val="toc 3"/>
    <w:basedOn w:val="1"/>
    <w:next w:val="1"/>
    <w:unhideWhenUsed/>
    <w:qFormat/>
    <w:uiPriority w:val="39"/>
    <w:pPr>
      <w:ind w:left="840" w:leftChars="400"/>
    </w:pPr>
  </w:style>
  <w:style w:type="paragraph" w:styleId="10">
    <w:name w:val="Date"/>
    <w:basedOn w:val="1"/>
    <w:next w:val="1"/>
    <w:link w:val="36"/>
    <w:unhideWhenUsed/>
    <w:qFormat/>
    <w:uiPriority w:val="99"/>
    <w:pPr>
      <w:ind w:left="100" w:leftChars="2500"/>
    </w:pPr>
  </w:style>
  <w:style w:type="paragraph" w:styleId="11">
    <w:name w:val="Balloon Text"/>
    <w:basedOn w:val="1"/>
    <w:link w:val="29"/>
    <w:unhideWhenUsed/>
    <w:qFormat/>
    <w:uiPriority w:val="99"/>
    <w:rPr>
      <w:sz w:val="18"/>
      <w:szCs w:val="18"/>
    </w:rPr>
  </w:style>
  <w:style w:type="paragraph" w:styleId="12">
    <w:name w:val="footer"/>
    <w:basedOn w:val="1"/>
    <w:link w:val="28"/>
    <w:unhideWhenUsed/>
    <w:qFormat/>
    <w:uiPriority w:val="99"/>
    <w:pPr>
      <w:tabs>
        <w:tab w:val="center" w:pos="4153"/>
        <w:tab w:val="right" w:pos="8306"/>
      </w:tabs>
      <w:snapToGrid w:val="0"/>
      <w:jc w:val="left"/>
    </w:pPr>
    <w:rPr>
      <w:sz w:val="18"/>
      <w:szCs w:val="18"/>
    </w:rPr>
  </w:style>
  <w:style w:type="paragraph" w:styleId="13">
    <w:name w:val="header"/>
    <w:basedOn w:val="1"/>
    <w:link w:val="27"/>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style>
  <w:style w:type="paragraph" w:styleId="15">
    <w:name w:val="toc 2"/>
    <w:basedOn w:val="1"/>
    <w:next w:val="1"/>
    <w:unhideWhenUsed/>
    <w:qFormat/>
    <w:uiPriority w:val="39"/>
    <w:pPr>
      <w:ind w:left="420" w:leftChars="200"/>
    </w:pPr>
  </w:style>
  <w:style w:type="paragraph" w:styleId="16">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kern w:val="0"/>
      <w:sz w:val="24"/>
      <w:szCs w:val="24"/>
    </w:rPr>
  </w:style>
  <w:style w:type="paragraph" w:styleId="17">
    <w:name w:val="Normal (Web)"/>
    <w:basedOn w:val="1"/>
    <w:qFormat/>
    <w:uiPriority w:val="0"/>
    <w:pPr>
      <w:widowControl/>
      <w:spacing w:before="100" w:beforeAutospacing="1" w:after="100" w:afterAutospacing="1"/>
      <w:ind w:firstLine="0" w:firstLineChars="0"/>
      <w:jc w:val="left"/>
    </w:pPr>
    <w:rPr>
      <w:rFonts w:ascii="宋体" w:hAnsi="宋体" w:eastAsia="宋体" w:cs="宋体"/>
      <w:color w:val="000000"/>
      <w:kern w:val="0"/>
      <w:sz w:val="24"/>
      <w:szCs w:val="24"/>
    </w:rPr>
  </w:style>
  <w:style w:type="paragraph" w:styleId="18">
    <w:name w:val="annotation subject"/>
    <w:basedOn w:val="7"/>
    <w:next w:val="7"/>
    <w:link w:val="32"/>
    <w:unhideWhenUsed/>
    <w:qFormat/>
    <w:uiPriority w:val="99"/>
    <w:rPr>
      <w:b/>
      <w:bCs/>
    </w:rPr>
  </w:style>
  <w:style w:type="paragraph" w:styleId="19">
    <w:name w:val="Body Text First Indent"/>
    <w:basedOn w:val="8"/>
    <w:link w:val="55"/>
    <w:semiHidden/>
    <w:unhideWhenUsed/>
    <w:qFormat/>
    <w:uiPriority w:val="99"/>
    <w:pPr>
      <w:ind w:left="0" w:firstLine="420" w:firstLineChars="100"/>
    </w:pPr>
    <w:rPr>
      <w:rFonts w:ascii="Times New Roman" w:hAnsi="Times New Roman" w:eastAsia="仿宋_GB2312"/>
    </w:rPr>
  </w:style>
  <w:style w:type="table" w:styleId="21">
    <w:name w:val="Table Grid"/>
    <w:basedOn w:val="2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22"/>
    <w:rPr>
      <w:b/>
    </w:rPr>
  </w:style>
  <w:style w:type="character" w:styleId="24">
    <w:name w:val="Hyperlink"/>
    <w:basedOn w:val="22"/>
    <w:unhideWhenUsed/>
    <w:qFormat/>
    <w:uiPriority w:val="99"/>
    <w:rPr>
      <w:color w:val="0000FF"/>
      <w:u w:val="single"/>
    </w:rPr>
  </w:style>
  <w:style w:type="character" w:styleId="25">
    <w:name w:val="annotation reference"/>
    <w:basedOn w:val="22"/>
    <w:unhideWhenUsed/>
    <w:qFormat/>
    <w:uiPriority w:val="99"/>
    <w:rPr>
      <w:sz w:val="21"/>
      <w:szCs w:val="21"/>
    </w:rPr>
  </w:style>
  <w:style w:type="character" w:customStyle="1" w:styleId="26">
    <w:name w:val="标题 2 字符"/>
    <w:basedOn w:val="22"/>
    <w:link w:val="5"/>
    <w:qFormat/>
    <w:uiPriority w:val="9"/>
    <w:rPr>
      <w:rFonts w:ascii="Cambria" w:hAnsi="Cambria" w:eastAsia="宋体" w:cs="Times New Roman"/>
      <w:b/>
      <w:bCs/>
      <w:sz w:val="36"/>
      <w:szCs w:val="32"/>
    </w:rPr>
  </w:style>
  <w:style w:type="character" w:customStyle="1" w:styleId="27">
    <w:name w:val="页眉 字符"/>
    <w:basedOn w:val="22"/>
    <w:link w:val="13"/>
    <w:qFormat/>
    <w:uiPriority w:val="99"/>
    <w:rPr>
      <w:rFonts w:ascii="Times New Roman" w:hAnsi="Times New Roman" w:eastAsia="仿宋_GB2312" w:cs="Times New Roman"/>
      <w:sz w:val="18"/>
      <w:szCs w:val="18"/>
    </w:rPr>
  </w:style>
  <w:style w:type="character" w:customStyle="1" w:styleId="28">
    <w:name w:val="页脚 字符"/>
    <w:basedOn w:val="22"/>
    <w:link w:val="12"/>
    <w:qFormat/>
    <w:uiPriority w:val="99"/>
    <w:rPr>
      <w:rFonts w:ascii="Times New Roman" w:hAnsi="Times New Roman" w:eastAsia="仿宋_GB2312" w:cs="Times New Roman"/>
      <w:sz w:val="18"/>
      <w:szCs w:val="18"/>
    </w:rPr>
  </w:style>
  <w:style w:type="character" w:customStyle="1" w:styleId="29">
    <w:name w:val="批注框文本 字符"/>
    <w:basedOn w:val="22"/>
    <w:link w:val="11"/>
    <w:semiHidden/>
    <w:qFormat/>
    <w:uiPriority w:val="99"/>
    <w:rPr>
      <w:rFonts w:ascii="Times New Roman" w:hAnsi="Times New Roman" w:eastAsia="仿宋_GB2312" w:cs="Times New Roman"/>
      <w:sz w:val="18"/>
      <w:szCs w:val="18"/>
    </w:rPr>
  </w:style>
  <w:style w:type="paragraph" w:customStyle="1" w:styleId="30">
    <w:name w:val="列出段落1"/>
    <w:basedOn w:val="1"/>
    <w:qFormat/>
    <w:uiPriority w:val="99"/>
    <w:pPr>
      <w:ind w:firstLine="420"/>
    </w:pPr>
  </w:style>
  <w:style w:type="character" w:customStyle="1" w:styleId="31">
    <w:name w:val="批注文字 字符"/>
    <w:basedOn w:val="22"/>
    <w:link w:val="7"/>
    <w:qFormat/>
    <w:uiPriority w:val="99"/>
    <w:rPr>
      <w:rFonts w:eastAsia="仿宋_GB2312"/>
      <w:kern w:val="2"/>
      <w:sz w:val="28"/>
      <w:szCs w:val="22"/>
    </w:rPr>
  </w:style>
  <w:style w:type="character" w:customStyle="1" w:styleId="32">
    <w:name w:val="批注主题 字符"/>
    <w:basedOn w:val="31"/>
    <w:link w:val="18"/>
    <w:semiHidden/>
    <w:qFormat/>
    <w:uiPriority w:val="99"/>
    <w:rPr>
      <w:rFonts w:eastAsia="仿宋_GB2312"/>
      <w:b/>
      <w:bCs/>
      <w:kern w:val="2"/>
      <w:sz w:val="28"/>
      <w:szCs w:val="22"/>
    </w:rPr>
  </w:style>
  <w:style w:type="character" w:customStyle="1" w:styleId="33">
    <w:name w:val="未处理的提及1"/>
    <w:basedOn w:val="22"/>
    <w:unhideWhenUsed/>
    <w:qFormat/>
    <w:uiPriority w:val="99"/>
    <w:rPr>
      <w:color w:val="605E5C"/>
      <w:shd w:val="clear" w:color="auto" w:fill="E1DFDD"/>
    </w:rPr>
  </w:style>
  <w:style w:type="character" w:customStyle="1" w:styleId="34">
    <w:name w:val="标题 1 字符"/>
    <w:basedOn w:val="22"/>
    <w:link w:val="4"/>
    <w:qFormat/>
    <w:uiPriority w:val="9"/>
    <w:rPr>
      <w:rFonts w:eastAsia="仿宋_GB2312"/>
      <w:b/>
      <w:bCs/>
      <w:kern w:val="44"/>
      <w:sz w:val="44"/>
      <w:szCs w:val="44"/>
    </w:rPr>
  </w:style>
  <w:style w:type="paragraph" w:customStyle="1" w:styleId="35">
    <w:name w:val="TOC 标题1"/>
    <w:basedOn w:val="4"/>
    <w:next w:val="1"/>
    <w:unhideWhenUsed/>
    <w:qFormat/>
    <w:uiPriority w:val="39"/>
    <w:pPr>
      <w:widowControl/>
      <w:spacing w:before="240" w:after="0" w:line="259" w:lineRule="auto"/>
      <w:ind w:firstLine="0" w:firstLineChars="0"/>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36">
    <w:name w:val="日期 字符"/>
    <w:basedOn w:val="22"/>
    <w:link w:val="10"/>
    <w:semiHidden/>
    <w:qFormat/>
    <w:uiPriority w:val="99"/>
    <w:rPr>
      <w:rFonts w:eastAsia="仿宋_GB2312"/>
      <w:kern w:val="2"/>
      <w:sz w:val="28"/>
      <w:szCs w:val="22"/>
    </w:rPr>
  </w:style>
  <w:style w:type="character" w:customStyle="1" w:styleId="37">
    <w:name w:val="正文文本缩进 字符"/>
    <w:basedOn w:val="22"/>
    <w:link w:val="3"/>
    <w:semiHidden/>
    <w:qFormat/>
    <w:uiPriority w:val="99"/>
    <w:rPr>
      <w:rFonts w:eastAsia="仿宋_GB2312"/>
      <w:kern w:val="2"/>
      <w:sz w:val="28"/>
      <w:szCs w:val="22"/>
    </w:rPr>
  </w:style>
  <w:style w:type="character" w:customStyle="1" w:styleId="38">
    <w:name w:val="正文文本首行缩进 2 字符"/>
    <w:basedOn w:val="37"/>
    <w:link w:val="2"/>
    <w:qFormat/>
    <w:uiPriority w:val="99"/>
    <w:rPr>
      <w:rFonts w:eastAsia="仿宋_GB2312"/>
      <w:kern w:val="2"/>
      <w:sz w:val="21"/>
      <w:szCs w:val="22"/>
    </w:rPr>
  </w:style>
  <w:style w:type="paragraph" w:customStyle="1" w:styleId="39">
    <w:name w:val="p0"/>
    <w:basedOn w:val="1"/>
    <w:qFormat/>
    <w:uiPriority w:val="0"/>
    <w:pPr>
      <w:spacing w:line="600" w:lineRule="atLeast"/>
      <w:ind w:firstLine="420"/>
    </w:pPr>
    <w:rPr>
      <w:rFonts w:eastAsia="宋体"/>
      <w:kern w:val="0"/>
      <w:sz w:val="32"/>
      <w:szCs w:val="32"/>
    </w:rPr>
  </w:style>
  <w:style w:type="character" w:customStyle="1" w:styleId="40">
    <w:name w:val="font61"/>
    <w:basedOn w:val="22"/>
    <w:qFormat/>
    <w:uiPriority w:val="0"/>
    <w:rPr>
      <w:rFonts w:hint="default" w:ascii="仿宋_GB2312" w:eastAsia="仿宋_GB2312" w:cs="仿宋_GB2312"/>
      <w:color w:val="000000"/>
      <w:sz w:val="24"/>
      <w:szCs w:val="24"/>
      <w:u w:val="none"/>
    </w:rPr>
  </w:style>
  <w:style w:type="character" w:customStyle="1" w:styleId="41">
    <w:name w:val="font41"/>
    <w:basedOn w:val="22"/>
    <w:qFormat/>
    <w:uiPriority w:val="0"/>
    <w:rPr>
      <w:rFonts w:hint="eastAsia" w:ascii="宋体" w:hAnsi="宋体" w:eastAsia="宋体" w:cs="宋体"/>
      <w:color w:val="000000"/>
      <w:sz w:val="24"/>
      <w:szCs w:val="24"/>
      <w:u w:val="none"/>
    </w:rPr>
  </w:style>
  <w:style w:type="character" w:customStyle="1" w:styleId="42">
    <w:name w:val="font71"/>
    <w:basedOn w:val="22"/>
    <w:qFormat/>
    <w:uiPriority w:val="0"/>
    <w:rPr>
      <w:rFonts w:hint="default" w:ascii="仿宋_GB2312" w:eastAsia="仿宋_GB2312" w:cs="仿宋_GB2312"/>
      <w:b/>
      <w:bCs/>
      <w:color w:val="000000"/>
      <w:sz w:val="24"/>
      <w:szCs w:val="24"/>
      <w:u w:val="none"/>
    </w:rPr>
  </w:style>
  <w:style w:type="character" w:customStyle="1" w:styleId="43">
    <w:name w:val="font51"/>
    <w:basedOn w:val="22"/>
    <w:qFormat/>
    <w:uiPriority w:val="0"/>
    <w:rPr>
      <w:rFonts w:hint="default" w:ascii="仿宋_GB2312" w:eastAsia="仿宋_GB2312" w:cs="仿宋_GB2312"/>
      <w:color w:val="000000"/>
      <w:sz w:val="24"/>
      <w:szCs w:val="24"/>
      <w:u w:val="none"/>
    </w:rPr>
  </w:style>
  <w:style w:type="paragraph" w:customStyle="1" w:styleId="44">
    <w:name w:val="Table Paragraph"/>
    <w:basedOn w:val="1"/>
    <w:qFormat/>
    <w:uiPriority w:val="1"/>
  </w:style>
  <w:style w:type="paragraph" w:customStyle="1" w:styleId="45">
    <w:name w:val="闻政封面完成时间"/>
    <w:basedOn w:val="1"/>
    <w:qFormat/>
    <w:uiPriority w:val="0"/>
    <w:pPr>
      <w:spacing w:before="120"/>
      <w:ind w:firstLine="0" w:firstLineChars="0"/>
      <w:jc w:val="center"/>
    </w:pPr>
    <w:rPr>
      <w:rFonts w:eastAsia="黑体"/>
      <w:b/>
      <w:kern w:val="0"/>
      <w:szCs w:val="28"/>
      <w:lang w:val="zh-CN"/>
    </w:rPr>
  </w:style>
  <w:style w:type="paragraph" w:customStyle="1" w:styleId="46">
    <w:name w:val="闻政图（表）注"/>
    <w:basedOn w:val="1"/>
    <w:link w:val="47"/>
    <w:qFormat/>
    <w:uiPriority w:val="5"/>
    <w:pPr>
      <w:spacing w:before="120"/>
      <w:ind w:firstLine="0" w:firstLineChars="0"/>
    </w:pPr>
    <w:rPr>
      <w:rFonts w:cs="Arial"/>
      <w:kern w:val="0"/>
      <w:sz w:val="21"/>
      <w:szCs w:val="21"/>
    </w:rPr>
  </w:style>
  <w:style w:type="character" w:customStyle="1" w:styleId="47">
    <w:name w:val="闻政图（表）注 Char"/>
    <w:link w:val="46"/>
    <w:qFormat/>
    <w:uiPriority w:val="5"/>
    <w:rPr>
      <w:rFonts w:eastAsia="仿宋_GB2312" w:cs="Arial"/>
      <w:sz w:val="21"/>
      <w:szCs w:val="21"/>
    </w:rPr>
  </w:style>
  <w:style w:type="paragraph" w:customStyle="1" w:styleId="48">
    <w:name w:val="闻政图表名"/>
    <w:basedOn w:val="1"/>
    <w:link w:val="49"/>
    <w:qFormat/>
    <w:uiPriority w:val="4"/>
    <w:pPr>
      <w:spacing w:before="60" w:after="60"/>
      <w:ind w:firstLine="0" w:firstLineChars="0"/>
      <w:jc w:val="center"/>
    </w:pPr>
    <w:rPr>
      <w:b/>
      <w:kern w:val="0"/>
      <w:sz w:val="24"/>
      <w:szCs w:val="28"/>
    </w:rPr>
  </w:style>
  <w:style w:type="character" w:customStyle="1" w:styleId="49">
    <w:name w:val="闻政图表名 字符"/>
    <w:link w:val="48"/>
    <w:qFormat/>
    <w:uiPriority w:val="4"/>
    <w:rPr>
      <w:rFonts w:eastAsia="仿宋_GB2312"/>
      <w:b/>
      <w:sz w:val="24"/>
      <w:szCs w:val="28"/>
    </w:rPr>
  </w:style>
  <w:style w:type="character" w:customStyle="1" w:styleId="50">
    <w:name w:val="正文文本 字符"/>
    <w:basedOn w:val="22"/>
    <w:link w:val="8"/>
    <w:qFormat/>
    <w:uiPriority w:val="99"/>
    <w:rPr>
      <w:rFonts w:ascii="Calibri" w:hAnsi="Calibri"/>
      <w:kern w:val="2"/>
      <w:sz w:val="28"/>
      <w:szCs w:val="22"/>
    </w:rPr>
  </w:style>
  <w:style w:type="paragraph" w:customStyle="1" w:styleId="51">
    <w:name w:val="TOC 标题2"/>
    <w:basedOn w:val="4"/>
    <w:next w:val="1"/>
    <w:unhideWhenUsed/>
    <w:qFormat/>
    <w:uiPriority w:val="39"/>
    <w:pPr>
      <w:widowControl/>
      <w:spacing w:before="240" w:after="0" w:line="259" w:lineRule="auto"/>
      <w:ind w:firstLine="0" w:firstLineChars="0"/>
      <w:jc w:val="left"/>
      <w:outlineLvl w:val="9"/>
    </w:pPr>
    <w:rPr>
      <w:rFonts w:asciiTheme="majorHAnsi" w:hAnsiTheme="majorHAnsi" w:eastAsiaTheme="majorEastAsia" w:cstheme="majorBidi"/>
      <w:b w:val="0"/>
      <w:bCs w:val="0"/>
      <w:color w:val="376092" w:themeColor="accent1" w:themeShade="BF"/>
      <w:kern w:val="0"/>
      <w:sz w:val="32"/>
      <w:szCs w:val="32"/>
    </w:rPr>
  </w:style>
  <w:style w:type="paragraph" w:customStyle="1" w:styleId="52">
    <w:name w:val="修订1"/>
    <w:hidden/>
    <w:semiHidden/>
    <w:qFormat/>
    <w:uiPriority w:val="99"/>
    <w:rPr>
      <w:rFonts w:ascii="Times New Roman" w:hAnsi="Times New Roman" w:eastAsia="仿宋_GB2312" w:cs="Times New Roman"/>
      <w:kern w:val="2"/>
      <w:sz w:val="28"/>
      <w:szCs w:val="22"/>
      <w:lang w:val="en-US" w:eastAsia="zh-CN" w:bidi="ar-SA"/>
    </w:rPr>
  </w:style>
  <w:style w:type="character" w:customStyle="1" w:styleId="53">
    <w:name w:val="bjh-p"/>
    <w:basedOn w:val="22"/>
    <w:qFormat/>
    <w:uiPriority w:val="0"/>
  </w:style>
  <w:style w:type="character" w:customStyle="1" w:styleId="54">
    <w:name w:val="bjh-strong"/>
    <w:basedOn w:val="22"/>
    <w:qFormat/>
    <w:uiPriority w:val="0"/>
  </w:style>
  <w:style w:type="character" w:customStyle="1" w:styleId="55">
    <w:name w:val="正文文本首行缩进 字符"/>
    <w:basedOn w:val="50"/>
    <w:link w:val="19"/>
    <w:semiHidden/>
    <w:qFormat/>
    <w:uiPriority w:val="99"/>
    <w:rPr>
      <w:rFonts w:ascii="Calibri" w:hAnsi="Calibri" w:eastAsia="仿宋_GB2312"/>
      <w:kern w:val="2"/>
      <w:sz w:val="28"/>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DDC79-FD18-4C13-9310-C26256A3F94D}">
  <ds:schemaRefs/>
</ds:datastoreItem>
</file>

<file path=docProps/app.xml><?xml version="1.0" encoding="utf-8"?>
<Properties xmlns="http://schemas.openxmlformats.org/officeDocument/2006/extended-properties" xmlns:vt="http://schemas.openxmlformats.org/officeDocument/2006/docPropsVTypes">
  <Template>Normal</Template>
  <Pages>30</Pages>
  <Words>16216</Words>
  <Characters>17264</Characters>
  <Lines>144</Lines>
  <Paragraphs>40</Paragraphs>
  <TotalTime>4458</TotalTime>
  <ScaleCrop>false</ScaleCrop>
  <LinksUpToDate>false</LinksUpToDate>
  <CharactersWithSpaces>17352</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2022-07-24T13:23:00Z</dcterms:created>
  <dc:creator>Suda</dc:creator>
  <cp:lastModifiedBy>元</cp:lastModifiedBy>
  <cp:lastPrinted>2022-08-25T05:36:00Z</cp:lastPrinted>
  <dcterms:modified xsi:type="dcterms:W3CDTF">2022-12-13T07:24:25Z</dcterms:modified>
  <cp:revision>859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49BE0A2BC53349AD80567ED7592F360E</vt:lpwstr>
  </property>
</Properties>
</file>