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keepNext w:val="0"/>
        <w:keepLines w:val="0"/>
        <w:pageBreakBefore w:val="0"/>
        <w:widowControl w:val="0"/>
        <w:kinsoku/>
        <w:wordWrap/>
        <w:overflowPunct/>
        <w:topLinePunct w:val="0"/>
        <w:autoSpaceDE/>
        <w:autoSpaceDN/>
        <w:bidi w:val="0"/>
        <w:spacing w:line="580" w:lineRule="exact"/>
        <w:rPr>
          <w:rFonts w:hint="default" w:ascii="Times New Roman Regular" w:hAnsi="Times New Roman Regular" w:eastAsia="方正小标宋_GBK" w:cs="Times New Roman Regular"/>
          <w:color w:val="auto"/>
          <w:sz w:val="44"/>
          <w:szCs w:val="44"/>
        </w:rPr>
      </w:pPr>
    </w:p>
    <w:p>
      <w:pPr>
        <w:pStyle w:val="23"/>
        <w:keepNext w:val="0"/>
        <w:keepLines w:val="0"/>
        <w:pageBreakBefore w:val="0"/>
        <w:widowControl w:val="0"/>
        <w:kinsoku/>
        <w:wordWrap/>
        <w:overflowPunct/>
        <w:topLinePunct w:val="0"/>
        <w:autoSpaceDE/>
        <w:autoSpaceDN/>
        <w:bidi w:val="0"/>
        <w:spacing w:line="580" w:lineRule="exact"/>
        <w:rPr>
          <w:rFonts w:hint="default" w:ascii="Times New Roman Regular" w:hAnsi="Times New Roman Regular" w:eastAsia="方正小标宋_GBK" w:cs="Times New Roman Regular"/>
          <w:color w:val="auto"/>
          <w:sz w:val="44"/>
          <w:szCs w:val="44"/>
        </w:rPr>
      </w:pPr>
    </w:p>
    <w:p>
      <w:pPr>
        <w:pStyle w:val="23"/>
        <w:keepNext w:val="0"/>
        <w:keepLines w:val="0"/>
        <w:pageBreakBefore w:val="0"/>
        <w:widowControl w:val="0"/>
        <w:kinsoku/>
        <w:wordWrap/>
        <w:overflowPunct/>
        <w:topLinePunct w:val="0"/>
        <w:autoSpaceDE/>
        <w:autoSpaceDN/>
        <w:bidi w:val="0"/>
        <w:spacing w:line="580" w:lineRule="exact"/>
        <w:rPr>
          <w:rFonts w:hint="default" w:ascii="Times New Roman Regular" w:hAnsi="Times New Roman Regular" w:eastAsia="方正小标宋_GBK" w:cs="Times New Roman Regular"/>
          <w:color w:val="auto"/>
          <w:sz w:val="44"/>
          <w:szCs w:val="44"/>
        </w:rPr>
      </w:pPr>
    </w:p>
    <w:p>
      <w:pPr>
        <w:pStyle w:val="23"/>
        <w:keepNext w:val="0"/>
        <w:keepLines w:val="0"/>
        <w:pageBreakBefore w:val="0"/>
        <w:widowControl w:val="0"/>
        <w:kinsoku/>
        <w:wordWrap/>
        <w:overflowPunct/>
        <w:topLinePunct w:val="0"/>
        <w:autoSpaceDE/>
        <w:autoSpaceDN/>
        <w:bidi w:val="0"/>
        <w:spacing w:line="580" w:lineRule="exact"/>
        <w:rPr>
          <w:rFonts w:hint="default" w:ascii="Times New Roman Regular" w:hAnsi="Times New Roman Regular" w:eastAsia="方正小标宋_GBK" w:cs="Times New Roman Regular"/>
          <w:color w:val="auto"/>
          <w:sz w:val="44"/>
          <w:szCs w:val="44"/>
        </w:rPr>
      </w:pPr>
    </w:p>
    <w:p>
      <w:pPr>
        <w:pStyle w:val="23"/>
        <w:keepNext w:val="0"/>
        <w:keepLines w:val="0"/>
        <w:pageBreakBefore w:val="0"/>
        <w:widowControl w:val="0"/>
        <w:kinsoku/>
        <w:wordWrap/>
        <w:overflowPunct/>
        <w:topLinePunct w:val="0"/>
        <w:autoSpaceDE/>
        <w:autoSpaceDN/>
        <w:bidi w:val="0"/>
        <w:outlineLvl w:val="0"/>
        <w:rPr>
          <w:rFonts w:hint="default" w:ascii="Times New Roman Regular" w:hAnsi="Times New Roman Regular" w:eastAsia="方正小标宋简体" w:cs="Times New Roman Regular"/>
          <w:color w:val="auto"/>
          <w:sz w:val="44"/>
          <w:szCs w:val="44"/>
          <w:lang w:val="en-US" w:eastAsia="zh-CN"/>
        </w:rPr>
      </w:pPr>
      <w:bookmarkStart w:id="0" w:name="_Toc8562"/>
      <w:bookmarkStart w:id="1" w:name="_Toc19700"/>
      <w:bookmarkStart w:id="2" w:name="_Toc13165"/>
      <w:bookmarkStart w:id="3" w:name="_Toc1248"/>
      <w:r>
        <w:rPr>
          <w:rFonts w:hint="default" w:ascii="Times New Roman Regular" w:hAnsi="Times New Roman Regular" w:eastAsia="方正小标宋简体" w:cs="Times New Roman Regular"/>
          <w:color w:val="auto"/>
          <w:sz w:val="44"/>
          <w:szCs w:val="44"/>
          <w:lang w:val="en-US" w:eastAsia="zh-CN"/>
        </w:rPr>
        <w:t>菏泽市硫酸厂地块土壤污染状况详细调查</w:t>
      </w:r>
      <w:bookmarkEnd w:id="0"/>
      <w:bookmarkEnd w:id="1"/>
      <w:bookmarkEnd w:id="2"/>
      <w:bookmarkEnd w:id="3"/>
    </w:p>
    <w:p>
      <w:pPr>
        <w:pStyle w:val="23"/>
        <w:keepNext w:val="0"/>
        <w:keepLines w:val="0"/>
        <w:pageBreakBefore w:val="0"/>
        <w:widowControl w:val="0"/>
        <w:kinsoku/>
        <w:wordWrap/>
        <w:overflowPunct/>
        <w:topLinePunct w:val="0"/>
        <w:autoSpaceDE/>
        <w:autoSpaceDN/>
        <w:bidi w:val="0"/>
        <w:outlineLvl w:val="9"/>
        <w:rPr>
          <w:rFonts w:hint="default" w:ascii="Times New Roman Regular" w:hAnsi="Times New Roman Regular" w:eastAsia="方正小标宋简体" w:cs="Times New Roman Regular"/>
          <w:color w:val="auto"/>
          <w:sz w:val="44"/>
          <w:szCs w:val="44"/>
          <w:lang w:val="en-US" w:eastAsia="zh-CN"/>
        </w:rPr>
      </w:pPr>
      <w:r>
        <w:rPr>
          <w:rFonts w:hint="eastAsia" w:ascii="Times New Roman Regular" w:hAnsi="Times New Roman Regular" w:eastAsia="方正小标宋简体" w:cs="Times New Roman Regular"/>
          <w:color w:val="auto"/>
          <w:sz w:val="44"/>
          <w:szCs w:val="44"/>
          <w:lang w:val="en-US" w:eastAsia="zh-CN"/>
        </w:rPr>
        <w:t>政府采购项目支出绩效评价报告</w:t>
      </w:r>
    </w:p>
    <w:p>
      <w:pPr>
        <w:pStyle w:val="23"/>
        <w:keepNext w:val="0"/>
        <w:keepLines w:val="0"/>
        <w:pageBreakBefore w:val="0"/>
        <w:widowControl w:val="0"/>
        <w:kinsoku/>
        <w:wordWrap/>
        <w:overflowPunct/>
        <w:topLinePunct w:val="0"/>
        <w:autoSpaceDE/>
        <w:autoSpaceDN/>
        <w:bidi w:val="0"/>
        <w:spacing w:line="580" w:lineRule="exact"/>
        <w:rPr>
          <w:rFonts w:hint="default" w:ascii="Times New Roman Regular" w:hAnsi="Times New Roman Regular" w:eastAsia="方正小标宋_GBK" w:cs="Times New Roman Regular"/>
          <w:color w:val="auto"/>
          <w:sz w:val="44"/>
          <w:szCs w:val="44"/>
        </w:rPr>
      </w:pPr>
    </w:p>
    <w:p>
      <w:pPr>
        <w:pStyle w:val="23"/>
        <w:keepNext w:val="0"/>
        <w:keepLines w:val="0"/>
        <w:pageBreakBefore w:val="0"/>
        <w:widowControl w:val="0"/>
        <w:kinsoku/>
        <w:wordWrap/>
        <w:overflowPunct/>
        <w:topLinePunct w:val="0"/>
        <w:autoSpaceDE/>
        <w:autoSpaceDN/>
        <w:bidi w:val="0"/>
        <w:spacing w:line="580" w:lineRule="exact"/>
        <w:rPr>
          <w:rFonts w:hint="default" w:ascii="Times New Roman Regular" w:hAnsi="Times New Roman Regular" w:eastAsia="方正小标宋_GBK" w:cs="Times New Roman Regular"/>
          <w:color w:val="auto"/>
          <w:sz w:val="44"/>
          <w:szCs w:val="44"/>
        </w:rPr>
      </w:pPr>
    </w:p>
    <w:p>
      <w:pPr>
        <w:pStyle w:val="23"/>
        <w:keepNext w:val="0"/>
        <w:keepLines w:val="0"/>
        <w:pageBreakBefore w:val="0"/>
        <w:widowControl w:val="0"/>
        <w:kinsoku/>
        <w:wordWrap/>
        <w:overflowPunct/>
        <w:topLinePunct w:val="0"/>
        <w:autoSpaceDE/>
        <w:autoSpaceDN/>
        <w:bidi w:val="0"/>
        <w:spacing w:line="580" w:lineRule="exact"/>
        <w:rPr>
          <w:rFonts w:hint="default" w:ascii="Times New Roman Regular" w:hAnsi="Times New Roman Regular" w:eastAsia="方正小标宋_GBK" w:cs="Times New Roman Regular"/>
          <w:color w:val="auto"/>
          <w:sz w:val="44"/>
          <w:szCs w:val="44"/>
        </w:rPr>
      </w:pPr>
    </w:p>
    <w:p>
      <w:pPr>
        <w:pStyle w:val="23"/>
        <w:keepNext w:val="0"/>
        <w:keepLines w:val="0"/>
        <w:pageBreakBefore w:val="0"/>
        <w:widowControl w:val="0"/>
        <w:kinsoku/>
        <w:wordWrap/>
        <w:overflowPunct/>
        <w:topLinePunct w:val="0"/>
        <w:autoSpaceDE/>
        <w:autoSpaceDN/>
        <w:bidi w:val="0"/>
        <w:spacing w:line="580" w:lineRule="exact"/>
        <w:rPr>
          <w:rFonts w:hint="default" w:ascii="Times New Roman Regular" w:hAnsi="Times New Roman Regular" w:eastAsia="方正小标宋_GBK" w:cs="Times New Roman Regular"/>
          <w:color w:val="auto"/>
          <w:sz w:val="44"/>
          <w:szCs w:val="44"/>
        </w:rPr>
      </w:pPr>
    </w:p>
    <w:p>
      <w:pPr>
        <w:pStyle w:val="23"/>
        <w:keepNext w:val="0"/>
        <w:keepLines w:val="0"/>
        <w:pageBreakBefore w:val="0"/>
        <w:widowControl w:val="0"/>
        <w:kinsoku/>
        <w:wordWrap/>
        <w:overflowPunct/>
        <w:topLinePunct w:val="0"/>
        <w:autoSpaceDE/>
        <w:autoSpaceDN/>
        <w:bidi w:val="0"/>
        <w:spacing w:line="580" w:lineRule="exact"/>
        <w:rPr>
          <w:rFonts w:hint="default" w:ascii="Times New Roman Regular" w:hAnsi="Times New Roman Regular" w:eastAsia="方正小标宋_GBK" w:cs="Times New Roman Regular"/>
          <w:color w:val="auto"/>
          <w:sz w:val="44"/>
          <w:szCs w:val="44"/>
        </w:rPr>
      </w:pPr>
    </w:p>
    <w:p>
      <w:pPr>
        <w:pStyle w:val="23"/>
        <w:keepNext w:val="0"/>
        <w:keepLines w:val="0"/>
        <w:pageBreakBefore w:val="0"/>
        <w:widowControl w:val="0"/>
        <w:kinsoku/>
        <w:wordWrap/>
        <w:overflowPunct/>
        <w:topLinePunct w:val="0"/>
        <w:autoSpaceDE/>
        <w:autoSpaceDN/>
        <w:bidi w:val="0"/>
        <w:spacing w:line="580" w:lineRule="exact"/>
        <w:rPr>
          <w:rFonts w:hint="default" w:ascii="Times New Roman Regular" w:hAnsi="Times New Roman Regular" w:eastAsia="方正小标宋_GBK" w:cs="Times New Roman Regular"/>
          <w:color w:val="auto"/>
          <w:sz w:val="44"/>
          <w:szCs w:val="44"/>
        </w:rPr>
      </w:pPr>
    </w:p>
    <w:p>
      <w:pPr>
        <w:pStyle w:val="23"/>
        <w:keepNext w:val="0"/>
        <w:keepLines w:val="0"/>
        <w:pageBreakBefore w:val="0"/>
        <w:widowControl w:val="0"/>
        <w:kinsoku/>
        <w:wordWrap/>
        <w:overflowPunct/>
        <w:topLinePunct w:val="0"/>
        <w:autoSpaceDE/>
        <w:autoSpaceDN/>
        <w:bidi w:val="0"/>
        <w:spacing w:line="580" w:lineRule="exact"/>
        <w:rPr>
          <w:rFonts w:hint="default" w:ascii="Times New Roman Regular" w:hAnsi="Times New Roman Regular" w:eastAsia="方正小标宋_GBK" w:cs="Times New Roman Regular"/>
          <w:color w:val="auto"/>
          <w:sz w:val="44"/>
          <w:szCs w:val="44"/>
        </w:rPr>
      </w:pPr>
    </w:p>
    <w:p>
      <w:pPr>
        <w:pStyle w:val="23"/>
        <w:keepNext w:val="0"/>
        <w:keepLines w:val="0"/>
        <w:pageBreakBefore w:val="0"/>
        <w:widowControl w:val="0"/>
        <w:kinsoku/>
        <w:wordWrap/>
        <w:overflowPunct/>
        <w:topLinePunct w:val="0"/>
        <w:autoSpaceDE/>
        <w:autoSpaceDN/>
        <w:bidi w:val="0"/>
        <w:spacing w:line="580" w:lineRule="exact"/>
        <w:rPr>
          <w:rFonts w:hint="default" w:ascii="Times New Roman Regular" w:hAnsi="Times New Roman Regular" w:eastAsia="方正小标宋_GBK" w:cs="Times New Roman Regular"/>
          <w:color w:val="auto"/>
          <w:sz w:val="44"/>
          <w:szCs w:val="44"/>
        </w:rPr>
      </w:pPr>
    </w:p>
    <w:p>
      <w:pPr>
        <w:pStyle w:val="24"/>
        <w:keepNext w:val="0"/>
        <w:keepLines w:val="0"/>
        <w:pageBreakBefore w:val="0"/>
        <w:widowControl w:val="0"/>
        <w:kinsoku/>
        <w:wordWrap/>
        <w:overflowPunct/>
        <w:topLinePunct w:val="0"/>
        <w:autoSpaceDE/>
        <w:autoSpaceDN/>
        <w:bidi w:val="0"/>
        <w:adjustRightInd/>
        <w:snapToGrid w:val="0"/>
        <w:spacing w:beforeLines="50" w:line="580" w:lineRule="exact"/>
        <w:ind w:left="0" w:leftChars="0" w:firstLine="840" w:firstLineChars="300"/>
        <w:textAlignment w:val="auto"/>
        <w:rPr>
          <w:rFonts w:hint="default" w:ascii="Times New Roman Regular" w:hAnsi="Times New Roman Regular" w:cs="Times New Roman Regular"/>
          <w:color w:val="auto"/>
        </w:rPr>
      </w:pPr>
      <w:r>
        <w:rPr>
          <w:rFonts w:hint="default" w:ascii="Times New Roman Regular" w:hAnsi="Times New Roman Regular" w:cs="Times New Roman Regular"/>
          <w:color w:val="auto"/>
        </w:rPr>
        <w:t>项目单位：</w:t>
      </w:r>
      <w:r>
        <w:rPr>
          <w:rFonts w:hint="default" w:ascii="Times New Roman Regular" w:hAnsi="Times New Roman Regular" w:cs="Times New Roman Regular"/>
          <w:color w:val="auto"/>
          <w:u w:val="single"/>
        </w:rPr>
        <w:t xml:space="preserve">     </w:t>
      </w:r>
      <w:r>
        <w:rPr>
          <w:rFonts w:hint="default" w:ascii="Times New Roman Regular" w:hAnsi="Times New Roman Regular" w:cs="Times New Roman Regular"/>
          <w:color w:val="auto"/>
          <w:u w:val="single"/>
          <w:lang w:val="en-US" w:eastAsia="zh-CN"/>
        </w:rPr>
        <w:t xml:space="preserve">      </w:t>
      </w:r>
      <w:r>
        <w:rPr>
          <w:rFonts w:hint="default" w:ascii="Times New Roman Regular" w:hAnsi="Times New Roman Regular" w:cs="Times New Roman Regular"/>
          <w:color w:val="auto"/>
          <w:u w:val="single"/>
        </w:rPr>
        <w:t xml:space="preserve"> </w:t>
      </w:r>
      <w:r>
        <w:rPr>
          <w:rFonts w:hint="default" w:ascii="Times New Roman Regular" w:hAnsi="Times New Roman Regular" w:cs="Times New Roman Regular"/>
          <w:color w:val="auto"/>
          <w:u w:val="single"/>
          <w:lang w:val="en-US" w:eastAsia="zh-CN"/>
        </w:rPr>
        <w:t>菏泽市生态环境局</w:t>
      </w:r>
      <w:r>
        <w:rPr>
          <w:rFonts w:hint="default" w:ascii="Times New Roman Regular" w:hAnsi="Times New Roman Regular" w:cs="Times New Roman Regular"/>
          <w:color w:val="auto"/>
          <w:u w:val="single"/>
        </w:rPr>
        <w:t xml:space="preserve">  </w:t>
      </w:r>
      <w:r>
        <w:rPr>
          <w:rFonts w:hint="default" w:ascii="Times New Roman Regular" w:hAnsi="Times New Roman Regular" w:cs="Times New Roman Regular"/>
          <w:color w:val="auto"/>
          <w:u w:val="single"/>
          <w:lang w:val="en-US" w:eastAsia="zh-CN"/>
        </w:rPr>
        <w:t xml:space="preserve">    </w:t>
      </w:r>
      <w:r>
        <w:rPr>
          <w:rFonts w:hint="default" w:ascii="Times New Roman Regular" w:hAnsi="Times New Roman Regular" w:cs="Times New Roman Regular"/>
          <w:color w:val="auto"/>
          <w:u w:val="single"/>
        </w:rPr>
        <w:t xml:space="preserve"> </w:t>
      </w:r>
      <w:r>
        <w:rPr>
          <w:rFonts w:hint="default" w:ascii="Times New Roman Regular" w:hAnsi="Times New Roman Regular" w:cs="Times New Roman Regular"/>
          <w:color w:val="auto"/>
          <w:u w:val="single"/>
          <w:lang w:val="en-US" w:eastAsia="zh-CN"/>
        </w:rPr>
        <w:t xml:space="preserve">   </w:t>
      </w:r>
      <w:r>
        <w:rPr>
          <w:rFonts w:hint="default" w:ascii="Times New Roman Regular" w:hAnsi="Times New Roman Regular" w:cs="Times New Roman Regular"/>
          <w:color w:val="auto"/>
          <w:u w:val="single"/>
        </w:rPr>
        <w:t xml:space="preserve">  </w:t>
      </w:r>
    </w:p>
    <w:p>
      <w:pPr>
        <w:pStyle w:val="24"/>
        <w:keepNext w:val="0"/>
        <w:keepLines w:val="0"/>
        <w:pageBreakBefore w:val="0"/>
        <w:widowControl w:val="0"/>
        <w:kinsoku/>
        <w:wordWrap/>
        <w:overflowPunct/>
        <w:topLinePunct w:val="0"/>
        <w:autoSpaceDE/>
        <w:autoSpaceDN/>
        <w:bidi w:val="0"/>
        <w:adjustRightInd/>
        <w:snapToGrid w:val="0"/>
        <w:spacing w:beforeLines="50" w:line="580" w:lineRule="exact"/>
        <w:ind w:left="0" w:leftChars="0" w:firstLine="840" w:firstLineChars="300"/>
        <w:textAlignment w:val="auto"/>
        <w:rPr>
          <w:rFonts w:hint="default" w:ascii="Times New Roman Regular" w:hAnsi="Times New Roman Regular" w:cs="Times New Roman Regular"/>
          <w:color w:val="auto"/>
          <w:u w:val="single"/>
        </w:rPr>
      </w:pPr>
      <w:r>
        <w:rPr>
          <w:rFonts w:hint="default" w:ascii="Times New Roman Regular" w:hAnsi="Times New Roman Regular" w:cs="Times New Roman Regular"/>
          <w:color w:val="auto"/>
          <w:lang w:val="en-US"/>
        </w:rPr>
        <w:t>主管</w:t>
      </w:r>
      <w:r>
        <w:rPr>
          <w:rFonts w:hint="default" w:ascii="Times New Roman Regular" w:hAnsi="Times New Roman Regular" w:cs="Times New Roman Regular"/>
          <w:color w:val="auto"/>
        </w:rPr>
        <w:t>部门：</w:t>
      </w:r>
      <w:r>
        <w:rPr>
          <w:rFonts w:hint="default" w:ascii="Times New Roman Regular" w:hAnsi="Times New Roman Regular" w:cs="Times New Roman Regular"/>
          <w:color w:val="auto"/>
          <w:u w:val="single"/>
        </w:rPr>
        <w:t xml:space="preserve">     </w:t>
      </w:r>
      <w:r>
        <w:rPr>
          <w:rFonts w:hint="default" w:ascii="Times New Roman Regular" w:hAnsi="Times New Roman Regular" w:cs="Times New Roman Regular"/>
          <w:color w:val="auto"/>
          <w:u w:val="single"/>
          <w:lang w:val="en-US" w:eastAsia="zh-CN"/>
        </w:rPr>
        <w:t xml:space="preserve">      </w:t>
      </w:r>
      <w:r>
        <w:rPr>
          <w:rFonts w:hint="default" w:ascii="Times New Roman Regular" w:hAnsi="Times New Roman Regular" w:cs="Times New Roman Regular"/>
          <w:color w:val="auto"/>
          <w:u w:val="single"/>
        </w:rPr>
        <w:t xml:space="preserve"> </w:t>
      </w:r>
      <w:r>
        <w:rPr>
          <w:rFonts w:hint="default" w:ascii="Times New Roman Regular" w:hAnsi="Times New Roman Regular" w:cs="Times New Roman Regular"/>
          <w:color w:val="auto"/>
          <w:u w:val="single"/>
          <w:lang w:val="en-US" w:eastAsia="zh-CN"/>
        </w:rPr>
        <w:t>菏泽市生态环境局</w:t>
      </w:r>
      <w:r>
        <w:rPr>
          <w:rFonts w:hint="default" w:ascii="Times New Roman Regular" w:hAnsi="Times New Roman Regular" w:cs="Times New Roman Regular"/>
          <w:color w:val="auto"/>
          <w:u w:val="single"/>
        </w:rPr>
        <w:t xml:space="preserve">  </w:t>
      </w:r>
      <w:r>
        <w:rPr>
          <w:rFonts w:hint="default" w:ascii="Times New Roman Regular" w:hAnsi="Times New Roman Regular" w:cs="Times New Roman Regular"/>
          <w:color w:val="auto"/>
          <w:u w:val="single"/>
          <w:lang w:val="en-US" w:eastAsia="zh-CN"/>
        </w:rPr>
        <w:t xml:space="preserve">    </w:t>
      </w:r>
      <w:r>
        <w:rPr>
          <w:rFonts w:hint="default" w:ascii="Times New Roman Regular" w:hAnsi="Times New Roman Regular" w:cs="Times New Roman Regular"/>
          <w:color w:val="auto"/>
          <w:u w:val="single"/>
        </w:rPr>
        <w:t xml:space="preserve"> </w:t>
      </w:r>
      <w:r>
        <w:rPr>
          <w:rFonts w:hint="default" w:ascii="Times New Roman Regular" w:hAnsi="Times New Roman Regular" w:cs="Times New Roman Regular"/>
          <w:color w:val="auto"/>
          <w:u w:val="single"/>
          <w:lang w:val="en-US" w:eastAsia="zh-CN"/>
        </w:rPr>
        <w:t xml:space="preserve">   </w:t>
      </w:r>
      <w:r>
        <w:rPr>
          <w:rFonts w:hint="default" w:ascii="Times New Roman Regular" w:hAnsi="Times New Roman Regular" w:cs="Times New Roman Regular"/>
          <w:color w:val="auto"/>
          <w:u w:val="single"/>
        </w:rPr>
        <w:t xml:space="preserve">  </w:t>
      </w:r>
    </w:p>
    <w:p>
      <w:pPr>
        <w:pStyle w:val="24"/>
        <w:keepNext w:val="0"/>
        <w:keepLines w:val="0"/>
        <w:pageBreakBefore w:val="0"/>
        <w:widowControl w:val="0"/>
        <w:kinsoku/>
        <w:wordWrap/>
        <w:overflowPunct/>
        <w:topLinePunct w:val="0"/>
        <w:autoSpaceDE/>
        <w:autoSpaceDN/>
        <w:bidi w:val="0"/>
        <w:adjustRightInd/>
        <w:snapToGrid w:val="0"/>
        <w:spacing w:beforeLines="50" w:line="580" w:lineRule="exact"/>
        <w:ind w:left="0" w:leftChars="0" w:firstLine="840" w:firstLineChars="300"/>
        <w:textAlignment w:val="auto"/>
        <w:rPr>
          <w:rFonts w:hint="default" w:ascii="Times New Roman Regular" w:hAnsi="Times New Roman Regular" w:cs="Times New Roman Regular"/>
          <w:color w:val="auto"/>
          <w:lang w:val="en-US"/>
        </w:rPr>
      </w:pPr>
      <w:r>
        <w:rPr>
          <w:rFonts w:hint="default" w:ascii="Times New Roman Regular" w:hAnsi="Times New Roman Regular" w:cs="Times New Roman Regular"/>
          <w:color w:val="auto"/>
        </w:rPr>
        <w:t>委托单位：</w:t>
      </w:r>
      <w:r>
        <w:rPr>
          <w:rFonts w:hint="default" w:ascii="Times New Roman Regular" w:hAnsi="Times New Roman Regular" w:cs="Times New Roman Regular"/>
          <w:color w:val="auto"/>
          <w:u w:val="single"/>
        </w:rPr>
        <w:t xml:space="preserve">              </w:t>
      </w:r>
      <w:r>
        <w:rPr>
          <w:rFonts w:hint="default" w:ascii="Times New Roman Regular" w:hAnsi="Times New Roman Regular" w:cs="Times New Roman Regular"/>
          <w:color w:val="auto"/>
          <w:u w:val="single"/>
          <w:lang w:val="en-US" w:eastAsia="zh-CN"/>
        </w:rPr>
        <w:t>菏泽市财政局</w:t>
      </w:r>
      <w:r>
        <w:rPr>
          <w:rFonts w:hint="default" w:ascii="Times New Roman Regular" w:hAnsi="Times New Roman Regular" w:cs="Times New Roman Regular"/>
          <w:color w:val="auto"/>
          <w:u w:val="single"/>
        </w:rPr>
        <w:t xml:space="preserve">             </w:t>
      </w:r>
      <w:r>
        <w:rPr>
          <w:rFonts w:hint="default" w:ascii="Times New Roman Regular" w:hAnsi="Times New Roman Regular" w:cs="Times New Roman Regular"/>
          <w:color w:val="auto"/>
          <w:u w:val="single"/>
          <w:lang w:val="en-US"/>
        </w:rPr>
        <w:t xml:space="preserve"> </w:t>
      </w:r>
    </w:p>
    <w:p>
      <w:pPr>
        <w:pStyle w:val="24"/>
        <w:keepNext w:val="0"/>
        <w:keepLines w:val="0"/>
        <w:pageBreakBefore w:val="0"/>
        <w:widowControl w:val="0"/>
        <w:kinsoku/>
        <w:wordWrap/>
        <w:overflowPunct/>
        <w:topLinePunct w:val="0"/>
        <w:autoSpaceDE/>
        <w:autoSpaceDN/>
        <w:bidi w:val="0"/>
        <w:adjustRightInd/>
        <w:snapToGrid w:val="0"/>
        <w:spacing w:beforeLines="50" w:line="580" w:lineRule="exact"/>
        <w:ind w:left="0" w:leftChars="0" w:firstLine="840" w:firstLineChars="300"/>
        <w:textAlignment w:val="auto"/>
        <w:rPr>
          <w:rFonts w:hint="default" w:ascii="Times New Roman Regular" w:hAnsi="Times New Roman Regular" w:cs="Times New Roman Regular"/>
          <w:color w:val="auto"/>
        </w:rPr>
      </w:pPr>
      <w:r>
        <w:rPr>
          <w:rFonts w:hint="default" w:ascii="Times New Roman Regular" w:hAnsi="Times New Roman Regular" w:cs="Times New Roman Regular"/>
          <w:color w:val="auto"/>
        </w:rPr>
        <w:t>评价机构：</w:t>
      </w:r>
      <w:r>
        <w:rPr>
          <w:rFonts w:hint="default" w:ascii="Times New Roman Regular" w:hAnsi="Times New Roman Regular" w:cs="Times New Roman Regular"/>
          <w:color w:val="auto"/>
          <w:u w:val="single"/>
        </w:rPr>
        <w:t xml:space="preserve">    北京</w:t>
      </w:r>
      <w:r>
        <w:rPr>
          <w:rFonts w:hint="default" w:ascii="Times New Roman Regular" w:hAnsi="Times New Roman Regular" w:cs="Times New Roman Regular"/>
          <w:color w:val="auto"/>
          <w:u w:val="single"/>
          <w:lang w:val="en-US" w:eastAsia="zh-CN"/>
        </w:rPr>
        <w:t>三维众智管理咨询</w:t>
      </w:r>
      <w:r>
        <w:rPr>
          <w:rFonts w:hint="default" w:ascii="Times New Roman Regular" w:hAnsi="Times New Roman Regular" w:cs="Times New Roman Regular"/>
          <w:color w:val="auto"/>
          <w:u w:val="single"/>
        </w:rPr>
        <w:t xml:space="preserve">有限责任公司 </w:t>
      </w:r>
      <w:r>
        <w:rPr>
          <w:rFonts w:hint="default" w:ascii="Times New Roman Regular" w:hAnsi="Times New Roman Regular" w:cs="Times New Roman Regular"/>
          <w:color w:val="auto"/>
          <w:u w:val="single"/>
          <w:lang w:val="en-US" w:eastAsia="zh-CN"/>
        </w:rPr>
        <w:t xml:space="preserve">  </w:t>
      </w:r>
      <w:r>
        <w:rPr>
          <w:rFonts w:hint="default" w:ascii="Times New Roman Regular" w:hAnsi="Times New Roman Regular" w:cs="Times New Roman Regular"/>
          <w:color w:val="auto"/>
          <w:u w:val="single"/>
        </w:rPr>
        <w:t xml:space="preserve"> </w:t>
      </w:r>
    </w:p>
    <w:p>
      <w:pPr>
        <w:pStyle w:val="25"/>
        <w:keepNext w:val="0"/>
        <w:keepLines w:val="0"/>
        <w:pageBreakBefore w:val="0"/>
        <w:widowControl w:val="0"/>
        <w:kinsoku/>
        <w:wordWrap/>
        <w:overflowPunct/>
        <w:topLinePunct w:val="0"/>
        <w:autoSpaceDE/>
        <w:autoSpaceDN/>
        <w:bidi w:val="0"/>
        <w:spacing w:before="50" w:line="580" w:lineRule="exact"/>
        <w:rPr>
          <w:rFonts w:hint="default" w:ascii="Times New Roman Regular" w:hAnsi="Times New Roman Regular" w:cs="Times New Roman Regular"/>
          <w:color w:val="auto"/>
        </w:rPr>
      </w:pPr>
    </w:p>
    <w:p>
      <w:pPr>
        <w:pStyle w:val="25"/>
        <w:keepNext w:val="0"/>
        <w:keepLines w:val="0"/>
        <w:pageBreakBefore w:val="0"/>
        <w:widowControl w:val="0"/>
        <w:kinsoku/>
        <w:wordWrap/>
        <w:overflowPunct/>
        <w:topLinePunct w:val="0"/>
        <w:autoSpaceDE/>
        <w:autoSpaceDN/>
        <w:bidi w:val="0"/>
        <w:adjustRightInd/>
        <w:snapToGrid/>
        <w:spacing w:before="50" w:line="240" w:lineRule="auto"/>
        <w:textAlignment w:val="auto"/>
        <w:rPr>
          <w:rFonts w:hint="eastAsia" w:ascii="黑体" w:hAnsi="黑体" w:eastAsia="黑体" w:cs="黑体"/>
          <w:b w:val="0"/>
          <w:bCs w:val="0"/>
          <w:color w:val="auto"/>
        </w:rPr>
        <w:sectPr>
          <w:footerReference r:id="rId3" w:type="default"/>
          <w:pgSz w:w="11906" w:h="16838"/>
          <w:pgMar w:top="2098" w:right="1531" w:bottom="1984" w:left="1531" w:header="851" w:footer="1417" w:gutter="0"/>
          <w:pgBorders>
            <w:top w:val="none" w:sz="0" w:space="0"/>
            <w:left w:val="none" w:sz="0" w:space="0"/>
            <w:bottom w:val="none" w:sz="0" w:space="0"/>
            <w:right w:val="none" w:sz="0" w:space="0"/>
          </w:pgBorders>
          <w:pgNumType w:fmt="numberInDash" w:start="1"/>
          <w:cols w:space="720" w:num="1"/>
          <w:docGrid w:linePitch="411" w:charSpace="0"/>
        </w:sectPr>
      </w:pPr>
      <w:r>
        <w:rPr>
          <w:rFonts w:hint="eastAsia" w:ascii="黑体" w:hAnsi="黑体" w:eastAsia="黑体" w:cs="黑体"/>
          <w:b w:val="0"/>
          <w:bCs w:val="0"/>
          <w:color w:val="auto"/>
        </w:rPr>
        <w:t>20</w:t>
      </w:r>
      <w:r>
        <w:rPr>
          <w:rFonts w:hint="eastAsia" w:ascii="黑体" w:hAnsi="黑体" w:eastAsia="黑体" w:cs="黑体"/>
          <w:b w:val="0"/>
          <w:bCs w:val="0"/>
          <w:color w:val="auto"/>
          <w:lang w:val="en-US" w:eastAsia="zh-CN"/>
        </w:rPr>
        <w:t>22</w:t>
      </w:r>
      <w:r>
        <w:rPr>
          <w:rFonts w:hint="eastAsia" w:ascii="黑体" w:hAnsi="黑体" w:eastAsia="黑体" w:cs="黑体"/>
          <w:b w:val="0"/>
          <w:bCs w:val="0"/>
          <w:color w:val="auto"/>
        </w:rPr>
        <w:t>年</w:t>
      </w:r>
      <w:r>
        <w:rPr>
          <w:rFonts w:hint="eastAsia" w:ascii="黑体" w:hAnsi="黑体" w:cs="黑体"/>
          <w:b w:val="0"/>
          <w:bCs w:val="0"/>
          <w:color w:val="auto"/>
          <w:lang w:val="en-US" w:eastAsia="zh-CN"/>
        </w:rPr>
        <w:t>10</w:t>
      </w:r>
      <w:r>
        <w:rPr>
          <w:rFonts w:hint="eastAsia" w:ascii="黑体" w:hAnsi="黑体" w:eastAsia="黑体" w:cs="黑体"/>
          <w:b w:val="0"/>
          <w:bCs w:val="0"/>
          <w:color w:val="auto"/>
        </w:rPr>
        <w:t>月</w:t>
      </w:r>
    </w:p>
    <w:p>
      <w:pPr>
        <w:keepNext w:val="0"/>
        <w:keepLines w:val="0"/>
        <w:pageBreakBefore w:val="0"/>
        <w:widowControl w:val="0"/>
        <w:kinsoku/>
        <w:wordWrap/>
        <w:overflowPunct/>
        <w:topLinePunct w:val="0"/>
        <w:autoSpaceDE/>
        <w:autoSpaceDN/>
        <w:bidi w:val="0"/>
        <w:rPr>
          <w:rStyle w:val="21"/>
          <w:rFonts w:hint="default" w:ascii="Times New Roman Regular" w:hAnsi="Times New Roman Regular" w:eastAsia="宋体" w:cs="Times New Roman Regular"/>
          <w:color w:val="auto"/>
          <w:kern w:val="0"/>
          <w:lang w:val="en-US" w:eastAsia="zh-CN"/>
        </w:rPr>
      </w:pPr>
    </w:p>
    <w:p>
      <w:pPr>
        <w:keepNext w:val="0"/>
        <w:keepLines w:val="0"/>
        <w:pageBreakBefore w:val="0"/>
        <w:widowControl w:val="0"/>
        <w:kinsoku/>
        <w:wordWrap/>
        <w:overflowPunct/>
        <w:topLinePunct w:val="0"/>
        <w:autoSpaceDE/>
        <w:autoSpaceDN/>
        <w:bidi w:val="0"/>
        <w:adjustRightInd w:val="0"/>
        <w:snapToGrid w:val="0"/>
        <w:spacing w:line="580" w:lineRule="exact"/>
        <w:jc w:val="center"/>
        <w:outlineLvl w:val="0"/>
        <w:rPr>
          <w:rFonts w:hint="eastAsia" w:ascii="Times New Roman Regular" w:hAnsi="Times New Roman Regular" w:eastAsia="方正小标宋简体" w:cs="Times New Roman Regular"/>
          <w:color w:val="auto"/>
          <w:sz w:val="44"/>
          <w:szCs w:val="44"/>
          <w:lang w:val="en-US" w:eastAsia="zh-CN"/>
        </w:rPr>
      </w:pPr>
      <w:bookmarkStart w:id="4" w:name="_Toc17622"/>
      <w:r>
        <w:rPr>
          <w:rFonts w:hint="eastAsia" w:ascii="Times New Roman Regular" w:hAnsi="Times New Roman Regular" w:eastAsia="方正小标宋简体" w:cs="Times New Roman Regular"/>
          <w:color w:val="auto"/>
          <w:sz w:val="44"/>
          <w:szCs w:val="44"/>
          <w:lang w:val="en-US" w:eastAsia="zh-CN"/>
        </w:rPr>
        <w:t>菏泽市硫酸厂地块土壤污染状况详细调查</w:t>
      </w:r>
      <w:bookmarkEnd w:id="4"/>
    </w:p>
    <w:p>
      <w:pPr>
        <w:keepNext w:val="0"/>
        <w:keepLines w:val="0"/>
        <w:pageBreakBefore w:val="0"/>
        <w:widowControl w:val="0"/>
        <w:kinsoku/>
        <w:wordWrap/>
        <w:overflowPunct/>
        <w:topLinePunct w:val="0"/>
        <w:autoSpaceDE/>
        <w:autoSpaceDN/>
        <w:bidi w:val="0"/>
        <w:adjustRightInd w:val="0"/>
        <w:snapToGrid w:val="0"/>
        <w:spacing w:line="580" w:lineRule="exact"/>
        <w:jc w:val="center"/>
        <w:outlineLvl w:val="9"/>
        <w:rPr>
          <w:rFonts w:hint="eastAsia" w:ascii="Times New Roman Regular" w:hAnsi="Times New Roman Regular" w:eastAsia="方正小标宋简体" w:cs="Times New Roman Regular"/>
          <w:color w:val="auto"/>
          <w:sz w:val="44"/>
          <w:szCs w:val="44"/>
          <w:lang w:val="en-US" w:eastAsia="zh-CN"/>
        </w:rPr>
      </w:pPr>
      <w:r>
        <w:rPr>
          <w:rFonts w:hint="eastAsia" w:ascii="Times New Roman Regular" w:hAnsi="Times New Roman Regular" w:eastAsia="方正小标宋简体" w:cs="Times New Roman Regular"/>
          <w:color w:val="auto"/>
          <w:sz w:val="44"/>
          <w:szCs w:val="44"/>
          <w:lang w:val="en-US" w:eastAsia="zh-CN"/>
        </w:rPr>
        <w:t>政府采购项目支出绩效评价报告</w:t>
      </w:r>
    </w:p>
    <w:p>
      <w:pPr>
        <w:keepNext w:val="0"/>
        <w:keepLines w:val="0"/>
        <w:pageBreakBefore w:val="0"/>
        <w:widowControl w:val="0"/>
        <w:kinsoku/>
        <w:wordWrap/>
        <w:overflowPunct/>
        <w:topLinePunct w:val="0"/>
        <w:autoSpaceDE/>
        <w:autoSpaceDN/>
        <w:bidi w:val="0"/>
        <w:rPr>
          <w:rStyle w:val="21"/>
          <w:rFonts w:hint="default" w:ascii="Times New Roman Regular" w:hAnsi="Times New Roman Regular" w:eastAsia="宋体" w:cs="Times New Roman Regular"/>
          <w:color w:val="auto"/>
          <w:kern w:val="0"/>
          <w:lang w:val="en-US" w:eastAsia="zh-CN"/>
        </w:rPr>
      </w:pP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Regular" w:hAnsi="Times New Roman Regular" w:eastAsia="黑体" w:cs="Times New Roman Regular"/>
          <w:color w:val="auto"/>
          <w:sz w:val="32"/>
          <w:szCs w:val="32"/>
          <w:lang w:val="en-US" w:eastAsia="zh-CN"/>
        </w:rPr>
      </w:pPr>
      <w:bookmarkStart w:id="5" w:name="_Toc9410"/>
      <w:bookmarkStart w:id="6" w:name="_Toc9615"/>
      <w:bookmarkStart w:id="7" w:name="_Toc26070"/>
      <w:bookmarkStart w:id="8" w:name="_Toc6605"/>
      <w:bookmarkStart w:id="9" w:name="_Toc1279"/>
      <w:bookmarkStart w:id="10" w:name="_Toc98775083"/>
      <w:bookmarkStart w:id="11" w:name="_Toc32140"/>
      <w:bookmarkStart w:id="12" w:name="_Toc336506954"/>
      <w:bookmarkStart w:id="13" w:name="_Toc17017"/>
      <w:bookmarkStart w:id="14" w:name="_Toc336506889"/>
      <w:bookmarkStart w:id="15" w:name="_Toc98698388"/>
      <w:r>
        <w:rPr>
          <w:rFonts w:hint="default" w:ascii="Times New Roman Regular" w:hAnsi="Times New Roman Regular" w:eastAsia="黑体" w:cs="Times New Roman Regular"/>
          <w:color w:val="auto"/>
          <w:sz w:val="32"/>
          <w:szCs w:val="32"/>
          <w:lang w:val="en-US" w:eastAsia="zh-CN"/>
        </w:rPr>
        <w:t>一、项目基本情况</w:t>
      </w:r>
      <w:bookmarkEnd w:id="5"/>
      <w:bookmarkEnd w:id="6"/>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1"/>
        <w:rPr>
          <w:rFonts w:hint="default" w:ascii="楷体" w:hAnsi="楷体" w:eastAsia="楷体" w:cs="楷体"/>
          <w:color w:val="auto"/>
          <w:sz w:val="32"/>
          <w:szCs w:val="32"/>
          <w:lang w:val="en-US" w:eastAsia="zh-CN"/>
        </w:rPr>
      </w:pPr>
      <w:bookmarkStart w:id="16" w:name="_Toc17286"/>
      <w:bookmarkStart w:id="17" w:name="_Toc7464"/>
      <w:r>
        <w:rPr>
          <w:rFonts w:hint="eastAsia" w:ascii="楷体" w:hAnsi="楷体" w:eastAsia="楷体" w:cs="楷体"/>
          <w:color w:val="auto"/>
          <w:sz w:val="32"/>
          <w:szCs w:val="32"/>
          <w:lang w:val="en-US" w:eastAsia="zh-CN"/>
        </w:rPr>
        <w:t>（一）项目背景</w:t>
      </w:r>
      <w:bookmarkEnd w:id="16"/>
      <w:bookmarkEnd w:id="17"/>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eastAsia="仿宋" w:cs="Times New Roman"/>
          <w:lang w:eastAsia="zh-Hans"/>
        </w:rPr>
      </w:pPr>
      <w:bookmarkStart w:id="18" w:name="_Toc22437"/>
      <w:r>
        <w:rPr>
          <w:rFonts w:hint="eastAsia" w:eastAsia="仿宋" w:cs="Times New Roman"/>
          <w:lang w:val="en-US" w:eastAsia="zh-Hans"/>
        </w:rPr>
        <w:t>根据</w:t>
      </w:r>
      <w:r>
        <w:rPr>
          <w:rFonts w:hint="eastAsia" w:ascii="Times New Roman" w:hAnsi="Times New Roman" w:eastAsia="仿宋" w:cs="Times New Roman"/>
          <w:lang w:val="en-US" w:eastAsia="zh-CN"/>
        </w:rPr>
        <w:t>《中华人民共和国土壤污染防治法》</w:t>
      </w:r>
      <w:r>
        <w:rPr>
          <w:rFonts w:hint="default" w:eastAsia="仿宋" w:cs="Times New Roman"/>
          <w:lang w:eastAsia="zh-CN"/>
        </w:rPr>
        <w:t>、</w:t>
      </w:r>
      <w:r>
        <w:rPr>
          <w:rFonts w:hint="eastAsia" w:ascii="Times New Roman" w:hAnsi="Times New Roman" w:eastAsia="仿宋" w:cs="Times New Roman"/>
          <w:lang w:val="en-US" w:eastAsia="zh-CN"/>
        </w:rPr>
        <w:t>《山东省土壤污染防治条例》</w:t>
      </w:r>
      <w:r>
        <w:rPr>
          <w:rFonts w:hint="eastAsia" w:eastAsia="仿宋" w:cs="Times New Roman"/>
          <w:lang w:val="en-US" w:eastAsia="zh-Hans"/>
        </w:rPr>
        <w:t>等政策文件规定</w:t>
      </w:r>
      <w:r>
        <w:rPr>
          <w:rFonts w:hint="eastAsia" w:ascii="Times New Roman" w:hAnsi="Times New Roman" w:eastAsia="仿宋" w:cs="Times New Roman"/>
          <w:lang w:val="en-US" w:eastAsia="zh-CN"/>
        </w:rPr>
        <w:t>，</w:t>
      </w:r>
      <w:r>
        <w:rPr>
          <w:rFonts w:hint="eastAsia" w:eastAsia="仿宋" w:cs="Times New Roman"/>
          <w:lang w:val="en-US" w:eastAsia="zh-Hans"/>
        </w:rPr>
        <w:t>为</w:t>
      </w:r>
      <w:r>
        <w:rPr>
          <w:rFonts w:hint="eastAsia" w:ascii="Times New Roman" w:hAnsi="Times New Roman" w:eastAsia="仿宋" w:cs="Times New Roman"/>
          <w:lang w:val="en-US" w:eastAsia="zh-CN"/>
        </w:rPr>
        <w:t>进一步推动土壤资源的永续利用，推进生态文明建设，促进经济社会可持续发展。2020年12月，菏泽市生态环境局对菏泽市硫酸厂地块土壤进行初步采样调查，调查结论属污染地块。为进一步准确掌握硫酸厂地块土壤和地下水污染程度及范围，需对地块进行详细调查，进一步确定污染情况</w:t>
      </w:r>
      <w:r>
        <w:rPr>
          <w:rFonts w:hint="default" w:eastAsia="仿宋" w:cs="Times New Roman"/>
          <w:lang w:eastAsia="zh-CN"/>
        </w:rPr>
        <w:t>，</w:t>
      </w:r>
      <w:r>
        <w:rPr>
          <w:rFonts w:hint="eastAsia" w:eastAsia="仿宋" w:cs="Times New Roman"/>
          <w:lang w:val="en-US" w:eastAsia="zh-Hans"/>
        </w:rPr>
        <w:t>菏泽市生态环境局通过政府采购方式确定第三方公司</w:t>
      </w:r>
      <w:r>
        <w:rPr>
          <w:rFonts w:hint="default" w:eastAsia="仿宋" w:cs="Times New Roman"/>
          <w:lang w:eastAsia="zh-Hans"/>
        </w:rPr>
        <w:t>，</w:t>
      </w:r>
      <w:r>
        <w:rPr>
          <w:rFonts w:hint="eastAsia" w:eastAsia="仿宋" w:cs="Times New Roman"/>
          <w:lang w:val="en-US" w:eastAsia="zh-Hans"/>
        </w:rPr>
        <w:t>实施菏泽市硫酸厂地块土壤污染状况详细调查项目</w:t>
      </w:r>
      <w:r>
        <w:rPr>
          <w:rFonts w:hint="default" w:eastAsia="仿宋" w:cs="Times New Roman"/>
          <w:lang w:eastAsia="zh-Hans"/>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1"/>
        <w:rPr>
          <w:rFonts w:hint="default" w:ascii="楷体" w:hAnsi="楷体" w:eastAsia="楷体" w:cs="楷体"/>
          <w:color w:val="auto"/>
          <w:sz w:val="32"/>
          <w:szCs w:val="32"/>
          <w:lang w:val="en-US" w:eastAsia="zh-CN"/>
        </w:rPr>
      </w:pPr>
      <w:bookmarkStart w:id="19" w:name="_Toc19949"/>
      <w:r>
        <w:rPr>
          <w:rFonts w:hint="eastAsia" w:ascii="楷体" w:hAnsi="楷体" w:eastAsia="楷体" w:cs="楷体"/>
          <w:color w:val="auto"/>
          <w:sz w:val="32"/>
          <w:szCs w:val="32"/>
          <w:lang w:val="en-US" w:eastAsia="zh-CN"/>
        </w:rPr>
        <w:t>（二）项目预算安排和支出情况</w:t>
      </w:r>
      <w:bookmarkEnd w:id="18"/>
      <w:bookmarkEnd w:id="19"/>
    </w:p>
    <w:p>
      <w:pPr>
        <w:pStyle w:val="4"/>
        <w:keepNext w:val="0"/>
        <w:keepLines w:val="0"/>
        <w:pageBreakBefore w:val="0"/>
        <w:widowControl w:val="0"/>
        <w:kinsoku/>
        <w:wordWrap/>
        <w:overflowPunct/>
        <w:topLinePunct w:val="0"/>
        <w:autoSpaceDE/>
        <w:autoSpaceDN/>
        <w:bidi w:val="0"/>
        <w:adjustRightInd/>
        <w:snapToGrid/>
        <w:spacing w:after="0"/>
        <w:textAlignment w:val="auto"/>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1.项目预算</w:t>
      </w:r>
      <w:r>
        <w:rPr>
          <w:rFonts w:hint="eastAsia" w:ascii="Times New Roman" w:hAnsi="Times New Roman" w:eastAsia="仿宋" w:cs="Times New Roman"/>
          <w:b/>
          <w:bCs/>
          <w:sz w:val="32"/>
          <w:szCs w:val="32"/>
          <w:lang w:val="en-US" w:eastAsia="zh-CN"/>
        </w:rPr>
        <w:t>安排</w:t>
      </w:r>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eastAsia" w:ascii="Times New Roman" w:hAnsi="Times New Roman" w:eastAsia="仿宋" w:cs="Times New Roman"/>
          <w:lang w:val="en-US" w:eastAsia="zh-CN"/>
        </w:rPr>
      </w:pPr>
      <w:r>
        <w:rPr>
          <w:rFonts w:hint="eastAsia" w:ascii="Times New Roman" w:hAnsi="Times New Roman" w:eastAsia="仿宋" w:cs="Times New Roman"/>
          <w:lang w:val="en-US" w:eastAsia="zh-CN"/>
        </w:rPr>
        <w:t>本项目根据《山东省财政厅关于下达2021年中央土壤污染防治资金（第二批）预算指标的通知》（鲁财资环指〔2021〕21号）文件，结合菏泽市中央项目储备库土壤污染防治项目情况，</w:t>
      </w:r>
      <w:r>
        <w:rPr>
          <w:rFonts w:hint="eastAsia" w:eastAsia="仿宋" w:cs="Times New Roman"/>
          <w:lang w:val="en-US" w:eastAsia="zh-Hans"/>
        </w:rPr>
        <w:t>安排预算资金</w:t>
      </w:r>
      <w:r>
        <w:rPr>
          <w:rFonts w:hint="eastAsia" w:ascii="Times New Roman" w:hAnsi="Times New Roman" w:eastAsia="仿宋" w:cs="Times New Roman"/>
          <w:lang w:val="en-US" w:eastAsia="zh-CN"/>
        </w:rPr>
        <w:t>229.08万元。</w:t>
      </w:r>
    </w:p>
    <w:p>
      <w:pPr>
        <w:pStyle w:val="4"/>
        <w:keepNext w:val="0"/>
        <w:keepLines w:val="0"/>
        <w:pageBreakBefore w:val="0"/>
        <w:widowControl w:val="0"/>
        <w:kinsoku/>
        <w:wordWrap/>
        <w:overflowPunct/>
        <w:topLinePunct w:val="0"/>
        <w:autoSpaceDE/>
        <w:autoSpaceDN/>
        <w:bidi w:val="0"/>
        <w:adjustRightInd/>
        <w:snapToGrid/>
        <w:spacing w:after="0"/>
        <w:textAlignment w:val="auto"/>
        <w:rPr>
          <w:rFonts w:hint="default" w:ascii="Times New Roman" w:hAnsi="Times New Roman" w:eastAsia="仿宋" w:cs="Times New Roman"/>
          <w:b/>
          <w:bCs/>
          <w:sz w:val="32"/>
          <w:szCs w:val="32"/>
          <w:lang w:val="en-US" w:eastAsia="zh-CN"/>
        </w:rPr>
      </w:pPr>
      <w:r>
        <w:rPr>
          <w:rFonts w:hint="eastAsia" w:ascii="Times New Roman" w:hAnsi="Times New Roman" w:eastAsia="仿宋" w:cs="Times New Roman"/>
          <w:b/>
          <w:bCs/>
          <w:sz w:val="32"/>
          <w:szCs w:val="32"/>
          <w:lang w:val="en-US" w:eastAsia="zh-CN"/>
        </w:rPr>
        <w:t>2</w:t>
      </w:r>
      <w:r>
        <w:rPr>
          <w:rFonts w:hint="default" w:ascii="Times New Roman" w:hAnsi="Times New Roman" w:eastAsia="仿宋" w:cs="Times New Roman"/>
          <w:b/>
          <w:bCs/>
          <w:sz w:val="32"/>
          <w:szCs w:val="32"/>
          <w:lang w:val="en-US" w:eastAsia="zh-CN"/>
        </w:rPr>
        <w:t>.项目</w:t>
      </w:r>
      <w:r>
        <w:rPr>
          <w:rFonts w:hint="eastAsia" w:ascii="Times New Roman" w:hAnsi="Times New Roman" w:eastAsia="仿宋" w:cs="Times New Roman"/>
          <w:b/>
          <w:bCs/>
          <w:sz w:val="32"/>
          <w:szCs w:val="32"/>
          <w:lang w:val="en-US" w:eastAsia="zh-CN"/>
        </w:rPr>
        <w:t>支出</w:t>
      </w:r>
      <w:r>
        <w:rPr>
          <w:rFonts w:hint="default" w:ascii="Times New Roman" w:hAnsi="Times New Roman" w:eastAsia="仿宋" w:cs="Times New Roman"/>
          <w:b/>
          <w:bCs/>
          <w:sz w:val="32"/>
          <w:szCs w:val="32"/>
          <w:lang w:val="en-US" w:eastAsia="zh-CN"/>
        </w:rPr>
        <w:t>情况</w:t>
      </w:r>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eastAsia="仿宋" w:cs="Times New Roman"/>
          <w:highlight w:val="none"/>
          <w:lang w:val="en-US" w:eastAsia="zh-Hans"/>
        </w:rPr>
      </w:pPr>
      <w:r>
        <w:rPr>
          <w:rFonts w:hint="default" w:ascii="Times New Roman" w:hAnsi="Times New Roman" w:eastAsia="仿宋" w:cs="Times New Roman"/>
          <w:lang w:val="en-US" w:eastAsia="zh-CN"/>
        </w:rPr>
        <w:t>本项目于2022年4月支付20%合同款42.93万元作为首付款至中标单位，并于2022年6月支付30%合同款64.40万元。</w:t>
      </w:r>
      <w:r>
        <w:rPr>
          <w:rFonts w:hint="default" w:ascii="Times New Roman" w:hAnsi="Times New Roman" w:eastAsia="仿宋" w:cs="Times New Roman"/>
          <w:highlight w:val="none"/>
          <w:lang w:val="en-US" w:eastAsia="zh-CN"/>
        </w:rPr>
        <w:t>截至2022年9月底，本项目</w:t>
      </w:r>
      <w:r>
        <w:rPr>
          <w:rFonts w:hint="eastAsia" w:eastAsia="仿宋" w:cs="Times New Roman"/>
          <w:highlight w:val="none"/>
          <w:lang w:val="en-US" w:eastAsia="zh-Hans"/>
        </w:rPr>
        <w:t>资金支出</w:t>
      </w:r>
      <w:r>
        <w:rPr>
          <w:rFonts w:hint="default" w:ascii="Times New Roman" w:hAnsi="Times New Roman" w:eastAsia="仿宋" w:cs="Times New Roman"/>
          <w:highlight w:val="none"/>
          <w:lang w:val="en-US" w:eastAsia="zh-CN"/>
        </w:rPr>
        <w:t>金额为107.33万元，占合同总金额的50%。</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1"/>
        <w:rPr>
          <w:rFonts w:hint="default" w:ascii="楷体" w:hAnsi="楷体" w:eastAsia="楷体" w:cs="楷体"/>
          <w:color w:val="auto"/>
          <w:sz w:val="32"/>
          <w:szCs w:val="32"/>
          <w:lang w:val="en-US" w:eastAsia="zh-CN"/>
        </w:rPr>
      </w:pPr>
      <w:bookmarkStart w:id="20" w:name="_Toc24013"/>
      <w:bookmarkStart w:id="21" w:name="_Toc21444"/>
      <w:r>
        <w:rPr>
          <w:rFonts w:hint="eastAsia" w:ascii="楷体" w:hAnsi="楷体" w:eastAsia="楷体" w:cs="楷体"/>
          <w:color w:val="auto"/>
          <w:sz w:val="32"/>
          <w:szCs w:val="32"/>
          <w:lang w:val="en-US" w:eastAsia="zh-CN"/>
        </w:rPr>
        <w:t>（三）项目需求和实施情况</w:t>
      </w:r>
      <w:bookmarkEnd w:id="20"/>
      <w:bookmarkEnd w:id="21"/>
    </w:p>
    <w:p>
      <w:pPr>
        <w:pStyle w:val="4"/>
        <w:keepNext w:val="0"/>
        <w:keepLines w:val="0"/>
        <w:pageBreakBefore w:val="0"/>
        <w:widowControl w:val="0"/>
        <w:kinsoku/>
        <w:wordWrap/>
        <w:overflowPunct/>
        <w:topLinePunct w:val="0"/>
        <w:autoSpaceDE/>
        <w:autoSpaceDN/>
        <w:bidi w:val="0"/>
        <w:adjustRightInd/>
        <w:snapToGrid/>
        <w:spacing w:after="0"/>
        <w:textAlignment w:val="auto"/>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1.项目采购需求</w:t>
      </w:r>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本项目主要需求内容为针对菏泽市硫酸厂地块开展土壤污染状况详细调查和风险评估工作，并根据调查及评估情况出具调查报告及风险评估报告。</w:t>
      </w:r>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eastAsia="仿宋" w:cs="Times New Roman"/>
          <w:b/>
          <w:bCs/>
          <w:lang w:val="en-US" w:eastAsia="zh-CN"/>
        </w:rPr>
      </w:pPr>
      <w:r>
        <w:rPr>
          <w:rFonts w:hint="eastAsia" w:eastAsia="仿宋" w:cs="Times New Roman"/>
          <w:b/>
          <w:bCs/>
          <w:lang w:val="en-US" w:eastAsia="zh-CN"/>
        </w:rPr>
        <w:t>2</w:t>
      </w:r>
      <w:r>
        <w:rPr>
          <w:rFonts w:hint="default" w:ascii="Times New Roman" w:hAnsi="Times New Roman" w:eastAsia="仿宋" w:cs="Times New Roman"/>
          <w:b/>
          <w:bCs/>
          <w:lang w:val="en-US" w:eastAsia="zh-CN"/>
        </w:rPr>
        <w:t>.项目实施情况</w:t>
      </w:r>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eastAsia="仿宋" w:cs="Times New Roman"/>
          <w:lang w:val="en-US" w:eastAsia="zh-CN"/>
        </w:rPr>
      </w:pPr>
      <w:r>
        <w:rPr>
          <w:rFonts w:hint="eastAsia" w:eastAsia="仿宋" w:cs="Times New Roman"/>
          <w:lang w:val="en-US" w:eastAsia="zh-CN"/>
        </w:rPr>
        <w:t>本项目于</w:t>
      </w:r>
      <w:r>
        <w:rPr>
          <w:rFonts w:hint="default" w:ascii="Times New Roman" w:hAnsi="Times New Roman" w:eastAsia="仿宋" w:cs="Times New Roman"/>
          <w:lang w:val="en-US" w:eastAsia="zh-CN"/>
        </w:rPr>
        <w:t>2021年3月2日，</w:t>
      </w:r>
      <w:r>
        <w:rPr>
          <w:rFonts w:hint="eastAsia" w:eastAsia="仿宋" w:cs="Times New Roman"/>
          <w:lang w:val="en-US" w:eastAsia="zh-CN"/>
        </w:rPr>
        <w:t>由</w:t>
      </w:r>
      <w:r>
        <w:rPr>
          <w:rFonts w:hint="default" w:ascii="Times New Roman" w:hAnsi="Times New Roman" w:eastAsia="仿宋" w:cs="Times New Roman"/>
          <w:lang w:val="en-US" w:eastAsia="zh-CN"/>
        </w:rPr>
        <w:t>菏泽市人民政府批复同意</w:t>
      </w:r>
      <w:r>
        <w:rPr>
          <w:rFonts w:hint="eastAsia" w:eastAsia="仿宋" w:cs="Times New Roman"/>
          <w:lang w:val="en-US" w:eastAsia="zh-CN"/>
        </w:rPr>
        <w:t>。于</w:t>
      </w:r>
      <w:r>
        <w:rPr>
          <w:rFonts w:hint="default" w:ascii="Times New Roman" w:hAnsi="Times New Roman" w:eastAsia="仿宋" w:cs="Times New Roman"/>
          <w:lang w:val="en-US" w:eastAsia="zh-CN"/>
        </w:rPr>
        <w:t>2021年12月3日，开展第一次公开招标工作，</w:t>
      </w:r>
      <w:r>
        <w:rPr>
          <w:rFonts w:hint="eastAsia" w:eastAsia="仿宋" w:cs="Times New Roman"/>
          <w:lang w:val="en-US" w:eastAsia="zh-CN"/>
        </w:rPr>
        <w:t>并于</w:t>
      </w:r>
      <w:r>
        <w:rPr>
          <w:rFonts w:hint="default" w:ascii="Times New Roman" w:hAnsi="Times New Roman" w:eastAsia="仿宋" w:cs="Times New Roman"/>
          <w:lang w:val="en-US" w:eastAsia="zh-CN"/>
        </w:rPr>
        <w:t>2021年12月25日，开展第二次公开招标工作</w:t>
      </w:r>
      <w:r>
        <w:rPr>
          <w:rFonts w:hint="eastAsia" w:eastAsia="仿宋" w:cs="Times New Roman"/>
          <w:lang w:val="en-US" w:eastAsia="zh-CN"/>
        </w:rPr>
        <w:t>，</w:t>
      </w:r>
      <w:r>
        <w:rPr>
          <w:rFonts w:hint="default" w:ascii="Times New Roman" w:hAnsi="Times New Roman" w:eastAsia="仿宋" w:cs="Times New Roman"/>
          <w:lang w:val="en-US" w:eastAsia="zh-CN"/>
        </w:rPr>
        <w:t>中标单位为山东派瑞环境保护监测有限公司。</w:t>
      </w:r>
      <w:r>
        <w:rPr>
          <w:rFonts w:hint="eastAsia" w:eastAsia="仿宋" w:cs="Times New Roman"/>
          <w:lang w:val="en-US" w:eastAsia="zh-CN"/>
        </w:rPr>
        <w:t>截至2022年9月底，</w:t>
      </w:r>
      <w:r>
        <w:rPr>
          <w:rFonts w:hint="default" w:ascii="Times New Roman" w:hAnsi="Times New Roman" w:eastAsia="仿宋" w:cs="Times New Roman"/>
          <w:lang w:val="en-US" w:eastAsia="zh-CN"/>
        </w:rPr>
        <w:t>菏泽市</w:t>
      </w:r>
      <w:r>
        <w:rPr>
          <w:rFonts w:hint="eastAsia" w:eastAsia="仿宋" w:cs="Times New Roman"/>
          <w:lang w:val="en-US" w:eastAsia="zh-CN"/>
        </w:rPr>
        <w:t>生态环境局已</w:t>
      </w:r>
      <w:r>
        <w:rPr>
          <w:rFonts w:hint="default" w:ascii="Times New Roman" w:hAnsi="Times New Roman" w:eastAsia="仿宋" w:cs="Times New Roman"/>
          <w:lang w:val="en-US" w:eastAsia="zh-CN"/>
        </w:rPr>
        <w:t>完成详细调查报告验收工作</w:t>
      </w:r>
      <w:r>
        <w:rPr>
          <w:rFonts w:hint="eastAsia" w:eastAsia="仿宋" w:cs="Times New Roman"/>
          <w:lang w:val="en-US" w:eastAsia="zh-CN"/>
        </w:rPr>
        <w:t>，</w:t>
      </w:r>
      <w:r>
        <w:rPr>
          <w:rFonts w:hint="default" w:ascii="Times New Roman" w:hAnsi="Times New Roman" w:eastAsia="仿宋" w:cs="Times New Roman"/>
          <w:lang w:val="en-US" w:eastAsia="zh-CN"/>
        </w:rPr>
        <w:t>风险评估报告</w:t>
      </w:r>
      <w:r>
        <w:rPr>
          <w:rFonts w:hint="eastAsia" w:eastAsia="仿宋" w:cs="Times New Roman"/>
          <w:lang w:val="en-US" w:eastAsia="zh-CN"/>
        </w:rPr>
        <w:t>已</w:t>
      </w:r>
      <w:r>
        <w:rPr>
          <w:rFonts w:hint="default" w:ascii="Times New Roman" w:hAnsi="Times New Roman" w:eastAsia="仿宋" w:cs="Times New Roman"/>
          <w:lang w:val="en-US" w:eastAsia="zh-CN"/>
        </w:rPr>
        <w:t>上传至山东省土壤信息平台，尚未组织评审。</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楷体" w:hAnsi="楷体" w:eastAsia="楷体" w:cs="楷体"/>
          <w:color w:val="auto"/>
          <w:sz w:val="32"/>
          <w:szCs w:val="32"/>
          <w:lang w:val="en-US" w:eastAsia="zh-CN"/>
        </w:rPr>
      </w:pPr>
      <w:bookmarkStart w:id="22" w:name="_Toc24505"/>
      <w:bookmarkStart w:id="23" w:name="_Toc7970"/>
      <w:r>
        <w:rPr>
          <w:rFonts w:hint="eastAsia" w:ascii="Times New Roman Regular" w:hAnsi="Times New Roman Regular" w:eastAsia="黑体" w:cs="Times New Roman Regular"/>
          <w:color w:val="auto"/>
          <w:sz w:val="32"/>
          <w:szCs w:val="32"/>
          <w:lang w:val="en-US" w:eastAsia="zh-CN"/>
        </w:rPr>
        <w:t>三、评价结论和绩效分析</w:t>
      </w:r>
      <w:bookmarkEnd w:id="22"/>
      <w:bookmarkEnd w:id="23"/>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本项目决策合理、合规，实施过程及程序基本符合相关政策，项目实施后产出及效益方面较好。但项目存在内控建设不完整、招标文件内容不合理、专家费用支付不合规、采购合同履约支付及公开不及时、风险评估报告交付不及时、详细调查结果未公开等问题。评价组经过数据采集及分析、现场调研座谈、实地考察等，对项目进行综合评价，绩效评价最终得分为</w:t>
      </w:r>
      <w:r>
        <w:rPr>
          <w:rFonts w:hint="default" w:ascii="Times New Roman" w:hAnsi="Times New Roman" w:eastAsia="仿宋" w:cs="Times New Roman"/>
          <w:highlight w:val="none"/>
          <w:lang w:val="en-US" w:eastAsia="zh-CN"/>
        </w:rPr>
        <w:t>8</w:t>
      </w:r>
      <w:r>
        <w:rPr>
          <w:rFonts w:hint="eastAsia" w:eastAsia="仿宋" w:cs="Times New Roman"/>
          <w:highlight w:val="none"/>
          <w:lang w:val="en-US" w:eastAsia="zh-CN"/>
        </w:rPr>
        <w:t>5</w:t>
      </w:r>
      <w:r>
        <w:rPr>
          <w:rFonts w:hint="default" w:ascii="Times New Roman" w:hAnsi="Times New Roman" w:eastAsia="仿宋" w:cs="Times New Roman"/>
          <w:highlight w:val="none"/>
          <w:lang w:val="en-US" w:eastAsia="zh-CN"/>
        </w:rPr>
        <w:t>.20</w:t>
      </w:r>
      <w:r>
        <w:rPr>
          <w:rFonts w:hint="default" w:ascii="Times New Roman" w:hAnsi="Times New Roman" w:eastAsia="仿宋" w:cs="Times New Roman"/>
          <w:lang w:val="en-US" w:eastAsia="zh-CN"/>
        </w:rPr>
        <w:t>分，综合评价等级为“良”。项目评价得分情况见表1。</w:t>
      </w:r>
    </w:p>
    <w:p>
      <w:pPr>
        <w:keepNext w:val="0"/>
        <w:keepLines w:val="0"/>
        <w:pageBreakBefore w:val="0"/>
        <w:widowControl w:val="0"/>
        <w:kinsoku/>
        <w:wordWrap/>
        <w:overflowPunct/>
        <w:topLinePunct w:val="0"/>
        <w:autoSpaceDE/>
        <w:autoSpaceDN/>
        <w:bidi w:val="0"/>
        <w:adjustRightInd w:val="0"/>
        <w:snapToGrid w:val="0"/>
        <w:spacing w:before="120" w:beforeLines="50" w:line="580" w:lineRule="exact"/>
        <w:jc w:val="center"/>
        <w:rPr>
          <w:rFonts w:hint="default" w:ascii="Times New Roman" w:hAnsi="Times New Roman" w:eastAsia="黑体" w:cs="黑体"/>
          <w:color w:val="auto"/>
          <w:sz w:val="28"/>
          <w:szCs w:val="28"/>
          <w:lang w:val="en-US" w:eastAsia="zh-CN"/>
        </w:rPr>
      </w:pPr>
      <w:r>
        <w:rPr>
          <w:rFonts w:hint="default" w:ascii="Times New Roman" w:hAnsi="Times New Roman" w:eastAsia="黑体" w:cs="黑体"/>
          <w:color w:val="auto"/>
          <w:sz w:val="28"/>
          <w:szCs w:val="28"/>
          <w:lang w:val="en-US" w:eastAsia="zh-CN"/>
        </w:rPr>
        <w:t>表</w:t>
      </w:r>
      <w:r>
        <w:rPr>
          <w:rFonts w:hint="eastAsia" w:ascii="Times New Roman" w:hAnsi="Times New Roman" w:eastAsia="黑体" w:cs="黑体"/>
          <w:color w:val="auto"/>
          <w:sz w:val="28"/>
          <w:szCs w:val="28"/>
          <w:lang w:val="en-US" w:eastAsia="zh-CN"/>
        </w:rPr>
        <w:t>1</w:t>
      </w:r>
      <w:r>
        <w:rPr>
          <w:rFonts w:hint="default" w:ascii="Times New Roman" w:hAnsi="Times New Roman" w:eastAsia="黑体" w:cs="黑体"/>
          <w:color w:val="auto"/>
          <w:sz w:val="28"/>
          <w:szCs w:val="28"/>
          <w:lang w:val="en-US" w:eastAsia="zh-CN"/>
        </w:rPr>
        <w:t>：项目评价得分情况表</w:t>
      </w:r>
    </w:p>
    <w:tbl>
      <w:tblPr>
        <w:tblStyle w:val="1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1157"/>
        <w:gridCol w:w="2222"/>
        <w:gridCol w:w="2031"/>
        <w:gridCol w:w="948"/>
        <w:gridCol w:w="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blHeader/>
        </w:trPr>
        <w:tc>
          <w:tcPr>
            <w:tcW w:w="699" w:type="pct"/>
            <w:shd w:val="clear" w:color="auto" w:fill="D7D7D7" w:themeFill="background1" w:themeFillShade="D8"/>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一级指标</w:t>
            </w:r>
          </w:p>
        </w:tc>
        <w:tc>
          <w:tcPr>
            <w:tcW w:w="679" w:type="pct"/>
            <w:shd w:val="clear" w:color="auto" w:fill="D7D7D7" w:themeFill="background1" w:themeFillShade="D8"/>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二级指标</w:t>
            </w:r>
          </w:p>
        </w:tc>
        <w:tc>
          <w:tcPr>
            <w:tcW w:w="1304" w:type="pct"/>
            <w:shd w:val="clear" w:color="auto" w:fill="D7D7D7" w:themeFill="background1" w:themeFillShade="D8"/>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三级指标</w:t>
            </w:r>
          </w:p>
        </w:tc>
        <w:tc>
          <w:tcPr>
            <w:tcW w:w="1192" w:type="pct"/>
            <w:shd w:val="clear" w:color="auto" w:fill="D7D7D7" w:themeFill="background1" w:themeFillShade="D8"/>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b/>
                <w:bCs/>
                <w:sz w:val="20"/>
                <w:szCs w:val="20"/>
                <w:lang w:val="en-US" w:eastAsia="zh-CN"/>
              </w:rPr>
            </w:pPr>
            <w:r>
              <w:rPr>
                <w:rFonts w:hint="eastAsia" w:ascii="宋体" w:hAnsi="宋体" w:eastAsia="宋体" w:cs="宋体"/>
                <w:b/>
                <w:bCs/>
                <w:sz w:val="20"/>
                <w:szCs w:val="20"/>
                <w:lang w:val="en-US" w:eastAsia="zh-CN"/>
              </w:rPr>
              <w:t>四级指标</w:t>
            </w:r>
          </w:p>
        </w:tc>
        <w:tc>
          <w:tcPr>
            <w:tcW w:w="556" w:type="pct"/>
            <w:shd w:val="clear" w:color="auto" w:fill="D7D7D7" w:themeFill="background1" w:themeFillShade="D8"/>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得分</w:t>
            </w:r>
          </w:p>
        </w:tc>
        <w:tc>
          <w:tcPr>
            <w:tcW w:w="569" w:type="pct"/>
            <w:shd w:val="clear" w:color="auto" w:fill="D7D7D7" w:themeFill="background1" w:themeFillShade="D8"/>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b/>
                <w:bCs/>
                <w:sz w:val="20"/>
                <w:szCs w:val="20"/>
                <w:lang w:val="en-US" w:eastAsia="zh-CN"/>
              </w:rPr>
            </w:pPr>
            <w:r>
              <w:rPr>
                <w:rFonts w:hint="eastAsia" w:ascii="宋体" w:hAnsi="宋体" w:eastAsia="宋体" w:cs="宋体"/>
                <w:b/>
                <w:bCs/>
                <w:sz w:val="20"/>
                <w:szCs w:val="20"/>
                <w:lang w:val="en-US" w:eastAsia="zh-CN"/>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决策</w:t>
            </w:r>
            <w:r>
              <w:rPr>
                <w:rFonts w:hint="eastAsia" w:ascii="宋体" w:hAnsi="宋体" w:eastAsia="宋体" w:cs="宋体"/>
                <w:sz w:val="20"/>
                <w:szCs w:val="20"/>
                <w:lang w:val="en-US" w:eastAsia="zh-CN"/>
              </w:rPr>
              <w:br w:type="textWrapping"/>
            </w:r>
            <w:r>
              <w:rPr>
                <w:rFonts w:hint="eastAsia" w:ascii="宋体" w:hAnsi="宋体" w:eastAsia="宋体" w:cs="宋体"/>
                <w:sz w:val="20"/>
                <w:szCs w:val="20"/>
                <w:lang w:val="en-US" w:eastAsia="zh-CN"/>
              </w:rPr>
              <w:t>(10分)</w:t>
            </w:r>
          </w:p>
        </w:tc>
        <w:tc>
          <w:tcPr>
            <w:tcW w:w="679"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项目立项</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(3分)</w:t>
            </w: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立项依据充分性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立项程序规范性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绩效目标(3分)</w:t>
            </w: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绩效目标合理性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绩效指标明确性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资金投入</w:t>
            </w:r>
            <w:r>
              <w:rPr>
                <w:rFonts w:hint="eastAsia" w:ascii="宋体" w:hAnsi="宋体" w:eastAsia="宋体" w:cs="宋体"/>
                <w:sz w:val="20"/>
                <w:szCs w:val="20"/>
                <w:lang w:val="en-US" w:eastAsia="zh-CN"/>
              </w:rPr>
              <w:br w:type="page"/>
            </w:r>
            <w:r>
              <w:rPr>
                <w:rFonts w:hint="eastAsia" w:ascii="宋体" w:hAnsi="宋体" w:eastAsia="宋体" w:cs="宋体"/>
                <w:sz w:val="20"/>
                <w:szCs w:val="20"/>
                <w:lang w:val="en-US" w:eastAsia="zh-CN"/>
              </w:rPr>
              <w:t>(4分)</w:t>
            </w: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预算编制科学性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政策执行合规性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过程</w:t>
            </w:r>
            <w:r>
              <w:rPr>
                <w:rFonts w:hint="eastAsia" w:ascii="宋体" w:hAnsi="宋体" w:eastAsia="宋体" w:cs="宋体"/>
                <w:sz w:val="20"/>
                <w:szCs w:val="20"/>
                <w:lang w:val="en-US" w:eastAsia="zh-CN"/>
              </w:rPr>
              <w:br w:type="textWrapping"/>
            </w:r>
            <w:r>
              <w:rPr>
                <w:rFonts w:hint="eastAsia" w:ascii="宋体" w:hAnsi="宋体" w:eastAsia="宋体" w:cs="宋体"/>
                <w:sz w:val="20"/>
                <w:szCs w:val="20"/>
                <w:lang w:val="en-US" w:eastAsia="zh-CN"/>
              </w:rPr>
              <w:t>（56分）</w:t>
            </w:r>
          </w:p>
        </w:tc>
        <w:tc>
          <w:tcPr>
            <w:tcW w:w="679"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资金管理（4分）</w:t>
            </w: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预算执行率</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1.50</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资金使用合规性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组织实施</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（50分）</w:t>
            </w:r>
          </w:p>
        </w:tc>
        <w:tc>
          <w:tcPr>
            <w:tcW w:w="1304"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内控建设完整性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制度建设完整性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岗位设置合理性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0</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采购需求科学性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采购需求完整性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采购需求充分性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采购需求合规性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采购计划完整性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采购计划备案及时性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采购计划准确性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采购活动组织合规性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（19分）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代理机构选择合规性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委托协议完整性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采购方式合规性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项目信用评价参与率</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采购文件合规性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开、评、定标组织合规性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3</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专家使用合规性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询问、质疑答复合规性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合同管理规范性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合同签订及时性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合同签订合规性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合同履约准确性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履约验收合规性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履约支付及时性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采购信息公开规范性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（7分）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信息公开完整性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信息公开及时性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66.67%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信息公开合规性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档案管理</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档案管理合规性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产出</w:t>
            </w:r>
            <w:r>
              <w:rPr>
                <w:rFonts w:hint="eastAsia" w:ascii="宋体" w:hAnsi="宋体" w:eastAsia="宋体" w:cs="宋体"/>
                <w:sz w:val="20"/>
                <w:szCs w:val="20"/>
                <w:lang w:val="en-US" w:eastAsia="zh-CN"/>
              </w:rPr>
              <w:br w:type="textWrapping"/>
            </w:r>
            <w:r>
              <w:rPr>
                <w:rFonts w:hint="eastAsia" w:ascii="宋体" w:hAnsi="宋体" w:eastAsia="宋体" w:cs="宋体"/>
                <w:sz w:val="20"/>
                <w:szCs w:val="20"/>
                <w:lang w:val="en-US" w:eastAsia="zh-CN"/>
              </w:rPr>
              <w:t>（16分）</w:t>
            </w:r>
          </w:p>
        </w:tc>
        <w:tc>
          <w:tcPr>
            <w:tcW w:w="679"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产出数量（4分）</w:t>
            </w: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详细调查报告提交评审数量</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风险评估报告提交评审数量</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产出质量（4分）</w:t>
            </w: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报告验收通过率</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4</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产出时效（4分）</w:t>
            </w: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项目交付及时性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产出成本（4分）</w:t>
            </w: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政府采购节约率</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4</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效益</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br w:type="page"/>
            </w:r>
            <w:r>
              <w:rPr>
                <w:rFonts w:hint="eastAsia" w:ascii="宋体" w:hAnsi="宋体" w:eastAsia="宋体" w:cs="宋体"/>
                <w:sz w:val="20"/>
                <w:szCs w:val="20"/>
                <w:lang w:val="en-US" w:eastAsia="zh-CN"/>
              </w:rPr>
              <w:t>（18分）</w:t>
            </w:r>
          </w:p>
        </w:tc>
        <w:tc>
          <w:tcPr>
            <w:tcW w:w="679"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社会效益</w:t>
            </w:r>
            <w:r>
              <w:rPr>
                <w:rFonts w:hint="eastAsia" w:ascii="宋体" w:hAnsi="宋体" w:eastAsia="宋体" w:cs="宋体"/>
                <w:sz w:val="20"/>
                <w:szCs w:val="20"/>
                <w:lang w:val="en-US" w:eastAsia="zh-CN"/>
              </w:rPr>
              <w:br w:type="page"/>
            </w:r>
            <w:r>
              <w:rPr>
                <w:rFonts w:hint="eastAsia" w:ascii="宋体" w:hAnsi="宋体" w:eastAsia="宋体" w:cs="宋体"/>
                <w:sz w:val="20"/>
                <w:szCs w:val="20"/>
                <w:lang w:val="en-US" w:eastAsia="zh-CN"/>
              </w:rPr>
              <w:t>（10分）</w:t>
            </w: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政策落实情况</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地块信息上传合规性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调查结果公开合规性</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0</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土壤环境情况知晓度</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居民安全健康保障提升程度</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1.90</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生态效益</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污染地块安全利用率提升程度</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2</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restar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满意度指标</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（6分）</w:t>
            </w: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受益群众满意度</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2.80</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93.33%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pct"/>
            <w:vMerge w:val="continue"/>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679" w:type="pct"/>
            <w:vMerge w:val="continue"/>
            <w:tcBorders/>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p>
        </w:tc>
        <w:tc>
          <w:tcPr>
            <w:tcW w:w="1304"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采购人满意度</w:t>
            </w:r>
          </w:p>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（3分）</w:t>
            </w:r>
          </w:p>
        </w:tc>
        <w:tc>
          <w:tcPr>
            <w:tcW w:w="1192"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3</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kern w:val="0"/>
                <w:sz w:val="20"/>
                <w:szCs w:val="20"/>
                <w:lang w:val="en-US" w:eastAsia="zh-CN" w:bidi="ar-SA"/>
              </w:rPr>
            </w:pPr>
            <w:r>
              <w:rPr>
                <w:rFonts w:hint="eastAsia" w:ascii="宋体" w:hAnsi="宋体" w:eastAsia="宋体" w:cs="宋体"/>
                <w:sz w:val="2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74" w:type="pct"/>
            <w:gridSpan w:val="4"/>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合  计</w:t>
            </w:r>
          </w:p>
        </w:tc>
        <w:tc>
          <w:tcPr>
            <w:tcW w:w="556"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85.20</w:t>
            </w:r>
          </w:p>
        </w:tc>
        <w:tc>
          <w:tcPr>
            <w:tcW w:w="569" w:type="pct"/>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85</w:t>
            </w:r>
            <w:bookmarkStart w:id="48" w:name="_GoBack"/>
            <w:bookmarkEnd w:id="48"/>
            <w:r>
              <w:rPr>
                <w:rFonts w:hint="eastAsia" w:ascii="宋体" w:hAnsi="宋体" w:eastAsia="宋体" w:cs="宋体"/>
                <w:sz w:val="20"/>
                <w:szCs w:val="2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74" w:type="pct"/>
            <w:gridSpan w:val="4"/>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综合评价等级</w:t>
            </w:r>
          </w:p>
        </w:tc>
        <w:tc>
          <w:tcPr>
            <w:tcW w:w="1125" w:type="pct"/>
            <w:gridSpan w:val="2"/>
            <w:shd w:val="clear" w:color="auto" w:fill="auto"/>
            <w:vAlign w:val="center"/>
          </w:tcPr>
          <w:p>
            <w:pPr>
              <w:pStyle w:val="4"/>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良</w:t>
            </w:r>
          </w:p>
        </w:tc>
      </w:tr>
    </w:tbl>
    <w:p>
      <w:pPr>
        <w:pStyle w:val="4"/>
        <w:rPr>
          <w:rFonts w:hint="default"/>
          <w:lang w:val="en-US" w:eastAsia="zh-CN"/>
        </w:rPr>
      </w:pP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Regular" w:hAnsi="Times New Roman Regular" w:eastAsia="黑体" w:cs="Times New Roman Regular"/>
          <w:color w:val="auto"/>
          <w:sz w:val="32"/>
          <w:szCs w:val="32"/>
          <w:lang w:val="en-US" w:eastAsia="zh-CN"/>
        </w:rPr>
      </w:pPr>
      <w:r>
        <w:rPr>
          <w:rFonts w:hint="eastAsia" w:ascii="Times New Roman Regular" w:hAnsi="Times New Roman Regular" w:eastAsia="黑体" w:cs="Times New Roman Regular"/>
          <w:color w:val="auto"/>
          <w:sz w:val="32"/>
          <w:szCs w:val="32"/>
          <w:lang w:val="en-US" w:eastAsia="zh-CN"/>
        </w:rPr>
        <w:t>四、项目主要绩效</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1"/>
        <w:rPr>
          <w:rFonts w:hint="default" w:ascii="楷体" w:hAnsi="楷体" w:eastAsia="楷体" w:cs="楷体"/>
          <w:color w:val="auto"/>
          <w:sz w:val="32"/>
          <w:szCs w:val="32"/>
          <w:lang w:val="en-US" w:eastAsia="zh-CN"/>
        </w:rPr>
      </w:pPr>
      <w:bookmarkStart w:id="24" w:name="_Toc3936"/>
      <w:r>
        <w:rPr>
          <w:rFonts w:hint="default" w:ascii="楷体" w:hAnsi="楷体" w:eastAsia="楷体" w:cs="楷体"/>
          <w:color w:val="auto"/>
          <w:sz w:val="32"/>
          <w:szCs w:val="32"/>
          <w:lang w:val="en-US" w:eastAsia="zh-CN"/>
        </w:rPr>
        <w:t>（一）积极开展硫酸厂地块污染情况分析工作</w:t>
      </w:r>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本项目根据《中华人民共和国土壤污染防治法》等相关法律法规，在初步采样调查结论的基础上，进一步分析污染物种类、来源及形成原因，明确地块内土壤及地下水污染状况，摸清土壤地下水的污染面积和方量，积极制定污染土壤的防控措施，为下一步地块风险管控以及地块治理与修复工作提供依据。</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1"/>
        <w:rPr>
          <w:rFonts w:hint="default" w:ascii="楷体" w:hAnsi="楷体" w:eastAsia="楷体" w:cs="楷体"/>
          <w:color w:val="auto"/>
          <w:sz w:val="32"/>
          <w:szCs w:val="32"/>
          <w:lang w:val="en-US" w:eastAsia="zh-CN"/>
        </w:rPr>
      </w:pPr>
      <w:r>
        <w:rPr>
          <w:rFonts w:hint="default" w:ascii="楷体" w:hAnsi="楷体" w:eastAsia="楷体" w:cs="楷体"/>
          <w:color w:val="auto"/>
          <w:sz w:val="32"/>
          <w:szCs w:val="32"/>
          <w:lang w:val="en-US" w:eastAsia="zh-CN"/>
        </w:rPr>
        <w:t>（二）严格把控土壤污染调查报告质量</w:t>
      </w:r>
      <w:bookmarkEnd w:id="24"/>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在菏泽市硫酸厂地块土壤污染调查过程中，相应工作全部由具有相应资质的中标单位承担，出具的相关报告必须经过市级或省级专家评审，同时菏泽市生态环境局负责相应的质量监管和资金监管，积极保障项目产出质量。</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1"/>
        <w:rPr>
          <w:rFonts w:hint="default" w:ascii="楷体" w:hAnsi="楷体" w:eastAsia="楷体" w:cs="楷体"/>
          <w:color w:val="auto"/>
          <w:sz w:val="32"/>
          <w:szCs w:val="32"/>
          <w:lang w:val="en-US" w:eastAsia="zh-CN"/>
        </w:rPr>
      </w:pPr>
      <w:bookmarkStart w:id="25" w:name="_Toc10264"/>
      <w:r>
        <w:rPr>
          <w:rFonts w:hint="default" w:ascii="楷体" w:hAnsi="楷体" w:eastAsia="楷体" w:cs="楷体"/>
          <w:color w:val="auto"/>
          <w:sz w:val="32"/>
          <w:szCs w:val="32"/>
          <w:lang w:val="en-US" w:eastAsia="zh-CN"/>
        </w:rPr>
        <w:t>（三）加快推进污染地块名录</w:t>
      </w:r>
      <w:bookmarkEnd w:id="25"/>
      <w:r>
        <w:rPr>
          <w:rFonts w:hint="default" w:ascii="楷体" w:hAnsi="楷体" w:eastAsia="楷体" w:cs="楷体"/>
          <w:color w:val="auto"/>
          <w:sz w:val="32"/>
          <w:szCs w:val="32"/>
          <w:lang w:val="en-US" w:eastAsia="zh-CN"/>
        </w:rPr>
        <w:t>建设进程</w:t>
      </w:r>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菏泽市生态环境局按照《污染地块土壤环境管理办法》（中华人民共和国环境保护部令第42号）中对污染地块名录建设的规定，将菏泽市硫酸厂地块信息纳入污染地块名录，并将调查信息上传至国家污染地块信息系统，进一步促进污染地块名录建设进程，推动污染土壤风险管控及修复再利用工作进度。</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Regular" w:hAnsi="Times New Roman Regular" w:eastAsia="黑体" w:cs="Times New Roman Regular"/>
          <w:color w:val="auto"/>
          <w:sz w:val="32"/>
          <w:szCs w:val="32"/>
          <w:lang w:val="en-US" w:eastAsia="zh-CN"/>
        </w:rPr>
      </w:pPr>
      <w:bookmarkStart w:id="26" w:name="_Toc7994"/>
      <w:bookmarkStart w:id="27" w:name="_Toc7641"/>
      <w:r>
        <w:rPr>
          <w:rFonts w:hint="eastAsia" w:ascii="Times New Roman Regular" w:hAnsi="Times New Roman Regular" w:eastAsia="黑体" w:cs="Times New Roman Regular"/>
          <w:color w:val="auto"/>
          <w:sz w:val="32"/>
          <w:szCs w:val="32"/>
          <w:lang w:val="en-US" w:eastAsia="zh-CN"/>
        </w:rPr>
        <w:t>五、存在问题</w:t>
      </w:r>
      <w:bookmarkEnd w:id="26"/>
      <w:bookmarkEnd w:id="27"/>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1"/>
        <w:rPr>
          <w:rFonts w:hint="eastAsia" w:ascii="楷体" w:hAnsi="楷体" w:eastAsia="楷体" w:cs="楷体"/>
          <w:color w:val="auto"/>
          <w:sz w:val="32"/>
          <w:szCs w:val="32"/>
          <w:lang w:val="en-US" w:eastAsia="zh-CN"/>
        </w:rPr>
      </w:pPr>
      <w:bookmarkStart w:id="28" w:name="_Toc11817"/>
      <w:bookmarkStart w:id="29" w:name="_Toc17044"/>
      <w:r>
        <w:rPr>
          <w:rFonts w:hint="eastAsia" w:ascii="楷体" w:hAnsi="楷体" w:eastAsia="楷体" w:cs="楷体"/>
          <w:color w:val="auto"/>
          <w:sz w:val="32"/>
          <w:szCs w:val="32"/>
          <w:lang w:val="en-US" w:eastAsia="zh-CN"/>
        </w:rPr>
        <w:t>（一）采购流程存在不规范的情况</w:t>
      </w:r>
      <w:bookmarkEnd w:id="28"/>
      <w:bookmarkEnd w:id="29"/>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eastAsia" w:ascii="Times New Roman" w:hAnsi="Times New Roman" w:eastAsia="仿宋" w:cs="Times New Roman"/>
          <w:lang w:val="en-US" w:eastAsia="zh-CN"/>
        </w:rPr>
      </w:pPr>
      <w:r>
        <w:rPr>
          <w:rFonts w:hint="eastAsia" w:ascii="Times New Roman" w:hAnsi="Times New Roman" w:eastAsia="仿宋" w:cs="Times New Roman"/>
          <w:b/>
          <w:bCs/>
          <w:sz w:val="32"/>
          <w:szCs w:val="32"/>
          <w:lang w:val="en-US" w:eastAsia="zh-CN"/>
        </w:rPr>
        <w:t>1.专家费用支付方与规定不相符</w:t>
      </w:r>
      <w:r>
        <w:rPr>
          <w:rFonts w:hint="default" w:eastAsia="仿宋" w:cs="Times New Roman"/>
          <w:b/>
          <w:bCs/>
          <w:sz w:val="32"/>
          <w:szCs w:val="32"/>
          <w:lang w:eastAsia="zh-CN"/>
        </w:rPr>
        <w:t>。</w:t>
      </w:r>
      <w:r>
        <w:rPr>
          <w:rFonts w:hint="eastAsia" w:ascii="Times New Roman" w:hAnsi="Times New Roman" w:eastAsia="仿宋" w:cs="Times New Roman"/>
          <w:lang w:val="en-US" w:eastAsia="zh-CN"/>
        </w:rPr>
        <w:t>本项目于开标日当天由代理机构支付专家评审费，不符合《山东省财政厅关于印发&lt;山东省政府采购评审劳务报酬标准&gt;的通知》（鲁财采〔2017〕28号）中对劳务费支付方的规定。</w:t>
      </w:r>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eastAsia" w:ascii="Times New Roman" w:hAnsi="Times New Roman" w:eastAsia="仿宋" w:cs="Times New Roman"/>
          <w:lang w:val="en-US" w:eastAsia="zh-CN"/>
        </w:rPr>
      </w:pPr>
      <w:r>
        <w:rPr>
          <w:rFonts w:hint="eastAsia" w:ascii="Times New Roman" w:hAnsi="Times New Roman" w:eastAsia="仿宋" w:cs="Times New Roman"/>
          <w:b/>
          <w:bCs/>
          <w:sz w:val="32"/>
          <w:szCs w:val="32"/>
          <w:lang w:val="en-US" w:eastAsia="zh-CN"/>
        </w:rPr>
        <w:t>2.首付款支付时间不符合政府采购“预付款”制度</w:t>
      </w:r>
      <w:r>
        <w:rPr>
          <w:rFonts w:hint="eastAsia" w:eastAsia="仿宋" w:cs="Times New Roman"/>
          <w:b/>
          <w:bCs/>
          <w:sz w:val="32"/>
          <w:szCs w:val="32"/>
          <w:lang w:val="en-US" w:eastAsia="zh-CN"/>
        </w:rPr>
        <w:t>规定</w:t>
      </w:r>
      <w:r>
        <w:rPr>
          <w:rFonts w:hint="default" w:eastAsia="仿宋" w:cs="Times New Roman"/>
          <w:b/>
          <w:bCs/>
          <w:sz w:val="32"/>
          <w:szCs w:val="32"/>
          <w:lang w:eastAsia="zh-CN"/>
        </w:rPr>
        <w:t>。</w:t>
      </w:r>
      <w:r>
        <w:rPr>
          <w:rFonts w:hint="eastAsia" w:ascii="Times New Roman" w:hAnsi="Times New Roman" w:eastAsia="仿宋" w:cs="Times New Roman"/>
          <w:lang w:val="en-US" w:eastAsia="zh-CN"/>
        </w:rPr>
        <w:t>本项目合同签订生效且具备实施条件日期与首付款支付日期间隔为2个月，不符合山东省财政厅</w:t>
      </w:r>
      <w:r>
        <w:rPr>
          <w:rFonts w:hint="eastAsia" w:eastAsia="仿宋" w:cs="Times New Roman"/>
          <w:lang w:val="en-US" w:eastAsia="zh-Hans"/>
        </w:rPr>
        <w:t>制定</w:t>
      </w:r>
      <w:r>
        <w:rPr>
          <w:rFonts w:hint="eastAsia" w:ascii="Times New Roman" w:hAnsi="Times New Roman" w:eastAsia="仿宋" w:cs="Times New Roman"/>
          <w:lang w:val="en-US" w:eastAsia="zh-CN"/>
        </w:rPr>
        <w:t>的政府采购“预付款”制度中“要求采购人于政府采购合同签订生效并具备实施条件后5个工作日内支付首付款”的相关规定。</w:t>
      </w:r>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eastAsia" w:ascii="Times New Roman" w:hAnsi="Times New Roman" w:eastAsia="仿宋" w:cs="Times New Roman"/>
          <w:lang w:val="en-US" w:eastAsia="zh-CN"/>
        </w:rPr>
      </w:pPr>
      <w:r>
        <w:rPr>
          <w:rFonts w:hint="eastAsia" w:ascii="Times New Roman" w:hAnsi="Times New Roman" w:eastAsia="仿宋" w:cs="Times New Roman"/>
          <w:b/>
          <w:bCs/>
          <w:sz w:val="32"/>
          <w:szCs w:val="32"/>
          <w:lang w:val="en-US" w:eastAsia="zh-CN"/>
        </w:rPr>
        <w:t>3.项目采购合同信息公开不及时</w:t>
      </w:r>
      <w:r>
        <w:rPr>
          <w:rFonts w:hint="default" w:eastAsia="仿宋" w:cs="Times New Roman"/>
          <w:b/>
          <w:bCs/>
          <w:sz w:val="32"/>
          <w:szCs w:val="32"/>
          <w:lang w:eastAsia="zh-CN"/>
        </w:rPr>
        <w:t>。</w:t>
      </w:r>
      <w:r>
        <w:rPr>
          <w:rFonts w:hint="eastAsia" w:ascii="Times New Roman" w:hAnsi="Times New Roman" w:eastAsia="仿宋" w:cs="Times New Roman"/>
          <w:lang w:val="en-US" w:eastAsia="zh-CN"/>
        </w:rPr>
        <w:t>本项目采购合同公开时间为2022年4月2日，与合同签订日期2022年1月27日时间间隔为2个月，不符合《中华人民共和国政府采购法实施条例》（国务院令第658号）中对采购合同公开时间的规定。</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1"/>
        <w:rPr>
          <w:rFonts w:hint="default" w:ascii="楷体" w:hAnsi="楷体" w:eastAsia="楷体" w:cs="楷体"/>
          <w:color w:val="auto"/>
          <w:sz w:val="32"/>
          <w:szCs w:val="32"/>
          <w:lang w:val="en-US" w:eastAsia="zh-CN"/>
        </w:rPr>
      </w:pPr>
      <w:bookmarkStart w:id="30" w:name="_Toc20674"/>
      <w:r>
        <w:rPr>
          <w:rFonts w:hint="eastAsia" w:ascii="楷体" w:hAnsi="楷体" w:eastAsia="楷体" w:cs="楷体"/>
          <w:color w:val="auto"/>
          <w:sz w:val="32"/>
          <w:szCs w:val="32"/>
          <w:lang w:val="en-US" w:eastAsia="zh-CN"/>
        </w:rPr>
        <w:t>（二）采购文件部分内容不合理</w:t>
      </w:r>
      <w:bookmarkEnd w:id="30"/>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1.项目资质准入门槛低，资格证明文件要求不全面。</w:t>
      </w:r>
      <w:r>
        <w:rPr>
          <w:rFonts w:hint="default" w:ascii="Times New Roman" w:hAnsi="Times New Roman" w:eastAsia="仿宋" w:cs="Times New Roman"/>
          <w:b w:val="0"/>
          <w:bCs w:val="0"/>
          <w:sz w:val="32"/>
          <w:szCs w:val="32"/>
          <w:lang w:val="en-US" w:eastAsia="zh-CN"/>
        </w:rPr>
        <w:t>本项目开标现场需提交的资格证明文件中，对于投标人土壤检验检测资质的相关规定，仅包含“检验检测机构资质认定证书（CMA证书）”，未对土壤检测能力范围作出硬性规定，资格证明标准</w:t>
      </w:r>
      <w:r>
        <w:rPr>
          <w:rFonts w:hint="eastAsia" w:ascii="Times New Roman" w:hAnsi="Times New Roman" w:eastAsia="仿宋" w:cs="Times New Roman"/>
          <w:b w:val="0"/>
          <w:bCs w:val="0"/>
          <w:sz w:val="32"/>
          <w:szCs w:val="32"/>
          <w:lang w:val="en-US" w:eastAsia="zh-CN"/>
        </w:rPr>
        <w:t>不清晰</w:t>
      </w:r>
      <w:r>
        <w:rPr>
          <w:rFonts w:hint="default" w:ascii="Times New Roman" w:hAnsi="Times New Roman" w:eastAsia="仿宋" w:cs="Times New Roman"/>
          <w:b w:val="0"/>
          <w:bCs w:val="0"/>
          <w:sz w:val="32"/>
          <w:szCs w:val="32"/>
          <w:lang w:val="en-US" w:eastAsia="zh-CN"/>
        </w:rPr>
        <w:t>。</w:t>
      </w:r>
    </w:p>
    <w:p>
      <w:pPr>
        <w:pStyle w:val="4"/>
        <w:jc w:val="both"/>
        <w:rPr>
          <w:rFonts w:hint="default" w:ascii="Times New Roman" w:hAnsi="Times New Roman" w:eastAsia="仿宋" w:cs="Times New Roman"/>
          <w:lang w:val="en-US" w:eastAsia="zh-CN"/>
        </w:rPr>
      </w:pPr>
      <w:r>
        <w:rPr>
          <w:rFonts w:hint="default" w:ascii="Times New Roman" w:hAnsi="Times New Roman" w:eastAsia="仿宋" w:cs="Times New Roman"/>
          <w:b/>
          <w:bCs/>
          <w:lang w:val="en-US" w:eastAsia="zh-CN"/>
        </w:rPr>
        <w:t>2.技术部分评分标准主观性较强。</w:t>
      </w:r>
      <w:r>
        <w:rPr>
          <w:rFonts w:hint="default" w:ascii="Times New Roman" w:hAnsi="Times New Roman" w:eastAsia="仿宋" w:cs="Times New Roman"/>
          <w:lang w:val="en-US" w:eastAsia="zh-CN"/>
        </w:rPr>
        <w:t>本项目技术部分评分标准主观性较强，未对“表述完善清晰、内容丰富准确”作出可定量、定性的明确规定，不利于潜在供应商及供应商理解采购文件。</w:t>
      </w:r>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b/>
          <w:bCs/>
          <w:lang w:val="en-US" w:eastAsia="zh-CN"/>
        </w:rPr>
        <w:t>3.项目服务内容与采购需求不一致，采购文件编制不规范</w:t>
      </w:r>
      <w:r>
        <w:rPr>
          <w:rFonts w:hint="eastAsia" w:eastAsia="仿宋" w:cs="Times New Roman"/>
          <w:b/>
          <w:bCs/>
          <w:lang w:val="en-US" w:eastAsia="zh-CN"/>
        </w:rPr>
        <w:t>。</w:t>
      </w:r>
      <w:r>
        <w:rPr>
          <w:rFonts w:hint="default" w:ascii="Times New Roman" w:hAnsi="Times New Roman" w:eastAsia="仿宋" w:cs="Times New Roman"/>
          <w:lang w:val="en-US" w:eastAsia="zh-CN"/>
        </w:rPr>
        <w:t>本项目采购文件规定的项目服务范围内容未对风险评估报告的编制作出硬性规定，与采购需求内容不一致</w:t>
      </w:r>
      <w:r>
        <w:rPr>
          <w:rFonts w:hint="eastAsia" w:eastAsia="仿宋" w:cs="Times New Roman"/>
          <w:lang w:val="en-US" w:eastAsia="zh-CN"/>
        </w:rPr>
        <w:t>，</w:t>
      </w:r>
      <w:r>
        <w:rPr>
          <w:rFonts w:hint="default" w:ascii="Times New Roman" w:hAnsi="Times New Roman" w:eastAsia="仿宋" w:cs="Times New Roman"/>
          <w:lang w:val="en-US" w:eastAsia="zh-CN"/>
        </w:rPr>
        <w:t>同时采购文件中未根据风险评估报告的编制情况，对合同金额作出说明，采购文件内容存在不规范情况。</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1"/>
        <w:rPr>
          <w:rFonts w:hint="eastAsia" w:ascii="楷体" w:hAnsi="楷体" w:eastAsia="楷体" w:cs="楷体"/>
          <w:color w:val="auto"/>
          <w:sz w:val="32"/>
          <w:szCs w:val="32"/>
          <w:lang w:val="en-US" w:eastAsia="zh-CN"/>
        </w:rPr>
      </w:pPr>
      <w:bookmarkStart w:id="31" w:name="_Toc9223"/>
      <w:bookmarkStart w:id="32" w:name="_Toc27333"/>
      <w:r>
        <w:rPr>
          <w:rFonts w:hint="eastAsia" w:ascii="楷体" w:hAnsi="楷体" w:eastAsia="楷体" w:cs="楷体"/>
          <w:color w:val="auto"/>
          <w:sz w:val="32"/>
          <w:szCs w:val="32"/>
          <w:lang w:val="en-US" w:eastAsia="zh-CN"/>
        </w:rPr>
        <w:t>（三）采购岗位制度建设不健全</w:t>
      </w:r>
      <w:bookmarkEnd w:id="31"/>
      <w:bookmarkEnd w:id="32"/>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eastAsia" w:ascii="Times New Roman" w:hAnsi="Times New Roman" w:eastAsia="仿宋" w:cs="Times New Roman"/>
          <w:lang w:val="en-US" w:eastAsia="zh-CN"/>
        </w:rPr>
      </w:pPr>
      <w:r>
        <w:rPr>
          <w:rFonts w:hint="eastAsia" w:ascii="Times New Roman" w:hAnsi="Times New Roman" w:eastAsia="仿宋" w:cs="Times New Roman"/>
          <w:lang w:val="en-US" w:eastAsia="zh-CN"/>
        </w:rPr>
        <w:t>菏泽市生态环境局未建立不相容岗位分离制度，无明确的岗位分工及责任规定，且未建立具体的风险防控台账，未对关键岗位实施重点监督和定期轮岗，不符合《山东省财政厅关于印发&lt;山东省政府采购预算单位内部控制管理规范&gt;的通知》（鲁财采〔2016〕48号）的相关规定。</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1"/>
        <w:rPr>
          <w:rFonts w:hint="eastAsia" w:ascii="楷体" w:hAnsi="楷体" w:eastAsia="楷体" w:cs="楷体"/>
          <w:color w:val="auto"/>
          <w:sz w:val="32"/>
          <w:szCs w:val="32"/>
          <w:lang w:val="en-US" w:eastAsia="zh-CN"/>
        </w:rPr>
      </w:pPr>
      <w:bookmarkStart w:id="33" w:name="_Toc31723"/>
      <w:bookmarkStart w:id="34" w:name="_Toc6135"/>
      <w:r>
        <w:rPr>
          <w:rFonts w:hint="eastAsia" w:ascii="楷体" w:hAnsi="楷体" w:eastAsia="楷体" w:cs="楷体"/>
          <w:color w:val="auto"/>
          <w:sz w:val="32"/>
          <w:szCs w:val="32"/>
          <w:lang w:val="en-US" w:eastAsia="zh-CN"/>
        </w:rPr>
        <w:t>（四）项目实施时间已超合同规定</w:t>
      </w:r>
      <w:bookmarkEnd w:id="33"/>
      <w:bookmarkEnd w:id="34"/>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eastAsia" w:ascii="Times New Roman" w:hAnsi="Times New Roman" w:eastAsia="仿宋" w:cs="Times New Roman"/>
          <w:lang w:val="en-US" w:eastAsia="zh-CN"/>
        </w:rPr>
      </w:pPr>
      <w:r>
        <w:rPr>
          <w:rFonts w:hint="eastAsia" w:ascii="Times New Roman" w:hAnsi="Times New Roman" w:eastAsia="仿宋" w:cs="Times New Roman"/>
          <w:lang w:val="en-US" w:eastAsia="zh-CN"/>
        </w:rPr>
        <w:t>截至2022年9月底，本项目风险评估报告已提交至山东省土壤信息平台申请评审，但尚未开展专家评审工作，报告交付时间超过政府采购合同规定的6个月时限。</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1"/>
        <w:rPr>
          <w:rFonts w:hint="eastAsia" w:ascii="楷体" w:hAnsi="楷体" w:eastAsia="楷体" w:cs="楷体"/>
          <w:color w:val="auto"/>
          <w:sz w:val="32"/>
          <w:szCs w:val="32"/>
          <w:lang w:val="en-US" w:eastAsia="zh-CN"/>
        </w:rPr>
      </w:pPr>
      <w:bookmarkStart w:id="35" w:name="_Toc10745"/>
      <w:bookmarkStart w:id="36" w:name="_Toc32088"/>
      <w:r>
        <w:rPr>
          <w:rFonts w:hint="eastAsia" w:ascii="楷体" w:hAnsi="楷体" w:eastAsia="楷体" w:cs="楷体"/>
          <w:color w:val="auto"/>
          <w:sz w:val="32"/>
          <w:szCs w:val="32"/>
          <w:lang w:val="en-US" w:eastAsia="zh-CN"/>
        </w:rPr>
        <w:t>（五）详细调查结果未向社会公开</w:t>
      </w:r>
      <w:bookmarkEnd w:id="35"/>
      <w:bookmarkEnd w:id="36"/>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eastAsia" w:ascii="Times New Roman" w:hAnsi="Times New Roman" w:eastAsia="仿宋" w:cs="Times New Roman"/>
          <w:lang w:val="en-US" w:eastAsia="zh-CN"/>
        </w:rPr>
      </w:pPr>
      <w:r>
        <w:rPr>
          <w:rFonts w:hint="eastAsia" w:ascii="Times New Roman" w:hAnsi="Times New Roman" w:eastAsia="仿宋" w:cs="Times New Roman"/>
          <w:lang w:val="en-US" w:eastAsia="zh-CN"/>
        </w:rPr>
        <w:t>本项目污染地块环境调查结果未通过便于公众知晓的方式向社会公开，不符合《污染地块土壤环境管理办法》（中华人民共和国环境保护部令第42号）的公开规定。</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Regular" w:hAnsi="Times New Roman Regular" w:eastAsia="黑体" w:cs="Times New Roman Regular"/>
          <w:color w:val="auto"/>
          <w:sz w:val="32"/>
          <w:szCs w:val="32"/>
          <w:lang w:val="en-US" w:eastAsia="zh-CN"/>
        </w:rPr>
      </w:pPr>
      <w:bookmarkStart w:id="37" w:name="_Toc6143"/>
      <w:bookmarkStart w:id="38" w:name="_Toc10836"/>
      <w:r>
        <w:rPr>
          <w:rFonts w:hint="eastAsia" w:ascii="Times New Roman Regular" w:hAnsi="Times New Roman Regular" w:eastAsia="黑体" w:cs="Times New Roman Regular"/>
          <w:color w:val="auto"/>
          <w:sz w:val="32"/>
          <w:szCs w:val="32"/>
          <w:lang w:val="en-US" w:eastAsia="zh-CN"/>
        </w:rPr>
        <w:t>六、整改建议</w:t>
      </w:r>
      <w:bookmarkEnd w:id="37"/>
      <w:bookmarkEnd w:id="38"/>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1"/>
        <w:rPr>
          <w:rFonts w:hint="default" w:ascii="楷体" w:hAnsi="楷体" w:eastAsia="楷体" w:cs="楷体"/>
          <w:color w:val="auto"/>
          <w:sz w:val="32"/>
          <w:szCs w:val="32"/>
          <w:lang w:val="en-US" w:eastAsia="zh-CN"/>
        </w:rPr>
      </w:pPr>
      <w:bookmarkStart w:id="39" w:name="_Toc20296"/>
      <w:bookmarkStart w:id="40" w:name="_Toc27124"/>
      <w:r>
        <w:rPr>
          <w:rFonts w:hint="default" w:ascii="楷体" w:hAnsi="楷体" w:eastAsia="楷体" w:cs="楷体"/>
          <w:color w:val="auto"/>
          <w:sz w:val="32"/>
          <w:szCs w:val="32"/>
          <w:lang w:val="en-US" w:eastAsia="zh-CN"/>
        </w:rPr>
        <w:t>（一）加强采购流程合规性</w:t>
      </w:r>
      <w:bookmarkEnd w:id="39"/>
      <w:bookmarkEnd w:id="40"/>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菏泽市生态环境局应加强政府采购流程的合规性管理，一是应主动承担招标评审的专家费用；二是应于政府采购合同签订生效并具备实施条件后5个工作日内向中标单位支付首付款；三是应自政府采购合同签订之日起2个工作日内公开合同主要内容。</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1"/>
        <w:rPr>
          <w:rFonts w:hint="default" w:ascii="楷体" w:hAnsi="楷体" w:eastAsia="楷体" w:cs="楷体"/>
          <w:color w:val="auto"/>
          <w:sz w:val="32"/>
          <w:szCs w:val="32"/>
          <w:lang w:val="en-US" w:eastAsia="zh-CN"/>
        </w:rPr>
      </w:pPr>
      <w:bookmarkStart w:id="41" w:name="_Toc32138"/>
      <w:r>
        <w:rPr>
          <w:rFonts w:hint="eastAsia" w:ascii="楷体" w:hAnsi="楷体" w:eastAsia="楷体" w:cs="楷体"/>
          <w:color w:val="auto"/>
          <w:sz w:val="32"/>
          <w:szCs w:val="32"/>
          <w:lang w:val="en-US" w:eastAsia="zh-CN"/>
        </w:rPr>
        <w:t>（二）提高采购文件内容合理性</w:t>
      </w:r>
      <w:bookmarkEnd w:id="41"/>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default" w:eastAsia="仿宋" w:cs="Times New Roman"/>
          <w:lang w:val="en-US" w:eastAsia="zh-CN"/>
        </w:rPr>
      </w:pPr>
      <w:r>
        <w:rPr>
          <w:rFonts w:hint="default" w:eastAsia="仿宋" w:cs="Times New Roman"/>
          <w:lang w:val="en-US" w:eastAsia="zh-CN"/>
        </w:rPr>
        <w:t>菏泽市生态环境局应进一步规范采购文件内容，一是应提高项目相关专业资质文件的硬性标准；二是应于评分标准中，明确投标文件需编制的内容要点，以及供应商技术要求等内容；三是应保持项目采购需求与采购文件服务范围的一致性。</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1"/>
        <w:rPr>
          <w:rFonts w:hint="default" w:ascii="楷体" w:hAnsi="楷体" w:eastAsia="楷体" w:cs="楷体"/>
          <w:color w:val="auto"/>
          <w:sz w:val="32"/>
          <w:szCs w:val="32"/>
          <w:lang w:val="en-US" w:eastAsia="zh-CN"/>
        </w:rPr>
      </w:pPr>
      <w:bookmarkStart w:id="42" w:name="_Toc10126"/>
      <w:bookmarkStart w:id="43" w:name="_Toc6362"/>
      <w:r>
        <w:rPr>
          <w:rFonts w:hint="default" w:ascii="楷体" w:hAnsi="楷体" w:eastAsia="楷体" w:cs="楷体"/>
          <w:color w:val="auto"/>
          <w:sz w:val="32"/>
          <w:szCs w:val="32"/>
          <w:lang w:val="en-US" w:eastAsia="zh-CN"/>
        </w:rPr>
        <w:t>（</w:t>
      </w:r>
      <w:r>
        <w:rPr>
          <w:rFonts w:hint="eastAsia" w:ascii="楷体" w:hAnsi="楷体" w:eastAsia="楷体" w:cs="楷体"/>
          <w:color w:val="auto"/>
          <w:sz w:val="32"/>
          <w:szCs w:val="32"/>
          <w:lang w:val="en-US" w:eastAsia="zh-CN"/>
        </w:rPr>
        <w:t>三</w:t>
      </w:r>
      <w:r>
        <w:rPr>
          <w:rFonts w:hint="default" w:ascii="楷体" w:hAnsi="楷体" w:eastAsia="楷体" w:cs="楷体"/>
          <w:color w:val="auto"/>
          <w:sz w:val="32"/>
          <w:szCs w:val="32"/>
          <w:lang w:val="en-US" w:eastAsia="zh-CN"/>
        </w:rPr>
        <w:t>）建立健全采购岗位制度</w:t>
      </w:r>
      <w:bookmarkEnd w:id="42"/>
      <w:bookmarkEnd w:id="43"/>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eastAsia="仿宋" w:cs="Times New Roman"/>
          <w:lang w:val="en-US" w:eastAsia="zh-CN"/>
        </w:rPr>
      </w:pPr>
      <w:r>
        <w:rPr>
          <w:rFonts w:hint="eastAsia" w:eastAsia="仿宋" w:cs="Times New Roman"/>
          <w:lang w:val="en-US" w:eastAsia="zh-Hans"/>
        </w:rPr>
        <w:t>建立健全</w:t>
      </w:r>
      <w:r>
        <w:rPr>
          <w:rFonts w:hint="default" w:ascii="Times New Roman" w:hAnsi="Times New Roman" w:eastAsia="仿宋" w:cs="Times New Roman"/>
          <w:lang w:val="en-US" w:eastAsia="zh-CN"/>
        </w:rPr>
        <w:t>不相容岗位分离制度，明确采购相关岗位分工及责任规定，同时应建立具体的风险防控台账，对关键岗位实施重点监督和定期轮岗，确保政府采购活动能够做到专人专岗、职责明确。</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1"/>
        <w:rPr>
          <w:rFonts w:hint="default" w:ascii="楷体" w:hAnsi="楷体" w:eastAsia="楷体" w:cs="楷体"/>
          <w:color w:val="auto"/>
          <w:sz w:val="32"/>
          <w:szCs w:val="32"/>
          <w:lang w:val="en-US" w:eastAsia="zh-CN"/>
        </w:rPr>
      </w:pPr>
      <w:bookmarkStart w:id="44" w:name="_Toc7268"/>
      <w:bookmarkStart w:id="45" w:name="_Toc24012"/>
      <w:r>
        <w:rPr>
          <w:rFonts w:hint="default" w:ascii="楷体" w:hAnsi="楷体" w:eastAsia="楷体" w:cs="楷体"/>
          <w:color w:val="auto"/>
          <w:sz w:val="32"/>
          <w:szCs w:val="32"/>
          <w:lang w:val="en-US" w:eastAsia="zh-CN"/>
        </w:rPr>
        <w:t>（</w:t>
      </w:r>
      <w:r>
        <w:rPr>
          <w:rFonts w:hint="eastAsia" w:ascii="楷体" w:hAnsi="楷体" w:eastAsia="楷体" w:cs="楷体"/>
          <w:color w:val="auto"/>
          <w:sz w:val="32"/>
          <w:szCs w:val="32"/>
          <w:lang w:val="en-US" w:eastAsia="zh-CN"/>
        </w:rPr>
        <w:t>四</w:t>
      </w:r>
      <w:r>
        <w:rPr>
          <w:rFonts w:hint="default" w:ascii="楷体" w:hAnsi="楷体" w:eastAsia="楷体" w:cs="楷体"/>
          <w:color w:val="auto"/>
          <w:sz w:val="32"/>
          <w:szCs w:val="32"/>
          <w:lang w:val="en-US" w:eastAsia="zh-CN"/>
        </w:rPr>
        <w:t>）加快项目实施进度</w:t>
      </w:r>
      <w:bookmarkEnd w:id="44"/>
      <w:bookmarkEnd w:id="45"/>
    </w:p>
    <w:p>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菏泽市生态环境局应加快推动地块内仍存放的地砖、水泥等货物的清运，以及厂区建筑的拆除清理工作，同时进一步与山东省生态环境厅沟通报告评审问题，并根据项目目前实际情况与中标单位山东派瑞环境保护监测有限公司协调报告时间问题。</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1"/>
        <w:rPr>
          <w:rFonts w:hint="default" w:ascii="楷体" w:hAnsi="楷体" w:eastAsia="楷体" w:cs="楷体"/>
          <w:color w:val="auto"/>
          <w:sz w:val="32"/>
          <w:szCs w:val="32"/>
          <w:lang w:val="en-US" w:eastAsia="zh-CN"/>
        </w:rPr>
      </w:pPr>
      <w:bookmarkStart w:id="46" w:name="_Toc19017"/>
      <w:bookmarkStart w:id="47" w:name="_Toc4494"/>
      <w:r>
        <w:rPr>
          <w:rFonts w:hint="default" w:ascii="楷体" w:hAnsi="楷体" w:eastAsia="楷体" w:cs="楷体"/>
          <w:color w:val="auto"/>
          <w:sz w:val="32"/>
          <w:szCs w:val="32"/>
          <w:lang w:val="en-US" w:eastAsia="zh-CN"/>
        </w:rPr>
        <w:t>（</w:t>
      </w:r>
      <w:r>
        <w:rPr>
          <w:rFonts w:hint="eastAsia" w:ascii="楷体" w:hAnsi="楷体" w:eastAsia="楷体" w:cs="楷体"/>
          <w:color w:val="auto"/>
          <w:sz w:val="32"/>
          <w:szCs w:val="32"/>
          <w:lang w:val="en-US" w:eastAsia="zh-CN"/>
        </w:rPr>
        <w:t>五</w:t>
      </w:r>
      <w:r>
        <w:rPr>
          <w:rFonts w:hint="default" w:ascii="楷体" w:hAnsi="楷体" w:eastAsia="楷体" w:cs="楷体"/>
          <w:color w:val="auto"/>
          <w:sz w:val="32"/>
          <w:szCs w:val="32"/>
          <w:lang w:val="en-US" w:eastAsia="zh-CN"/>
        </w:rPr>
        <w:t>）及时向公众公开调查结果</w:t>
      </w:r>
      <w:bookmarkEnd w:id="46"/>
      <w:bookmarkEnd w:id="47"/>
    </w:p>
    <w:p>
      <w:pPr>
        <w:pStyle w:val="4"/>
        <w:ind w:left="0" w:leftChars="0" w:firstLine="0" w:firstLineChars="0"/>
        <w:rPr>
          <w:rFonts w:hint="eastAsia"/>
          <w:lang w:val="en-US" w:eastAsia="zh-CN"/>
        </w:rPr>
      </w:pPr>
      <w:r>
        <w:rPr>
          <w:rFonts w:hint="default" w:ascii="Times New Roman" w:hAnsi="Times New Roman" w:eastAsia="仿宋" w:cs="Times New Roman"/>
          <w:lang w:val="en-US" w:eastAsia="zh-CN"/>
        </w:rPr>
        <w:t>菏泽市生态环境局应根据《污染地块土壤环境管理办法》（中华人民共和国环境保护部令第42号）中的公开规定，尽快公开污染地块环境调查结果，同时应于风险评估报告交付验收后，及时公开评估结果。</w:t>
      </w:r>
      <w:bookmarkEnd w:id="7"/>
      <w:bookmarkEnd w:id="8"/>
      <w:bookmarkEnd w:id="9"/>
      <w:bookmarkEnd w:id="10"/>
      <w:bookmarkEnd w:id="11"/>
      <w:bookmarkEnd w:id="12"/>
      <w:bookmarkEnd w:id="13"/>
      <w:bookmarkEnd w:id="14"/>
      <w:bookmarkEnd w:id="15"/>
    </w:p>
    <w:sectPr>
      <w:headerReference r:id="rId4"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Roman 10cpi">
    <w:altName w:val="Segoe Print"/>
    <w:panose1 w:val="00000000000000000000"/>
    <w:charset w:val="00"/>
    <w:family w:val="moder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 New Roman Regular">
    <w:altName w:val="Times New Roman"/>
    <w:panose1 w:val="02020603050405020304"/>
    <w:charset w:val="00"/>
    <w:family w:val="auto"/>
    <w:pitch w:val="default"/>
    <w:sig w:usb0="00000000" w:usb1="00000000" w:usb2="00000000" w:usb3="00000000" w:csb0="0000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imes New Roman" w:hAnsi="Times New Roman" w:cs="Times New Roman"/>
        <w:sz w:val="24"/>
        <w:szCs w:val="24"/>
      </w:rPr>
    </w:pPr>
    <w:r>
      <w:rPr>
        <w:sz w:val="24"/>
        <w:szCs w:val="24"/>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III</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III</w:t>
                    </w:r>
                    <w:r>
                      <w:rPr>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wYTMzZTM0YWQ4NmU3Y2U1MWFlOTgxZjNmOWE3MzYifQ=="/>
  </w:docVars>
  <w:rsids>
    <w:rsidRoot w:val="00000000"/>
    <w:rsid w:val="005B2E37"/>
    <w:rsid w:val="010351AA"/>
    <w:rsid w:val="01122719"/>
    <w:rsid w:val="014E20E6"/>
    <w:rsid w:val="017B1BBC"/>
    <w:rsid w:val="017F5C07"/>
    <w:rsid w:val="01A000C1"/>
    <w:rsid w:val="01EF0C36"/>
    <w:rsid w:val="02C35A19"/>
    <w:rsid w:val="02D662BE"/>
    <w:rsid w:val="02EB738D"/>
    <w:rsid w:val="0367152E"/>
    <w:rsid w:val="038C6DF1"/>
    <w:rsid w:val="039A38D9"/>
    <w:rsid w:val="03B75500"/>
    <w:rsid w:val="041C1F3B"/>
    <w:rsid w:val="044C675E"/>
    <w:rsid w:val="0492290C"/>
    <w:rsid w:val="04C80B2E"/>
    <w:rsid w:val="04E23328"/>
    <w:rsid w:val="050445A0"/>
    <w:rsid w:val="05542459"/>
    <w:rsid w:val="056212D9"/>
    <w:rsid w:val="058F29B1"/>
    <w:rsid w:val="059E4AC0"/>
    <w:rsid w:val="05FE61A7"/>
    <w:rsid w:val="06625C28"/>
    <w:rsid w:val="06922DE3"/>
    <w:rsid w:val="06B46616"/>
    <w:rsid w:val="077B3E65"/>
    <w:rsid w:val="07B84305"/>
    <w:rsid w:val="07D56BC7"/>
    <w:rsid w:val="086D06F5"/>
    <w:rsid w:val="08BD295A"/>
    <w:rsid w:val="08D86F1C"/>
    <w:rsid w:val="08EE53A6"/>
    <w:rsid w:val="08F12726"/>
    <w:rsid w:val="090C7D23"/>
    <w:rsid w:val="09220AED"/>
    <w:rsid w:val="09BF7254"/>
    <w:rsid w:val="09DC1F3A"/>
    <w:rsid w:val="0A257C17"/>
    <w:rsid w:val="0A512061"/>
    <w:rsid w:val="0AA064FE"/>
    <w:rsid w:val="0B201CAB"/>
    <w:rsid w:val="0B8C4507"/>
    <w:rsid w:val="0C27522B"/>
    <w:rsid w:val="0CBB6561"/>
    <w:rsid w:val="0CEA69BA"/>
    <w:rsid w:val="0CF91CDB"/>
    <w:rsid w:val="0D2E1903"/>
    <w:rsid w:val="0D3055FF"/>
    <w:rsid w:val="0D412D22"/>
    <w:rsid w:val="0D5415F9"/>
    <w:rsid w:val="0D6F0DB1"/>
    <w:rsid w:val="0D7D62E4"/>
    <w:rsid w:val="0EEB5B83"/>
    <w:rsid w:val="0F0E160A"/>
    <w:rsid w:val="0F230541"/>
    <w:rsid w:val="0F550903"/>
    <w:rsid w:val="0F873B4A"/>
    <w:rsid w:val="0FA045CA"/>
    <w:rsid w:val="110D5FBF"/>
    <w:rsid w:val="116538D3"/>
    <w:rsid w:val="117B33F3"/>
    <w:rsid w:val="11C73D4E"/>
    <w:rsid w:val="120E2BE6"/>
    <w:rsid w:val="124318AA"/>
    <w:rsid w:val="125910CE"/>
    <w:rsid w:val="12A85F4E"/>
    <w:rsid w:val="12F32AEA"/>
    <w:rsid w:val="12F37D04"/>
    <w:rsid w:val="12FE46ED"/>
    <w:rsid w:val="13245787"/>
    <w:rsid w:val="13316042"/>
    <w:rsid w:val="13DF0B38"/>
    <w:rsid w:val="13E468EF"/>
    <w:rsid w:val="151B4D60"/>
    <w:rsid w:val="155E5EDE"/>
    <w:rsid w:val="15B93A14"/>
    <w:rsid w:val="18351992"/>
    <w:rsid w:val="184462BC"/>
    <w:rsid w:val="1869193F"/>
    <w:rsid w:val="18F74578"/>
    <w:rsid w:val="18F8582D"/>
    <w:rsid w:val="19402454"/>
    <w:rsid w:val="19443C51"/>
    <w:rsid w:val="19526B06"/>
    <w:rsid w:val="1991777E"/>
    <w:rsid w:val="19940C54"/>
    <w:rsid w:val="19B37C2F"/>
    <w:rsid w:val="1A047073"/>
    <w:rsid w:val="1A3612C7"/>
    <w:rsid w:val="1A5D216A"/>
    <w:rsid w:val="1A803D18"/>
    <w:rsid w:val="1AB53B3D"/>
    <w:rsid w:val="1ADF3CD2"/>
    <w:rsid w:val="1AE1205F"/>
    <w:rsid w:val="1AE52561"/>
    <w:rsid w:val="1AFB0952"/>
    <w:rsid w:val="1B010C3A"/>
    <w:rsid w:val="1B3B0A0C"/>
    <w:rsid w:val="1B3F2F88"/>
    <w:rsid w:val="1BC071F6"/>
    <w:rsid w:val="1BFC6CDB"/>
    <w:rsid w:val="1C0A0736"/>
    <w:rsid w:val="1C1147C7"/>
    <w:rsid w:val="1C174F0B"/>
    <w:rsid w:val="1CC1024F"/>
    <w:rsid w:val="1CC50941"/>
    <w:rsid w:val="1CD17E66"/>
    <w:rsid w:val="1CDF139B"/>
    <w:rsid w:val="1CE050B3"/>
    <w:rsid w:val="1CF00444"/>
    <w:rsid w:val="1D524695"/>
    <w:rsid w:val="1D580C1B"/>
    <w:rsid w:val="1D7B69ED"/>
    <w:rsid w:val="1D875D00"/>
    <w:rsid w:val="1E210886"/>
    <w:rsid w:val="1E2E26F1"/>
    <w:rsid w:val="1E4638FF"/>
    <w:rsid w:val="1E51534F"/>
    <w:rsid w:val="1E676D28"/>
    <w:rsid w:val="1E913EBD"/>
    <w:rsid w:val="1E941732"/>
    <w:rsid w:val="1F15698E"/>
    <w:rsid w:val="1F73114F"/>
    <w:rsid w:val="1FA80104"/>
    <w:rsid w:val="1FC14756"/>
    <w:rsid w:val="1FF31F4F"/>
    <w:rsid w:val="200644FF"/>
    <w:rsid w:val="202B18D0"/>
    <w:rsid w:val="20497145"/>
    <w:rsid w:val="20BB4FFC"/>
    <w:rsid w:val="2103799D"/>
    <w:rsid w:val="210E2322"/>
    <w:rsid w:val="213276D7"/>
    <w:rsid w:val="215C1B55"/>
    <w:rsid w:val="218A2AA9"/>
    <w:rsid w:val="21A63E41"/>
    <w:rsid w:val="22004C8B"/>
    <w:rsid w:val="221F041B"/>
    <w:rsid w:val="22481290"/>
    <w:rsid w:val="22811F4D"/>
    <w:rsid w:val="23175B12"/>
    <w:rsid w:val="23A1214F"/>
    <w:rsid w:val="24097625"/>
    <w:rsid w:val="2459635F"/>
    <w:rsid w:val="2467687B"/>
    <w:rsid w:val="24F6179D"/>
    <w:rsid w:val="252C3B2C"/>
    <w:rsid w:val="255C0810"/>
    <w:rsid w:val="25CC7B36"/>
    <w:rsid w:val="25F157CB"/>
    <w:rsid w:val="260A0B53"/>
    <w:rsid w:val="2612140F"/>
    <w:rsid w:val="265E11E3"/>
    <w:rsid w:val="266200CE"/>
    <w:rsid w:val="2676730E"/>
    <w:rsid w:val="268A2BBE"/>
    <w:rsid w:val="26BA7499"/>
    <w:rsid w:val="26C16619"/>
    <w:rsid w:val="26D719DC"/>
    <w:rsid w:val="270E2A3A"/>
    <w:rsid w:val="277C0C6C"/>
    <w:rsid w:val="27A4542A"/>
    <w:rsid w:val="286551E9"/>
    <w:rsid w:val="28B4745D"/>
    <w:rsid w:val="292724B0"/>
    <w:rsid w:val="298A25C4"/>
    <w:rsid w:val="299D21C5"/>
    <w:rsid w:val="2A0A1287"/>
    <w:rsid w:val="2A363B8A"/>
    <w:rsid w:val="2A944193"/>
    <w:rsid w:val="2B070C6D"/>
    <w:rsid w:val="2B7E52A9"/>
    <w:rsid w:val="2B9B6F57"/>
    <w:rsid w:val="2BED5F72"/>
    <w:rsid w:val="2C011B3C"/>
    <w:rsid w:val="2CB94C7B"/>
    <w:rsid w:val="2CDA6E57"/>
    <w:rsid w:val="2CEB7385"/>
    <w:rsid w:val="2D2C5649"/>
    <w:rsid w:val="2D8A43D9"/>
    <w:rsid w:val="2D8F55D6"/>
    <w:rsid w:val="2D9701B5"/>
    <w:rsid w:val="2DCC0748"/>
    <w:rsid w:val="2DD76A2C"/>
    <w:rsid w:val="2DEF655B"/>
    <w:rsid w:val="2E0C3364"/>
    <w:rsid w:val="2E160CE5"/>
    <w:rsid w:val="2E915788"/>
    <w:rsid w:val="2EBC6814"/>
    <w:rsid w:val="2EC62017"/>
    <w:rsid w:val="2F064198"/>
    <w:rsid w:val="2F5119DC"/>
    <w:rsid w:val="2FF00312"/>
    <w:rsid w:val="2FF91A4F"/>
    <w:rsid w:val="3007600E"/>
    <w:rsid w:val="30156AF1"/>
    <w:rsid w:val="30340798"/>
    <w:rsid w:val="30396E88"/>
    <w:rsid w:val="3050172F"/>
    <w:rsid w:val="306B3A4E"/>
    <w:rsid w:val="306D5CA6"/>
    <w:rsid w:val="309042FE"/>
    <w:rsid w:val="309862C4"/>
    <w:rsid w:val="310E5321"/>
    <w:rsid w:val="314256CF"/>
    <w:rsid w:val="315A5BE6"/>
    <w:rsid w:val="31E17C4C"/>
    <w:rsid w:val="31F060AA"/>
    <w:rsid w:val="3201767C"/>
    <w:rsid w:val="32057476"/>
    <w:rsid w:val="321072C9"/>
    <w:rsid w:val="325E4C4C"/>
    <w:rsid w:val="32666F3A"/>
    <w:rsid w:val="328D3560"/>
    <w:rsid w:val="329352B5"/>
    <w:rsid w:val="329D070B"/>
    <w:rsid w:val="329F6147"/>
    <w:rsid w:val="32B92A80"/>
    <w:rsid w:val="33351A68"/>
    <w:rsid w:val="337C33FA"/>
    <w:rsid w:val="33A20EEF"/>
    <w:rsid w:val="33B70EF9"/>
    <w:rsid w:val="33CB0722"/>
    <w:rsid w:val="33DC30E8"/>
    <w:rsid w:val="342E7F4F"/>
    <w:rsid w:val="34336CC1"/>
    <w:rsid w:val="34384471"/>
    <w:rsid w:val="346E1C27"/>
    <w:rsid w:val="34A751C4"/>
    <w:rsid w:val="34FE22E7"/>
    <w:rsid w:val="35487AF4"/>
    <w:rsid w:val="35656C57"/>
    <w:rsid w:val="35817087"/>
    <w:rsid w:val="35977693"/>
    <w:rsid w:val="361A4F2D"/>
    <w:rsid w:val="367B74AA"/>
    <w:rsid w:val="36843301"/>
    <w:rsid w:val="36844103"/>
    <w:rsid w:val="369E6432"/>
    <w:rsid w:val="370825DA"/>
    <w:rsid w:val="37102F0D"/>
    <w:rsid w:val="37C94179"/>
    <w:rsid w:val="38147A93"/>
    <w:rsid w:val="383C0516"/>
    <w:rsid w:val="384D5951"/>
    <w:rsid w:val="38563D6C"/>
    <w:rsid w:val="38644383"/>
    <w:rsid w:val="38A51843"/>
    <w:rsid w:val="38FE145D"/>
    <w:rsid w:val="39496A17"/>
    <w:rsid w:val="39BD6875"/>
    <w:rsid w:val="39CE0A8C"/>
    <w:rsid w:val="39CE2342"/>
    <w:rsid w:val="3A0E6217"/>
    <w:rsid w:val="3A21087F"/>
    <w:rsid w:val="3A2C7B42"/>
    <w:rsid w:val="3A703210"/>
    <w:rsid w:val="3ACE69A5"/>
    <w:rsid w:val="3AEA6968"/>
    <w:rsid w:val="3AF46C72"/>
    <w:rsid w:val="3AFC23CE"/>
    <w:rsid w:val="3B2A0FAA"/>
    <w:rsid w:val="3B753F43"/>
    <w:rsid w:val="3B9A750D"/>
    <w:rsid w:val="3BFA35D5"/>
    <w:rsid w:val="3BFB3B12"/>
    <w:rsid w:val="3C0B663C"/>
    <w:rsid w:val="3C262E48"/>
    <w:rsid w:val="3D8B656B"/>
    <w:rsid w:val="3E4D4933"/>
    <w:rsid w:val="3E7A1E1D"/>
    <w:rsid w:val="3F144D65"/>
    <w:rsid w:val="3F793E35"/>
    <w:rsid w:val="3FE37366"/>
    <w:rsid w:val="404B3E24"/>
    <w:rsid w:val="40C6671E"/>
    <w:rsid w:val="40E9213E"/>
    <w:rsid w:val="41013AD6"/>
    <w:rsid w:val="41415FD1"/>
    <w:rsid w:val="41624C64"/>
    <w:rsid w:val="416D7B61"/>
    <w:rsid w:val="41710C99"/>
    <w:rsid w:val="419855E9"/>
    <w:rsid w:val="41CC52CA"/>
    <w:rsid w:val="41D45020"/>
    <w:rsid w:val="420E3D47"/>
    <w:rsid w:val="42153B05"/>
    <w:rsid w:val="421900FF"/>
    <w:rsid w:val="425A3F23"/>
    <w:rsid w:val="42725891"/>
    <w:rsid w:val="427D0633"/>
    <w:rsid w:val="42A91C72"/>
    <w:rsid w:val="42B15304"/>
    <w:rsid w:val="42BE7E4B"/>
    <w:rsid w:val="42D91699"/>
    <w:rsid w:val="42F04EE7"/>
    <w:rsid w:val="430F75E6"/>
    <w:rsid w:val="434B2DF2"/>
    <w:rsid w:val="43893B87"/>
    <w:rsid w:val="43AF5156"/>
    <w:rsid w:val="43D2107A"/>
    <w:rsid w:val="446845A5"/>
    <w:rsid w:val="44FF20B3"/>
    <w:rsid w:val="45B12031"/>
    <w:rsid w:val="45DA5135"/>
    <w:rsid w:val="45EF1DE1"/>
    <w:rsid w:val="45F20D2F"/>
    <w:rsid w:val="46114D1D"/>
    <w:rsid w:val="46197898"/>
    <w:rsid w:val="463F7FFF"/>
    <w:rsid w:val="466148EB"/>
    <w:rsid w:val="46753A21"/>
    <w:rsid w:val="46797A9E"/>
    <w:rsid w:val="46B77B80"/>
    <w:rsid w:val="46D4396F"/>
    <w:rsid w:val="477D0D52"/>
    <w:rsid w:val="477D325B"/>
    <w:rsid w:val="479D774C"/>
    <w:rsid w:val="47EA4D49"/>
    <w:rsid w:val="47FD01D0"/>
    <w:rsid w:val="48131721"/>
    <w:rsid w:val="481702BC"/>
    <w:rsid w:val="48535370"/>
    <w:rsid w:val="48536614"/>
    <w:rsid w:val="485F7B39"/>
    <w:rsid w:val="48862414"/>
    <w:rsid w:val="48E45164"/>
    <w:rsid w:val="48EC789E"/>
    <w:rsid w:val="48FF4FC1"/>
    <w:rsid w:val="49362DF6"/>
    <w:rsid w:val="49770632"/>
    <w:rsid w:val="4A106CB5"/>
    <w:rsid w:val="4A220C4F"/>
    <w:rsid w:val="4A70042E"/>
    <w:rsid w:val="4A800313"/>
    <w:rsid w:val="4A9754C7"/>
    <w:rsid w:val="4AE676AB"/>
    <w:rsid w:val="4AF214EB"/>
    <w:rsid w:val="4B0406BF"/>
    <w:rsid w:val="4B0B204A"/>
    <w:rsid w:val="4BA53CAC"/>
    <w:rsid w:val="4BA840FB"/>
    <w:rsid w:val="4C582BAD"/>
    <w:rsid w:val="4CD34CB1"/>
    <w:rsid w:val="4D547B92"/>
    <w:rsid w:val="4D5935AA"/>
    <w:rsid w:val="4E0D50D4"/>
    <w:rsid w:val="4E821A53"/>
    <w:rsid w:val="4EA647B1"/>
    <w:rsid w:val="4F021BCA"/>
    <w:rsid w:val="4F234D1D"/>
    <w:rsid w:val="4F2F7962"/>
    <w:rsid w:val="4F3B1964"/>
    <w:rsid w:val="4FA35937"/>
    <w:rsid w:val="4FA81FFF"/>
    <w:rsid w:val="4FC331C2"/>
    <w:rsid w:val="4FD94AE2"/>
    <w:rsid w:val="50265D8C"/>
    <w:rsid w:val="502677E5"/>
    <w:rsid w:val="506D287D"/>
    <w:rsid w:val="5079426B"/>
    <w:rsid w:val="50942CF5"/>
    <w:rsid w:val="50C47D2B"/>
    <w:rsid w:val="50CD1DAF"/>
    <w:rsid w:val="50D431BF"/>
    <w:rsid w:val="50D67C25"/>
    <w:rsid w:val="516C798B"/>
    <w:rsid w:val="51DC7A9A"/>
    <w:rsid w:val="51EE242F"/>
    <w:rsid w:val="520A4681"/>
    <w:rsid w:val="52192E2E"/>
    <w:rsid w:val="52770B21"/>
    <w:rsid w:val="52AB46DC"/>
    <w:rsid w:val="52BB5FDC"/>
    <w:rsid w:val="52DA6029"/>
    <w:rsid w:val="52E43036"/>
    <w:rsid w:val="52FE0912"/>
    <w:rsid w:val="53285641"/>
    <w:rsid w:val="536D347A"/>
    <w:rsid w:val="53B04985"/>
    <w:rsid w:val="53B366B3"/>
    <w:rsid w:val="53C90F08"/>
    <w:rsid w:val="53E12120"/>
    <w:rsid w:val="541A7939"/>
    <w:rsid w:val="541A7CC3"/>
    <w:rsid w:val="544B084C"/>
    <w:rsid w:val="54B90FC5"/>
    <w:rsid w:val="54CE30F2"/>
    <w:rsid w:val="55237420"/>
    <w:rsid w:val="5547222E"/>
    <w:rsid w:val="556C64C5"/>
    <w:rsid w:val="55D7469D"/>
    <w:rsid w:val="55D911AB"/>
    <w:rsid w:val="55F64A73"/>
    <w:rsid w:val="560E3B63"/>
    <w:rsid w:val="561B174D"/>
    <w:rsid w:val="56792FBE"/>
    <w:rsid w:val="567A40FD"/>
    <w:rsid w:val="56C5064D"/>
    <w:rsid w:val="56F853D6"/>
    <w:rsid w:val="57072283"/>
    <w:rsid w:val="57572551"/>
    <w:rsid w:val="577218B7"/>
    <w:rsid w:val="57A745E2"/>
    <w:rsid w:val="57A922DD"/>
    <w:rsid w:val="57BE5435"/>
    <w:rsid w:val="57E52F67"/>
    <w:rsid w:val="584A4981"/>
    <w:rsid w:val="584F0427"/>
    <w:rsid w:val="589B2288"/>
    <w:rsid w:val="58AD3881"/>
    <w:rsid w:val="58ED6699"/>
    <w:rsid w:val="59094BCE"/>
    <w:rsid w:val="592A681F"/>
    <w:rsid w:val="595008AF"/>
    <w:rsid w:val="59767CF7"/>
    <w:rsid w:val="5A002301"/>
    <w:rsid w:val="5A117488"/>
    <w:rsid w:val="5A1B7859"/>
    <w:rsid w:val="5A8D4220"/>
    <w:rsid w:val="5B0C2D49"/>
    <w:rsid w:val="5B222538"/>
    <w:rsid w:val="5B4652B7"/>
    <w:rsid w:val="5B5012A5"/>
    <w:rsid w:val="5B6A5AE9"/>
    <w:rsid w:val="5BAD7361"/>
    <w:rsid w:val="5C4E18EC"/>
    <w:rsid w:val="5C64179E"/>
    <w:rsid w:val="5CA545AB"/>
    <w:rsid w:val="5CAD19EA"/>
    <w:rsid w:val="5D730D16"/>
    <w:rsid w:val="5D866C16"/>
    <w:rsid w:val="5DCB5A2E"/>
    <w:rsid w:val="5DDC4B86"/>
    <w:rsid w:val="5E5622D4"/>
    <w:rsid w:val="5EFC5175"/>
    <w:rsid w:val="5F681089"/>
    <w:rsid w:val="5FB740EA"/>
    <w:rsid w:val="60235C0A"/>
    <w:rsid w:val="604A3B94"/>
    <w:rsid w:val="60754EA6"/>
    <w:rsid w:val="609E6686"/>
    <w:rsid w:val="60A75221"/>
    <w:rsid w:val="616C5F8B"/>
    <w:rsid w:val="619F29E6"/>
    <w:rsid w:val="61BC4D5F"/>
    <w:rsid w:val="61C15BDA"/>
    <w:rsid w:val="61D56A2B"/>
    <w:rsid w:val="61E973C0"/>
    <w:rsid w:val="6209072B"/>
    <w:rsid w:val="6241081E"/>
    <w:rsid w:val="626E1DED"/>
    <w:rsid w:val="62A52A5E"/>
    <w:rsid w:val="62BE29EA"/>
    <w:rsid w:val="637944B2"/>
    <w:rsid w:val="63A55ACC"/>
    <w:rsid w:val="644820C3"/>
    <w:rsid w:val="647C0E95"/>
    <w:rsid w:val="64FF0FA7"/>
    <w:rsid w:val="6555635F"/>
    <w:rsid w:val="658B79A7"/>
    <w:rsid w:val="659043CD"/>
    <w:rsid w:val="65D679DA"/>
    <w:rsid w:val="66440BC2"/>
    <w:rsid w:val="66585F1B"/>
    <w:rsid w:val="66AE6F23"/>
    <w:rsid w:val="66DD35A8"/>
    <w:rsid w:val="671E1113"/>
    <w:rsid w:val="676745C7"/>
    <w:rsid w:val="679C3017"/>
    <w:rsid w:val="67CE0FFF"/>
    <w:rsid w:val="67E13C92"/>
    <w:rsid w:val="68465D84"/>
    <w:rsid w:val="686A1021"/>
    <w:rsid w:val="686F7322"/>
    <w:rsid w:val="68D619A6"/>
    <w:rsid w:val="693B73E8"/>
    <w:rsid w:val="6943500E"/>
    <w:rsid w:val="69D11D91"/>
    <w:rsid w:val="6A785AB3"/>
    <w:rsid w:val="6A8C36A5"/>
    <w:rsid w:val="6AD833E2"/>
    <w:rsid w:val="6B113698"/>
    <w:rsid w:val="6B363684"/>
    <w:rsid w:val="6B4F0909"/>
    <w:rsid w:val="6B5C5CD7"/>
    <w:rsid w:val="6B844801"/>
    <w:rsid w:val="6C2F4371"/>
    <w:rsid w:val="6C705276"/>
    <w:rsid w:val="6C7964CA"/>
    <w:rsid w:val="6C822C19"/>
    <w:rsid w:val="6C9A4716"/>
    <w:rsid w:val="6CD417E2"/>
    <w:rsid w:val="6D9244C0"/>
    <w:rsid w:val="6DA170E9"/>
    <w:rsid w:val="6DA261E5"/>
    <w:rsid w:val="6E045BC2"/>
    <w:rsid w:val="6E606FF6"/>
    <w:rsid w:val="6E6A0E81"/>
    <w:rsid w:val="6EBA0AF5"/>
    <w:rsid w:val="6EBE64D1"/>
    <w:rsid w:val="6F093AAC"/>
    <w:rsid w:val="6F112644"/>
    <w:rsid w:val="6F48685C"/>
    <w:rsid w:val="6FC818F8"/>
    <w:rsid w:val="6FC82D95"/>
    <w:rsid w:val="6FC910E8"/>
    <w:rsid w:val="70035145"/>
    <w:rsid w:val="705A246C"/>
    <w:rsid w:val="708D72F1"/>
    <w:rsid w:val="709A0C12"/>
    <w:rsid w:val="70A0748B"/>
    <w:rsid w:val="70CF59BB"/>
    <w:rsid w:val="70DB622E"/>
    <w:rsid w:val="70FF1FB5"/>
    <w:rsid w:val="712B6E92"/>
    <w:rsid w:val="71727993"/>
    <w:rsid w:val="717D6985"/>
    <w:rsid w:val="718B4420"/>
    <w:rsid w:val="719747C0"/>
    <w:rsid w:val="71C066E5"/>
    <w:rsid w:val="71DB695A"/>
    <w:rsid w:val="71F70119"/>
    <w:rsid w:val="726E3A45"/>
    <w:rsid w:val="72A72905"/>
    <w:rsid w:val="72B80701"/>
    <w:rsid w:val="72D94732"/>
    <w:rsid w:val="73677C34"/>
    <w:rsid w:val="73875224"/>
    <w:rsid w:val="738A6261"/>
    <w:rsid w:val="73BB4CA1"/>
    <w:rsid w:val="73BB77B2"/>
    <w:rsid w:val="74243278"/>
    <w:rsid w:val="748108AC"/>
    <w:rsid w:val="74B147B6"/>
    <w:rsid w:val="75112FC0"/>
    <w:rsid w:val="755A0ADC"/>
    <w:rsid w:val="759C1841"/>
    <w:rsid w:val="762A6802"/>
    <w:rsid w:val="764337B5"/>
    <w:rsid w:val="766E1046"/>
    <w:rsid w:val="76F679B7"/>
    <w:rsid w:val="77086DFF"/>
    <w:rsid w:val="771C03FB"/>
    <w:rsid w:val="7729172E"/>
    <w:rsid w:val="774C75D7"/>
    <w:rsid w:val="77550200"/>
    <w:rsid w:val="777231FE"/>
    <w:rsid w:val="77845339"/>
    <w:rsid w:val="77A9613F"/>
    <w:rsid w:val="77B62FE1"/>
    <w:rsid w:val="77F93147"/>
    <w:rsid w:val="7831212F"/>
    <w:rsid w:val="78892482"/>
    <w:rsid w:val="789F035C"/>
    <w:rsid w:val="793D5931"/>
    <w:rsid w:val="7950681C"/>
    <w:rsid w:val="7978000A"/>
    <w:rsid w:val="798710AE"/>
    <w:rsid w:val="79875514"/>
    <w:rsid w:val="79D76204"/>
    <w:rsid w:val="79E3067B"/>
    <w:rsid w:val="7A4869A8"/>
    <w:rsid w:val="7A5E38C2"/>
    <w:rsid w:val="7A6E4F11"/>
    <w:rsid w:val="7AB511ED"/>
    <w:rsid w:val="7ACE3874"/>
    <w:rsid w:val="7AFB5570"/>
    <w:rsid w:val="7B3C058B"/>
    <w:rsid w:val="7B731AB9"/>
    <w:rsid w:val="7B7C4A1E"/>
    <w:rsid w:val="7B9A4FCA"/>
    <w:rsid w:val="7BA0206E"/>
    <w:rsid w:val="7BAD4F4A"/>
    <w:rsid w:val="7BB24382"/>
    <w:rsid w:val="7BF82D83"/>
    <w:rsid w:val="7C160785"/>
    <w:rsid w:val="7C1B7AA8"/>
    <w:rsid w:val="7C36001C"/>
    <w:rsid w:val="7C6C29C0"/>
    <w:rsid w:val="7CD21B5D"/>
    <w:rsid w:val="7CDC0EB1"/>
    <w:rsid w:val="7D0D15B6"/>
    <w:rsid w:val="7D1B3CD3"/>
    <w:rsid w:val="7D9766DD"/>
    <w:rsid w:val="7D9A1826"/>
    <w:rsid w:val="7DEFE9E7"/>
    <w:rsid w:val="7E262547"/>
    <w:rsid w:val="7E473135"/>
    <w:rsid w:val="7E633422"/>
    <w:rsid w:val="7E7A78DB"/>
    <w:rsid w:val="7F57160D"/>
    <w:rsid w:val="7F670E27"/>
    <w:rsid w:val="7F6E6158"/>
    <w:rsid w:val="7F9728BE"/>
    <w:rsid w:val="E6D97B1D"/>
    <w:rsid w:val="FDFFE4A0"/>
    <w:rsid w:val="FFFF1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0"/>
      <w:szCs w:val="30"/>
      <w:lang w:val="en-US" w:eastAsia="zh-CN" w:bidi="ar-SA"/>
    </w:rPr>
  </w:style>
  <w:style w:type="paragraph" w:styleId="7">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8">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Lines="0" w:line="580" w:lineRule="exact"/>
      <w:ind w:left="0" w:leftChars="0" w:firstLine="420"/>
    </w:pPr>
    <w:rPr>
      <w:sz w:val="32"/>
    </w:rPr>
  </w:style>
  <w:style w:type="paragraph" w:styleId="3">
    <w:name w:val="Body Text Indent"/>
    <w:basedOn w:val="1"/>
    <w:next w:val="1"/>
    <w:qFormat/>
    <w:uiPriority w:val="0"/>
    <w:pPr>
      <w:ind w:firstLine="560" w:firstLineChars="200"/>
    </w:pPr>
    <w:rPr>
      <w:sz w:val="28"/>
    </w:rPr>
  </w:style>
  <w:style w:type="paragraph" w:styleId="4">
    <w:name w:val="Body Text First Indent"/>
    <w:basedOn w:val="5"/>
    <w:next w:val="2"/>
    <w:qFormat/>
    <w:uiPriority w:val="99"/>
    <w:pPr>
      <w:widowControl/>
      <w:spacing w:line="580" w:lineRule="exact"/>
      <w:ind w:firstLine="880" w:firstLineChars="200"/>
      <w:jc w:val="left"/>
    </w:pPr>
    <w:rPr>
      <w:rFonts w:ascii="Times New Roman" w:hAnsi="Times New Roman"/>
      <w:kern w:val="0"/>
      <w:sz w:val="32"/>
      <w:szCs w:val="20"/>
    </w:rPr>
  </w:style>
  <w:style w:type="paragraph" w:styleId="5">
    <w:name w:val="Body Text"/>
    <w:basedOn w:val="1"/>
    <w:next w:val="6"/>
    <w:qFormat/>
    <w:uiPriority w:val="0"/>
    <w:pPr>
      <w:spacing w:after="120" w:afterLines="0" w:afterAutospacing="0"/>
    </w:pPr>
  </w:style>
  <w:style w:type="paragraph" w:styleId="6">
    <w:name w:val="Normal Indent"/>
    <w:basedOn w:val="1"/>
    <w:qFormat/>
    <w:uiPriority w:val="0"/>
    <w:pPr>
      <w:ind w:firstLine="420"/>
    </w:pPr>
    <w:rPr>
      <w:sz w:val="14"/>
    </w:rPr>
  </w:style>
  <w:style w:type="paragraph" w:styleId="9">
    <w:name w:val="annotation text"/>
    <w:basedOn w:val="1"/>
    <w:qFormat/>
    <w:uiPriority w:val="0"/>
    <w:pPr>
      <w:jc w:val="left"/>
    </w:pPr>
  </w:style>
  <w:style w:type="paragraph" w:styleId="10">
    <w:name w:val="Plain Text"/>
    <w:basedOn w:val="1"/>
    <w:unhideWhenUsed/>
    <w:qFormat/>
    <w:uiPriority w:val="99"/>
    <w:rPr>
      <w:rFonts w:ascii="宋体" w:hAnsi="Roman 10cpi"/>
      <w:szCs w:val="20"/>
    </w:rPr>
  </w:style>
  <w:style w:type="paragraph" w:styleId="11">
    <w:name w:val="Body Text Indent 2"/>
    <w:basedOn w:val="1"/>
    <w:next w:val="12"/>
    <w:qFormat/>
    <w:uiPriority w:val="0"/>
    <w:pPr>
      <w:ind w:right="1" w:firstLine="720"/>
    </w:pPr>
    <w:rPr>
      <w:rFonts w:ascii="Times New Roman" w:hAnsi="Times New Roman" w:eastAsia="宋体" w:cs="Times New Roman"/>
      <w:szCs w:val="24"/>
    </w:rPr>
  </w:style>
  <w:style w:type="paragraph" w:customStyle="1" w:styleId="12">
    <w:name w:val="z正文"/>
    <w:basedOn w:val="10"/>
    <w:qFormat/>
    <w:uiPriority w:val="0"/>
    <w:pPr>
      <w:tabs>
        <w:tab w:val="left" w:pos="525"/>
      </w:tabs>
      <w:snapToGrid w:val="0"/>
      <w:spacing w:line="360" w:lineRule="auto"/>
    </w:pPr>
    <w:rPr>
      <w:rFonts w:ascii="宋体" w:hAnsi="宋体" w:eastAsia="宋体" w:cs="Times New Roman"/>
      <w:sz w:val="24"/>
      <w:szCs w:val="20"/>
    </w:rPr>
  </w:style>
  <w:style w:type="paragraph" w:styleId="13">
    <w:name w:val="footer"/>
    <w:basedOn w:val="1"/>
    <w:qFormat/>
    <w:uiPriority w:val="0"/>
    <w:pPr>
      <w:tabs>
        <w:tab w:val="center" w:pos="4153"/>
        <w:tab w:val="right" w:pos="8306"/>
      </w:tabs>
      <w:snapToGrid w:val="0"/>
      <w:jc w:val="left"/>
    </w:pPr>
    <w:rPr>
      <w:rFonts w:ascii="Calibri" w:hAnsi="Calibri" w:eastAsia="宋体" w:cs="Calibri"/>
      <w:kern w:val="0"/>
      <w:sz w:val="18"/>
      <w:szCs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styleId="17">
    <w:name w:val="Normal (Web)"/>
    <w:basedOn w:val="1"/>
    <w:qFormat/>
    <w:uiPriority w:val="0"/>
    <w:pPr>
      <w:spacing w:before="0" w:beforeAutospacing="1" w:after="0" w:afterAutospacing="1"/>
      <w:ind w:left="0" w:right="0"/>
      <w:jc w:val="left"/>
    </w:pPr>
    <w:rPr>
      <w:kern w:val="0"/>
      <w:sz w:val="24"/>
      <w:lang w:val="en-US" w:eastAsia="zh-CN" w:bidi="ar"/>
    </w:rPr>
  </w:style>
  <w:style w:type="table" w:styleId="19">
    <w:name w:val="Table Grid"/>
    <w:basedOn w:val="1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1">
    <w:name w:val="annotation reference"/>
    <w:qFormat/>
    <w:uiPriority w:val="0"/>
    <w:rPr>
      <w:sz w:val="21"/>
      <w:szCs w:val="21"/>
    </w:rPr>
  </w:style>
  <w:style w:type="paragraph" w:customStyle="1" w:styleId="22">
    <w:name w:val="列出段落1"/>
    <w:basedOn w:val="1"/>
    <w:qFormat/>
    <w:uiPriority w:val="0"/>
    <w:pPr>
      <w:widowControl w:val="0"/>
      <w:adjustRightInd/>
      <w:snapToGrid/>
      <w:spacing w:after="0"/>
      <w:ind w:firstLine="420"/>
      <w:jc w:val="both"/>
    </w:pPr>
    <w:rPr>
      <w:rFonts w:ascii="Calibri" w:hAnsi="Calibri" w:eastAsia="宋体" w:cs="Times New Roman"/>
      <w:kern w:val="2"/>
      <w:sz w:val="21"/>
      <w:szCs w:val="20"/>
    </w:rPr>
  </w:style>
  <w:style w:type="paragraph" w:customStyle="1" w:styleId="23">
    <w:name w:val="页码1"/>
    <w:qFormat/>
    <w:uiPriority w:val="6"/>
    <w:pPr>
      <w:jc w:val="center"/>
    </w:pPr>
    <w:rPr>
      <w:rFonts w:ascii="Calibri" w:hAnsi="Calibri" w:eastAsia="Times New Roman" w:cs="Times New Roman"/>
      <w:sz w:val="21"/>
      <w:szCs w:val="28"/>
      <w:lang w:val="en-US" w:eastAsia="zh-CN" w:bidi="ar-SA"/>
    </w:rPr>
  </w:style>
  <w:style w:type="paragraph" w:customStyle="1" w:styleId="24">
    <w:name w:val="封面项目信息"/>
    <w:basedOn w:val="1"/>
    <w:next w:val="25"/>
    <w:qFormat/>
    <w:uiPriority w:val="0"/>
    <w:pPr>
      <w:spacing w:before="120"/>
      <w:ind w:left="800" w:leftChars="800"/>
      <w:jc w:val="left"/>
    </w:pPr>
    <w:rPr>
      <w:rFonts w:eastAsia="黑体"/>
      <w:kern w:val="0"/>
      <w:sz w:val="28"/>
      <w:szCs w:val="28"/>
      <w:lang w:val="zh-CN"/>
    </w:rPr>
  </w:style>
  <w:style w:type="paragraph" w:customStyle="1" w:styleId="25">
    <w:name w:val="封面完成时间"/>
    <w:basedOn w:val="24"/>
    <w:qFormat/>
    <w:uiPriority w:val="0"/>
    <w:pPr>
      <w:ind w:left="0" w:leftChars="0"/>
      <w:jc w:val="center"/>
    </w:pPr>
    <w:rPr>
      <w:b/>
    </w:rPr>
  </w:style>
  <w:style w:type="paragraph" w:customStyle="1" w:styleId="26">
    <w:name w:val="p0"/>
    <w:basedOn w:val="1"/>
    <w:qFormat/>
    <w:uiPriority w:val="0"/>
    <w:pPr>
      <w:widowControl/>
    </w:pPr>
    <w:rPr>
      <w:rFonts w:ascii="Calibri" w:hAnsi="Calibri" w:eastAsia="宋体" w:cs="Times New Roman"/>
      <w:kern w:val="0"/>
      <w:szCs w:val="21"/>
    </w:rPr>
  </w:style>
  <w:style w:type="character" w:customStyle="1" w:styleId="27">
    <w:name w:val="font31"/>
    <w:basedOn w:val="20"/>
    <w:qFormat/>
    <w:uiPriority w:val="0"/>
    <w:rPr>
      <w:rFonts w:hint="eastAsia" w:ascii="宋体" w:hAnsi="宋体" w:eastAsia="宋体" w:cs="宋体"/>
      <w:color w:val="000000"/>
      <w:sz w:val="20"/>
      <w:szCs w:val="20"/>
      <w:u w:val="none"/>
    </w:rPr>
  </w:style>
  <w:style w:type="character" w:customStyle="1" w:styleId="28">
    <w:name w:val="font01"/>
    <w:basedOn w:val="20"/>
    <w:qFormat/>
    <w:uiPriority w:val="0"/>
    <w:rPr>
      <w:rFonts w:hint="eastAsia" w:ascii="宋体" w:hAnsi="宋体" w:eastAsia="宋体" w:cs="宋体"/>
      <w:color w:val="000000"/>
      <w:sz w:val="20"/>
      <w:szCs w:val="20"/>
      <w:u w:val="none"/>
    </w:rPr>
  </w:style>
  <w:style w:type="character" w:customStyle="1" w:styleId="29">
    <w:name w:val="font41"/>
    <w:basedOn w:val="20"/>
    <w:qFormat/>
    <w:uiPriority w:val="0"/>
    <w:rPr>
      <w:rFonts w:hint="eastAsia" w:ascii="宋体" w:hAnsi="宋体" w:eastAsia="宋体" w:cs="宋体"/>
      <w:color w:val="000000"/>
      <w:sz w:val="20"/>
      <w:szCs w:val="20"/>
      <w:u w:val="none"/>
    </w:rPr>
  </w:style>
  <w:style w:type="paragraph" w:customStyle="1" w:styleId="30">
    <w:name w:val="Table Paragraph"/>
    <w:basedOn w:val="1"/>
    <w:qFormat/>
    <w:uiPriority w:val="1"/>
    <w:pPr>
      <w:spacing w:line="240" w:lineRule="auto"/>
      <w:ind w:firstLine="0" w:firstLineChars="0"/>
    </w:pPr>
    <w:rPr>
      <w:rFonts w:ascii="宋体" w:hAnsi="宋体" w:eastAsia="宋体" w:cs="宋体"/>
      <w:sz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3466</Words>
  <Characters>3624</Characters>
  <Lines>0</Lines>
  <Paragraphs>0</Paragraphs>
  <TotalTime>1</TotalTime>
  <ScaleCrop>false</ScaleCrop>
  <LinksUpToDate>false</LinksUpToDate>
  <CharactersWithSpaces>3766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2022-09-01T22:15:00Z</dcterms:created>
  <dc:creator>Administrator</dc:creator>
  <cp:lastModifiedBy>Hitler salute！</cp:lastModifiedBy>
  <cp:lastPrinted>2022-11-07T02:16:00Z</cp:lastPrinted>
  <dcterms:modified xsi:type="dcterms:W3CDTF">2022-11-25T08:23:10Z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A1BFB389F169BC2DF3FE61639B267C5F</vt:lpwstr>
  </property>
</Properties>
</file>