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jc w:val="both"/>
        <w:rPr>
          <w:rFonts w:eastAsia="宋体"/>
          <w:color w:val="auto"/>
        </w:rPr>
      </w:pPr>
    </w:p>
    <w:p>
      <w:pPr>
        <w:pStyle w:val="44"/>
        <w:jc w:val="both"/>
        <w:rPr>
          <w:rFonts w:eastAsia="宋体"/>
          <w:color w:val="auto"/>
        </w:rPr>
      </w:pPr>
    </w:p>
    <w:p>
      <w:pPr>
        <w:spacing w:line="700" w:lineRule="exact"/>
        <w:ind w:left="0" w:leftChars="0" w:firstLine="0" w:firstLineChars="0"/>
        <w:jc w:val="both"/>
        <w:rPr>
          <w:rFonts w:hint="eastAsia" w:ascii="方正小标宋简体" w:hAnsi="方正小标宋简体" w:eastAsia="方正小标宋简体" w:cs="方正小标宋简体"/>
          <w:sz w:val="48"/>
          <w:szCs w:val="48"/>
        </w:rPr>
      </w:pPr>
    </w:p>
    <w:p>
      <w:pPr>
        <w:spacing w:line="700" w:lineRule="exact"/>
        <w:ind w:left="0" w:leftChars="0" w:firstLine="0" w:firstLineChars="0"/>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菏泽市第三方质量安全辅助巡查服务</w:t>
      </w:r>
    </w:p>
    <w:p>
      <w:pPr>
        <w:spacing w:line="700" w:lineRule="exact"/>
        <w:ind w:left="0" w:leftChars="0" w:firstLine="0" w:firstLineChars="0"/>
        <w:jc w:val="center"/>
        <w:rPr>
          <w:rFonts w:ascii="Times New Roman" w:hAnsi="Times New Roman" w:eastAsia="方正小标宋简体" w:cs="Times New Roman"/>
          <w:color w:val="auto"/>
          <w:sz w:val="48"/>
          <w:szCs w:val="48"/>
        </w:rPr>
      </w:pPr>
      <w:r>
        <w:rPr>
          <w:rFonts w:hint="eastAsia" w:ascii="方正小标宋简体" w:hAnsi="方正小标宋简体" w:eastAsia="方正小标宋简体" w:cs="方正小标宋简体"/>
          <w:sz w:val="48"/>
          <w:szCs w:val="48"/>
        </w:rPr>
        <w:t>政府购买服务项目</w:t>
      </w:r>
      <w:r>
        <w:rPr>
          <w:rFonts w:hint="eastAsia" w:ascii="方正小标宋简体" w:hAnsi="方正小标宋简体" w:eastAsia="方正小标宋简体" w:cs="方正小标宋简体"/>
          <w:sz w:val="48"/>
          <w:szCs w:val="48"/>
          <w:lang w:val="en-US" w:eastAsia="zh-CN"/>
        </w:rPr>
        <w:t>支出</w:t>
      </w:r>
      <w:r>
        <w:rPr>
          <w:rFonts w:hint="eastAsia" w:ascii="方正小标宋简体" w:hAnsi="方正小标宋简体" w:eastAsia="方正小标宋简体" w:cs="方正小标宋简体"/>
          <w:sz w:val="48"/>
          <w:szCs w:val="48"/>
        </w:rPr>
        <w:t>绩效评价报告</w:t>
      </w:r>
    </w:p>
    <w:p>
      <w:pPr>
        <w:pStyle w:val="44"/>
        <w:keepNext w:val="0"/>
        <w:keepLines w:val="0"/>
        <w:pageBreakBefore w:val="0"/>
        <w:kinsoku/>
        <w:wordWrap/>
        <w:overflowPunct/>
        <w:topLinePunct w:val="0"/>
        <w:autoSpaceDE/>
        <w:autoSpaceDN/>
        <w:bidi w:val="0"/>
        <w:adjustRightInd/>
        <w:snapToGrid/>
        <w:spacing w:line="240" w:lineRule="auto"/>
        <w:textAlignment w:val="auto"/>
        <w:rPr>
          <w:rFonts w:eastAsia="宋体"/>
          <w:color w:val="auto"/>
        </w:rPr>
      </w:pPr>
    </w:p>
    <w:p>
      <w:pPr>
        <w:pStyle w:val="44"/>
        <w:keepNext w:val="0"/>
        <w:keepLines w:val="0"/>
        <w:pageBreakBefore w:val="0"/>
        <w:kinsoku/>
        <w:wordWrap/>
        <w:overflowPunct/>
        <w:topLinePunct w:val="0"/>
        <w:autoSpaceDE/>
        <w:autoSpaceDN/>
        <w:bidi w:val="0"/>
        <w:adjustRightInd/>
        <w:snapToGrid/>
        <w:spacing w:line="240" w:lineRule="auto"/>
        <w:jc w:val="both"/>
        <w:textAlignment w:val="auto"/>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jc w:val="both"/>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2"/>
        <w:ind w:left="3546" w:leftChars="608" w:hanging="1600" w:hangingChars="500"/>
        <w:rPr>
          <w:rFonts w:hint="eastAsia" w:ascii="方正小标宋简体" w:hAnsi="方正小标宋简体" w:eastAsia="方正小标宋简体" w:cs="方正小标宋简体"/>
          <w:b w:val="0"/>
          <w:bCs w:val="0"/>
          <w:color w:val="auto"/>
          <w:sz w:val="32"/>
          <w:szCs w:val="32"/>
          <w:lang w:eastAsia="zh-CN"/>
        </w:rPr>
      </w:pPr>
    </w:p>
    <w:p>
      <w:pPr>
        <w:pStyle w:val="44"/>
        <w:jc w:val="both"/>
        <w:rPr>
          <w:rFonts w:hint="eastAsia" w:ascii="方正小标宋简体" w:hAnsi="方正小标宋简体" w:eastAsia="方正小标宋简体" w:cs="方正小标宋简体"/>
          <w:b w:val="0"/>
          <w:bCs w:val="0"/>
          <w:color w:val="auto"/>
          <w:sz w:val="32"/>
          <w:szCs w:val="32"/>
        </w:rPr>
      </w:pPr>
    </w:p>
    <w:p>
      <w:pPr>
        <w:pStyle w:val="43"/>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val="en-US" w:eastAsia="zh-CN"/>
        </w:rPr>
        <w:t>2022</w:t>
      </w:r>
      <w:r>
        <w:rPr>
          <w:rFonts w:hint="eastAsia" w:ascii="黑体" w:hAnsi="黑体" w:eastAsia="黑体" w:cs="黑体"/>
          <w:b w:val="0"/>
          <w:bCs w:val="0"/>
          <w:color w:val="auto"/>
          <w:sz w:val="32"/>
          <w:szCs w:val="32"/>
        </w:rPr>
        <w:t>年</w:t>
      </w:r>
      <w:r>
        <w:rPr>
          <w:rFonts w:hint="eastAsia" w:ascii="黑体" w:hAnsi="黑体" w:cs="黑体"/>
          <w:b w:val="0"/>
          <w:bCs w:val="0"/>
          <w:color w:val="auto"/>
          <w:sz w:val="32"/>
          <w:szCs w:val="32"/>
          <w:lang w:val="en-US" w:eastAsia="zh-CN"/>
        </w:rPr>
        <w:t>10</w:t>
      </w:r>
      <w:r>
        <w:rPr>
          <w:rFonts w:hint="eastAsia" w:ascii="黑体" w:hAnsi="黑体" w:eastAsia="黑体" w:cs="黑体"/>
          <w:b w:val="0"/>
          <w:bCs w:val="0"/>
          <w:color w:val="auto"/>
          <w:sz w:val="32"/>
          <w:szCs w:val="32"/>
        </w:rPr>
        <w:t>月</w:t>
      </w:r>
    </w:p>
    <w:p>
      <w:pPr>
        <w:pStyle w:val="43"/>
        <w:jc w:val="center"/>
        <w:rPr>
          <w:rFonts w:hint="eastAsia" w:ascii="方正小标宋简体" w:hAnsi="方正小标宋简体" w:eastAsia="方正小标宋简体" w:cs="方正小标宋简体"/>
          <w:b w:val="0"/>
          <w:bCs w:val="0"/>
          <w:color w:val="auto"/>
          <w:sz w:val="44"/>
          <w:szCs w:val="44"/>
          <w:lang w:eastAsia="zh-CN"/>
        </w:rPr>
      </w:pPr>
    </w:p>
    <w:p>
      <w:pPr>
        <w:spacing w:line="600" w:lineRule="exact"/>
        <w:ind w:left="0" w:leftChars="0" w:firstLine="0" w:firstLineChars="0"/>
        <w:jc w:val="both"/>
        <w:rPr>
          <w:rFonts w:ascii="Times New Roman" w:hAnsi="Times New Roman" w:eastAsia="方正小标宋简体" w:cs="Times New Roman"/>
          <w:color w:val="auto"/>
          <w:sz w:val="36"/>
          <w:szCs w:val="36"/>
        </w:rPr>
      </w:pPr>
    </w:p>
    <w:p>
      <w:pPr>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center"/>
        <w:textAlignment w:val="auto"/>
        <w:rPr>
          <w:rFonts w:hint="eastAsia" w:eastAsia="方正小标宋简体"/>
          <w:lang w:eastAsia="zh-CN"/>
        </w:rPr>
      </w:pPr>
      <w:r>
        <w:rPr>
          <w:rFonts w:ascii="Times New Roman" w:hAnsi="Times New Roman" w:eastAsia="方正小标宋简体" w:cs="Times New Roman"/>
          <w:color w:val="auto"/>
          <w:sz w:val="44"/>
          <w:szCs w:val="44"/>
        </w:rPr>
        <w:t>正文</w:t>
      </w:r>
      <w:r>
        <w:rPr>
          <w:rFonts w:hint="eastAsia" w:ascii="Times New Roman" w:hAnsi="Times New Roman" w:eastAsia="方正小标宋简体" w:cs="Times New Roman"/>
          <w:color w:val="auto"/>
          <w:sz w:val="44"/>
          <w:szCs w:val="44"/>
          <w:lang w:eastAsia="zh-CN"/>
        </w:rPr>
        <w:t>部分</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700" w:lineRule="exact"/>
        <w:ind w:left="630" w:leftChars="0"/>
        <w:textAlignment w:val="auto"/>
        <w:rPr>
          <w:rStyle w:val="34"/>
          <w:rFonts w:hint="eastAsia" w:eastAsia="黑体"/>
          <w:bCs/>
          <w:color w:val="auto"/>
          <w:lang w:eastAsia="zh-CN"/>
        </w:rPr>
      </w:pPr>
      <w:bookmarkStart w:id="0" w:name="_Toc22087"/>
      <w:r>
        <w:rPr>
          <w:rFonts w:hint="eastAsia"/>
          <w:color w:val="auto"/>
          <w:lang w:eastAsia="zh-CN"/>
        </w:rPr>
        <w:t>一、项目</w:t>
      </w:r>
      <w:bookmarkEnd w:id="0"/>
      <w:r>
        <w:rPr>
          <w:rFonts w:hint="eastAsia"/>
          <w:color w:val="auto"/>
          <w:lang w:val="en-US" w:eastAsia="zh-CN"/>
        </w:rPr>
        <w:t>概况</w:t>
      </w:r>
    </w:p>
    <w:p>
      <w:pPr>
        <w:pStyle w:val="5"/>
        <w:pageBreakBefore w:val="0"/>
        <w:widowControl w:val="0"/>
        <w:numPr>
          <w:ilvl w:val="1"/>
          <w:numId w:val="0"/>
        </w:numPr>
        <w:kinsoku/>
        <w:wordWrap/>
        <w:overflowPunct/>
        <w:topLinePunct w:val="0"/>
        <w:autoSpaceDE/>
        <w:autoSpaceDN/>
        <w:bidi w:val="0"/>
        <w:adjustRightInd/>
        <w:snapToGrid/>
        <w:spacing w:before="0" w:after="0" w:line="580" w:lineRule="exact"/>
        <w:ind w:left="630" w:leftChars="0"/>
        <w:textAlignment w:val="auto"/>
        <w:rPr>
          <w:rFonts w:hint="eastAsia" w:ascii="楷体_GB2312" w:hAnsi="楷体_GB2312" w:eastAsia="楷体_GB2312" w:cs="楷体_GB2312"/>
          <w:b w:val="0"/>
          <w:bCs w:val="0"/>
          <w:color w:val="auto"/>
          <w:sz w:val="32"/>
        </w:rPr>
      </w:pPr>
      <w:bookmarkStart w:id="1" w:name="_Toc31492"/>
      <w:r>
        <w:rPr>
          <w:rFonts w:hint="eastAsia" w:ascii="楷体_GB2312" w:hAnsi="楷体_GB2312" w:eastAsia="楷体_GB2312" w:cs="楷体_GB2312"/>
          <w:b w:val="0"/>
          <w:bCs w:val="0"/>
          <w:color w:val="auto"/>
          <w:sz w:val="32"/>
          <w:lang w:eastAsia="zh-CN"/>
        </w:rPr>
        <w:t>（一）</w:t>
      </w:r>
      <w:r>
        <w:rPr>
          <w:rFonts w:hint="eastAsia" w:ascii="楷体_GB2312" w:hAnsi="楷体_GB2312" w:eastAsia="楷体_GB2312" w:cs="楷体_GB2312"/>
          <w:b w:val="0"/>
          <w:bCs w:val="0"/>
          <w:color w:val="auto"/>
          <w:sz w:val="32"/>
        </w:rPr>
        <w:t>项目</w:t>
      </w:r>
      <w:r>
        <w:rPr>
          <w:rFonts w:hint="eastAsia" w:ascii="楷体_GB2312" w:hAnsi="楷体_GB2312" w:eastAsia="楷体_GB2312" w:cs="楷体_GB2312"/>
          <w:b w:val="0"/>
          <w:bCs w:val="0"/>
          <w:color w:val="auto"/>
          <w:sz w:val="32"/>
          <w:lang w:eastAsia="zh-CN"/>
        </w:rPr>
        <w:t>背景</w:t>
      </w:r>
      <w:bookmarkEnd w:id="1"/>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kern w:val="2"/>
          <w:sz w:val="32"/>
          <w:szCs w:val="32"/>
          <w:lang w:val="en-US" w:eastAsia="zh-CN" w:bidi="zh-CN"/>
        </w:rPr>
      </w:pPr>
      <w:r>
        <w:rPr>
          <w:rFonts w:hint="eastAsia" w:ascii="仿宋_GB2312" w:hAnsi="仿宋_GB2312" w:eastAsia="仿宋_GB2312" w:cs="仿宋_GB2312"/>
          <w:b w:val="0"/>
          <w:bCs w:val="0"/>
          <w:kern w:val="2"/>
          <w:sz w:val="32"/>
          <w:szCs w:val="32"/>
          <w:lang w:val="en-US" w:eastAsia="zh-CN" w:bidi="zh-CN"/>
        </w:rPr>
        <w:t>1.项目环境和条件</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lang w:val="en-US" w:eastAsia="zh-CN"/>
        </w:rPr>
      </w:pPr>
      <w:r>
        <w:rPr>
          <w:rFonts w:hint="eastAsia"/>
          <w:b w:val="0"/>
          <w:bCs/>
          <w:lang w:eastAsia="zh-CN"/>
        </w:rPr>
        <w:t>为贯彻落实山东省住房和城乡建设厅《关于开展全省建筑工程质量安全辅助巡查工作的通知》《关于在工程质量安全辅助巡查工作中增加重点材料质量抽测的通知》《关于进一步加强房屋建筑和市政工程施工安全生产工作的若干意见》（鲁建发（2020〕3号），切实加强菏泽市建设工程项目各环节质量、安全监管力度，进一步完善质量安全监管机制，全面掌握施工现场生产活动状况，调动建设、施工、监理等各方责任主体提升质量安全的主观能动性，全面推动菏泽市工程质量安全水平的提升，菏泽市住房和城乡建设局确定开展本次全市范围内的房屋建筑工程项目质量安全巡查。</w:t>
      </w:r>
    </w:p>
    <w:p>
      <w:pPr>
        <w:pStyle w:val="5"/>
        <w:pageBreakBefore w:val="0"/>
        <w:widowControl w:val="0"/>
        <w:numPr>
          <w:ilvl w:val="1"/>
          <w:numId w:val="0"/>
        </w:numPr>
        <w:kinsoku/>
        <w:wordWrap/>
        <w:overflowPunct/>
        <w:topLinePunct w:val="0"/>
        <w:autoSpaceDE/>
        <w:autoSpaceDN/>
        <w:bidi w:val="0"/>
        <w:adjustRightInd/>
        <w:snapToGrid/>
        <w:spacing w:before="0" w:after="0" w:line="580" w:lineRule="exact"/>
        <w:ind w:left="630" w:leftChars="0"/>
        <w:jc w:val="both"/>
        <w:textAlignment w:val="auto"/>
        <w:rPr>
          <w:rFonts w:hint="eastAsia" w:ascii="楷体_GB2312" w:hAnsi="楷体_GB2312" w:eastAsia="楷体_GB2312" w:cs="楷体_GB2312"/>
          <w:b w:val="0"/>
          <w:bCs w:val="0"/>
          <w:color w:val="auto"/>
          <w:sz w:val="32"/>
          <w:lang w:eastAsia="zh-CN"/>
        </w:rPr>
      </w:pPr>
      <w:bookmarkStart w:id="2" w:name="_Toc25489"/>
      <w:bookmarkStart w:id="3" w:name="_Toc151"/>
      <w:bookmarkStart w:id="4" w:name="_Toc79063262"/>
      <w:r>
        <w:rPr>
          <w:rFonts w:hint="eastAsia" w:ascii="楷体_GB2312" w:hAnsi="楷体_GB2312" w:eastAsia="楷体_GB2312" w:cs="楷体_GB2312"/>
          <w:b w:val="0"/>
          <w:bCs w:val="0"/>
          <w:color w:val="auto"/>
          <w:sz w:val="32"/>
          <w:lang w:eastAsia="zh-CN"/>
        </w:rPr>
        <w:t>（</w:t>
      </w:r>
      <w:r>
        <w:rPr>
          <w:rFonts w:hint="eastAsia" w:ascii="楷体_GB2312" w:hAnsi="楷体_GB2312" w:eastAsia="楷体_GB2312" w:cs="楷体_GB2312"/>
          <w:b w:val="0"/>
          <w:bCs w:val="0"/>
          <w:color w:val="auto"/>
          <w:sz w:val="32"/>
          <w:lang w:val="en-US" w:eastAsia="zh-CN"/>
        </w:rPr>
        <w:t>二</w:t>
      </w:r>
      <w:r>
        <w:rPr>
          <w:rFonts w:hint="eastAsia" w:ascii="楷体_GB2312" w:hAnsi="楷体_GB2312" w:eastAsia="楷体_GB2312" w:cs="楷体_GB2312"/>
          <w:b w:val="0"/>
          <w:bCs w:val="0"/>
          <w:color w:val="auto"/>
          <w:sz w:val="32"/>
          <w:lang w:eastAsia="zh-CN"/>
        </w:rPr>
        <w:t>）项目计划</w:t>
      </w:r>
      <w:bookmarkEnd w:id="2"/>
    </w:p>
    <w:p>
      <w:pPr>
        <w:bidi w:val="0"/>
        <w:rPr>
          <w:rFonts w:hint="default"/>
          <w:lang w:val="en-US" w:eastAsia="zh-CN"/>
        </w:rPr>
      </w:pPr>
      <w:r>
        <w:rPr>
          <w:rFonts w:hint="eastAsia"/>
          <w:lang w:val="en-US" w:eastAsia="zh-CN"/>
        </w:rPr>
        <w:t>1.采购需求</w:t>
      </w:r>
    </w:p>
    <w:p>
      <w:pPr>
        <w:bidi w:val="0"/>
        <w:rPr>
          <w:rFonts w:hint="eastAsia"/>
          <w:lang w:val="en-US" w:eastAsia="zh-CN"/>
        </w:rPr>
      </w:pPr>
      <w:r>
        <w:rPr>
          <w:rFonts w:hint="eastAsia"/>
          <w:lang w:val="en-US" w:eastAsia="zh-CN"/>
        </w:rPr>
        <w:t>通过政府购买第三方技术服务的模式，委托有相应资质的单位和职业技术人员，提供专业技术服务，由专业的技术人员依据现行的建筑法律法规，借助专业的检测仪器通过客观公正的实测实量，及时消除安全风险和质量隐患。</w:t>
      </w:r>
    </w:p>
    <w:p>
      <w:pPr>
        <w:rPr>
          <w:rFonts w:hint="eastAsia" w:ascii="仿宋_GB2312" w:hAnsiTheme="minorHAnsi" w:cstheme="minorBidi"/>
          <w:b w:val="0"/>
          <w:bCs w:val="0"/>
          <w:kern w:val="2"/>
          <w:sz w:val="32"/>
          <w:szCs w:val="32"/>
          <w:lang w:val="en-US" w:eastAsia="zh-CN" w:bidi="ar-SA"/>
        </w:rPr>
      </w:pPr>
      <w:r>
        <w:rPr>
          <w:rFonts w:hint="eastAsia" w:ascii="仿宋_GB2312" w:hAnsiTheme="minorHAnsi" w:cstheme="minorBidi"/>
          <w:b w:val="0"/>
          <w:bCs w:val="0"/>
          <w:kern w:val="2"/>
          <w:sz w:val="32"/>
          <w:szCs w:val="32"/>
          <w:lang w:val="en-US" w:eastAsia="zh-CN" w:bidi="ar-SA"/>
        </w:rPr>
        <w:t>2.</w:t>
      </w:r>
      <w:r>
        <w:rPr>
          <w:rFonts w:hint="eastAsia"/>
          <w:lang w:val="en-US" w:eastAsia="zh-CN"/>
        </w:rPr>
        <w:t>项目所在区域</w:t>
      </w:r>
    </w:p>
    <w:p>
      <w:pPr>
        <w:bidi w:val="0"/>
        <w:rPr>
          <w:rFonts w:hint="default"/>
          <w:lang w:val="en-US" w:eastAsia="zh-CN"/>
        </w:rPr>
      </w:pPr>
      <w:r>
        <w:rPr>
          <w:rFonts w:hint="eastAsia" w:ascii="仿宋_GB2312"/>
          <w:kern w:val="2"/>
          <w:sz w:val="32"/>
          <w:szCs w:val="32"/>
          <w:lang w:eastAsia="zh-CN"/>
        </w:rPr>
        <w:t>项目所在区域</w:t>
      </w:r>
      <w:r>
        <w:rPr>
          <w:rFonts w:hint="eastAsia" w:ascii="仿宋_GB2312" w:eastAsia="仿宋_GB2312"/>
          <w:kern w:val="2"/>
          <w:sz w:val="32"/>
          <w:szCs w:val="32"/>
        </w:rPr>
        <w:t>涵盖了菏泽市全市</w:t>
      </w:r>
      <w:r>
        <w:rPr>
          <w:rFonts w:hint="eastAsia" w:ascii="仿宋_GB2312"/>
          <w:kern w:val="2"/>
          <w:sz w:val="32"/>
          <w:szCs w:val="32"/>
          <w:lang w:eastAsia="zh-CN"/>
        </w:rPr>
        <w:t>的在建工程</w:t>
      </w:r>
      <w:r>
        <w:rPr>
          <w:rFonts w:hint="eastAsia" w:ascii="仿宋_GB2312" w:eastAsia="仿宋_GB2312"/>
          <w:kern w:val="2"/>
          <w:sz w:val="32"/>
          <w:szCs w:val="32"/>
        </w:rPr>
        <w:t>，包括4区：牡丹区、定陶区、开发区、高新区；7县：曹县、成武县、单县、巨野县、郓城县、鄄城县、东明县。</w:t>
      </w:r>
    </w:p>
    <w:p>
      <w:pPr>
        <w:pStyle w:val="4"/>
        <w:pageBreakBefore w:val="0"/>
        <w:widowControl w:val="0"/>
        <w:numPr>
          <w:ilvl w:val="0"/>
          <w:numId w:val="0"/>
        </w:numPr>
        <w:kinsoku/>
        <w:wordWrap/>
        <w:overflowPunct/>
        <w:topLinePunct w:val="0"/>
        <w:autoSpaceDE/>
        <w:autoSpaceDN/>
        <w:bidi w:val="0"/>
        <w:adjustRightInd/>
        <w:snapToGrid/>
        <w:spacing w:before="0" w:after="0" w:line="580" w:lineRule="exact"/>
        <w:ind w:left="630" w:leftChars="0"/>
        <w:textAlignment w:val="auto"/>
        <w:rPr>
          <w:rFonts w:ascii="仿宋_GB2312" w:eastAsia="仿宋_GB2312"/>
          <w:b/>
          <w:bCs/>
          <w:kern w:val="2"/>
          <w:sz w:val="32"/>
          <w:szCs w:val="32"/>
        </w:rPr>
      </w:pPr>
      <w:bookmarkStart w:id="5" w:name="_Toc19767"/>
      <w:r>
        <w:rPr>
          <w:rFonts w:hint="eastAsia"/>
          <w:color w:val="auto"/>
          <w:lang w:eastAsia="zh-CN"/>
        </w:rPr>
        <w:t>二、</w:t>
      </w:r>
      <w:bookmarkEnd w:id="3"/>
      <w:bookmarkEnd w:id="4"/>
      <w:bookmarkEnd w:id="5"/>
      <w:r>
        <w:rPr>
          <w:rFonts w:hint="eastAsia"/>
          <w:color w:val="auto"/>
          <w:lang w:val="en-US" w:eastAsia="zh-CN"/>
        </w:rPr>
        <w:t>资金安排及支出情况</w:t>
      </w:r>
    </w:p>
    <w:p>
      <w:pPr>
        <w:pStyle w:val="2"/>
        <w:pageBreakBefore w:val="0"/>
        <w:widowControl w:val="0"/>
        <w:kinsoku/>
        <w:wordWrap/>
        <w:overflowPunct/>
        <w:autoSpaceDE/>
        <w:autoSpaceDN/>
        <w:bidi w:val="0"/>
        <w:spacing w:line="580" w:lineRule="exact"/>
        <w:ind w:firstLine="640" w:firstLineChars="200"/>
        <w:textAlignment w:val="auto"/>
        <w:rPr>
          <w:rFonts w:ascii="仿宋_GB2312" w:eastAsia="仿宋_GB2312"/>
          <w:kern w:val="2"/>
          <w:sz w:val="32"/>
          <w:szCs w:val="32"/>
        </w:rPr>
      </w:pPr>
      <w:r>
        <w:rPr>
          <w:rFonts w:hint="eastAsia"/>
          <w:lang w:val="en-US" w:eastAsia="zh-CN"/>
        </w:rPr>
        <w:t>本次第三方质量安全辅助巡查服务政府购买服务项目预算160万元用于对第三方巡查机构进行招标，实际中标金额为158万元，资金来源为市级资金。截止到评价日，158万元已完成支付。</w:t>
      </w:r>
    </w:p>
    <w:p>
      <w:pPr>
        <w:pStyle w:val="4"/>
        <w:pageBreakBefore w:val="0"/>
        <w:widowControl w:val="0"/>
        <w:numPr>
          <w:ilvl w:val="0"/>
          <w:numId w:val="0"/>
        </w:numPr>
        <w:kinsoku/>
        <w:wordWrap/>
        <w:overflowPunct/>
        <w:autoSpaceDE/>
        <w:autoSpaceDN/>
        <w:bidi w:val="0"/>
        <w:spacing w:before="0" w:after="0" w:line="580" w:lineRule="exact"/>
        <w:ind w:leftChars="200"/>
        <w:textAlignment w:val="auto"/>
        <w:rPr>
          <w:rFonts w:hint="eastAsia"/>
          <w:color w:val="auto"/>
          <w:lang w:val="en-US" w:eastAsia="zh-CN"/>
        </w:rPr>
      </w:pPr>
      <w:r>
        <w:rPr>
          <w:rFonts w:hint="eastAsia"/>
          <w:color w:val="auto"/>
          <w:lang w:val="en-US" w:eastAsia="zh-CN"/>
        </w:rPr>
        <w:t>三、项目内容及实施情况</w:t>
      </w:r>
    </w:p>
    <w:p>
      <w:pPr>
        <w:pStyle w:val="5"/>
        <w:numPr>
          <w:ilvl w:val="1"/>
          <w:numId w:val="0"/>
        </w:numPr>
        <w:bidi w:val="0"/>
        <w:spacing w:before="0" w:beforeLines="0" w:beforeAutospacing="0" w:after="0" w:afterLines="0" w:afterAutospacing="0"/>
        <w:ind w:leftChars="200"/>
        <w:rPr>
          <w:rFonts w:hint="default" w:ascii="Arial" w:hAnsi="Arial" w:eastAsia="楷体_GB2312" w:cs="Times New Roman"/>
          <w:b w:val="0"/>
          <w:bCs w:val="0"/>
          <w:szCs w:val="22"/>
          <w:lang w:val="en-US" w:eastAsia="zh-CN"/>
        </w:rPr>
      </w:pPr>
      <w:r>
        <w:rPr>
          <w:rFonts w:hint="eastAsia" w:ascii="Arial" w:hAnsi="Arial" w:eastAsia="楷体_GB2312" w:cs="Times New Roman"/>
          <w:b w:val="0"/>
          <w:bCs w:val="0"/>
          <w:szCs w:val="22"/>
          <w:lang w:val="en-US" w:eastAsia="zh-CN"/>
        </w:rPr>
        <w:t>（一）项目内容</w:t>
      </w:r>
    </w:p>
    <w:p>
      <w:pPr>
        <w:bidi w:val="0"/>
        <w:rPr>
          <w:rFonts w:hint="eastAsia"/>
          <w:lang w:val="en-US" w:eastAsia="zh-CN"/>
        </w:rPr>
      </w:pPr>
      <w:r>
        <w:rPr>
          <w:rFonts w:hint="eastAsia"/>
          <w:lang w:val="en-US" w:eastAsia="zh-CN"/>
        </w:rPr>
        <w:t>主管部门菏泽市住房和城乡建设局通过政府购买服务委托第三方机构，由第三方机构对全市范围内的在建工程项目随机选取进行巡查，巡查内容包括质量安全资料和施工现场。根据实际巡查情况整理巡查报告报送市住建局，由市住建局下发整改通知书至县区住建局，县区住建局提交电子版和纸质版整改回复单，县区住建局复查合格后，处理处罚结果报送市住建局备案。</w:t>
      </w:r>
    </w:p>
    <w:p>
      <w:pPr>
        <w:pStyle w:val="5"/>
        <w:numPr>
          <w:ilvl w:val="1"/>
          <w:numId w:val="0"/>
        </w:numPr>
        <w:bidi w:val="0"/>
        <w:spacing w:before="0" w:beforeLines="0" w:beforeAutospacing="0" w:after="0" w:afterLines="0" w:afterAutospacing="0"/>
        <w:ind w:leftChars="200"/>
        <w:rPr>
          <w:rFonts w:hint="default" w:ascii="Arial" w:hAnsi="Arial" w:eastAsia="楷体_GB2312" w:cs="Times New Roman"/>
          <w:b w:val="0"/>
          <w:bCs w:val="0"/>
          <w:szCs w:val="22"/>
          <w:lang w:val="en-US" w:eastAsia="zh-CN"/>
        </w:rPr>
      </w:pPr>
      <w:r>
        <w:rPr>
          <w:rFonts w:hint="eastAsia" w:ascii="Arial" w:hAnsi="Arial" w:eastAsia="楷体_GB2312" w:cs="Times New Roman"/>
          <w:b w:val="0"/>
          <w:bCs w:val="0"/>
          <w:szCs w:val="22"/>
          <w:lang w:val="en-US" w:eastAsia="zh-CN"/>
        </w:rPr>
        <w:t>（二）实施情况</w:t>
      </w:r>
    </w:p>
    <w:p>
      <w:pPr>
        <w:bidi w:val="0"/>
        <w:rPr>
          <w:rFonts w:hint="default"/>
          <w:lang w:val="en-US" w:eastAsia="zh-CN"/>
        </w:rPr>
      </w:pPr>
      <w:r>
        <w:rPr>
          <w:rFonts w:hint="default"/>
          <w:lang w:val="en-US" w:eastAsia="zh-CN"/>
        </w:rPr>
        <w:t>按照工作方案及服务合同要求，成立第三方质量安全巡查组织，全年巡查轮数</w:t>
      </w:r>
      <w:r>
        <w:rPr>
          <w:rFonts w:hint="eastAsia"/>
          <w:lang w:val="en-US" w:eastAsia="zh-CN"/>
        </w:rPr>
        <w:t>共计</w:t>
      </w:r>
      <w:r>
        <w:rPr>
          <w:rFonts w:hint="default"/>
          <w:lang w:val="en-US" w:eastAsia="zh-CN"/>
        </w:rPr>
        <w:t>7轮</w:t>
      </w:r>
      <w:r>
        <w:rPr>
          <w:rFonts w:hint="eastAsia" w:ascii="仿宋_GB2312" w:hAnsi="仿宋_GB2312" w:eastAsia="仿宋_GB2312" w:cs="仿宋_GB2312"/>
          <w:lang w:val="en-US" w:eastAsia="zh-CN"/>
        </w:rPr>
        <w:t>，全年巡查项目数量共计454个，起重机械安全检查数量共计905台，预拌混凝土、砖砌体、砌筑砂浆抽查完成率达到100%，钢筋、保</w:t>
      </w:r>
      <w:r>
        <w:rPr>
          <w:rFonts w:hint="default"/>
          <w:lang w:val="en-US" w:eastAsia="zh-CN"/>
        </w:rPr>
        <w:t>温材料、防水材料抽查完成率达</w:t>
      </w:r>
      <w:r>
        <w:rPr>
          <w:rFonts w:hint="eastAsia" w:ascii="仿宋_GB2312" w:hAnsi="仿宋_GB2312" w:eastAsia="仿宋_GB2312" w:cs="仿宋_GB2312"/>
          <w:lang w:val="en-US" w:eastAsia="zh-CN"/>
        </w:rPr>
        <w:t>到100%，安全巡查流程合规率达到100%，项目整改达标率达到100%，能够按照合同规定时间内完成质量安全巡检工作，项目采购成本节约率达到9.3%，遏制较大事故，减少一般事故，不断促进全市安全生产形势稳定好转，健全完善</w:t>
      </w:r>
      <w:r>
        <w:rPr>
          <w:rFonts w:hint="default"/>
          <w:lang w:val="en-US" w:eastAsia="zh-CN"/>
        </w:rPr>
        <w:t>长效监管机制，提高建设施工企业安全意识。</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630" w:leftChars="0"/>
        <w:textAlignment w:val="auto"/>
        <w:rPr>
          <w:rFonts w:hint="default" w:eastAsia="黑体"/>
          <w:color w:val="auto"/>
          <w:lang w:val="en-US" w:eastAsia="zh-CN"/>
        </w:rPr>
      </w:pPr>
      <w:bookmarkStart w:id="6" w:name="_Toc30900"/>
      <w:r>
        <w:rPr>
          <w:rFonts w:hint="eastAsia"/>
          <w:color w:val="auto"/>
          <w:lang w:eastAsia="zh-CN"/>
        </w:rPr>
        <w:t>四、</w:t>
      </w:r>
      <w:bookmarkEnd w:id="6"/>
      <w:r>
        <w:rPr>
          <w:rFonts w:hint="eastAsia"/>
          <w:color w:val="auto"/>
          <w:lang w:val="en-US" w:eastAsia="zh-CN"/>
        </w:rPr>
        <w:t>绩效评价得分及等级</w:t>
      </w:r>
    </w:p>
    <w:p>
      <w:pPr>
        <w:bidi w:val="0"/>
        <w:rPr>
          <w:rFonts w:hint="eastAsia" w:ascii="仿宋_GB2312" w:hAnsiTheme="minorHAnsi" w:cstheme="minorBidi"/>
          <w:kern w:val="2"/>
          <w:szCs w:val="32"/>
          <w:lang w:val="en-US" w:eastAsia="zh-CN" w:bidi="ar-SA"/>
        </w:rPr>
      </w:pPr>
      <w:r>
        <w:rPr>
          <w:rFonts w:hint="eastAsia"/>
          <w:lang w:val="en-US" w:eastAsia="zh-CN"/>
        </w:rPr>
        <w:t>根据绩效评价组制定的绩效评分指标体系及评分标准，通过资料整理分析、数据采集、现场座谈、线上线下的问卷调查等方式，对菏泽市第三方质量安全辅助巡查服务政府购买服务项目进行绩效评价。</w:t>
      </w:r>
    </w:p>
    <w:p>
      <w:pPr>
        <w:pStyle w:val="8"/>
        <w:pageBreakBefore w:val="0"/>
        <w:widowControl w:val="0"/>
        <w:kinsoku/>
        <w:wordWrap/>
        <w:overflowPunct/>
        <w:topLinePunct w:val="0"/>
        <w:autoSpaceDE/>
        <w:autoSpaceDN/>
        <w:bidi w:val="0"/>
        <w:adjustRightInd/>
        <w:snapToGrid/>
        <w:spacing w:line="580" w:lineRule="exact"/>
        <w:textAlignment w:val="auto"/>
        <w:rPr>
          <w:rFonts w:hint="eastAsia" w:ascii="仿宋_GB2312" w:hAnsiTheme="minorHAnsi" w:cstheme="minorBidi"/>
          <w:kern w:val="2"/>
          <w:sz w:val="32"/>
          <w:szCs w:val="32"/>
          <w:lang w:val="en-US" w:eastAsia="zh-CN" w:bidi="ar-SA"/>
        </w:rPr>
      </w:pPr>
      <w:r>
        <w:rPr>
          <w:rFonts w:hint="eastAsia" w:ascii="仿宋_GB2312" w:hAnsiTheme="minorHAnsi" w:cstheme="minorBidi"/>
          <w:kern w:val="2"/>
          <w:sz w:val="32"/>
          <w:szCs w:val="32"/>
          <w:lang w:val="en-US" w:eastAsia="zh-CN" w:bidi="ar-SA"/>
        </w:rPr>
        <w:t>本次绩效评价</w:t>
      </w:r>
      <w:r>
        <w:rPr>
          <w:rFonts w:hint="eastAsia" w:ascii="仿宋_GB2312" w:eastAsia="仿宋_GB2312" w:hAnsiTheme="minorHAnsi" w:cstheme="minorBidi"/>
          <w:kern w:val="2"/>
          <w:sz w:val="32"/>
          <w:szCs w:val="32"/>
          <w:lang w:val="en-US" w:eastAsia="zh-CN" w:bidi="ar-SA"/>
        </w:rPr>
        <w:t>最终评分结果：总得分为8</w:t>
      </w:r>
      <w:r>
        <w:rPr>
          <w:rFonts w:hint="eastAsia" w:ascii="仿宋_GB2312" w:hAnsiTheme="minorHAnsi" w:cstheme="minorBidi"/>
          <w:kern w:val="2"/>
          <w:sz w:val="32"/>
          <w:szCs w:val="32"/>
          <w:lang w:val="en-US" w:eastAsia="zh-CN" w:bidi="ar-SA"/>
        </w:rPr>
        <w:t>7</w:t>
      </w:r>
      <w:r>
        <w:rPr>
          <w:rFonts w:hint="eastAsia" w:ascii="仿宋_GB2312" w:eastAsia="仿宋_GB2312" w:hAnsiTheme="minorHAnsi" w:cstheme="minorBidi"/>
          <w:kern w:val="2"/>
          <w:sz w:val="32"/>
          <w:szCs w:val="32"/>
          <w:lang w:val="en-US" w:eastAsia="zh-CN" w:bidi="ar-SA"/>
        </w:rPr>
        <w:t>分，评价等级为“良”</w:t>
      </w:r>
      <w:r>
        <w:rPr>
          <w:rFonts w:hint="eastAsia" w:ascii="仿宋_GB2312" w:hAnsiTheme="minorHAnsi" w:cstheme="minorBidi"/>
          <w:kern w:val="2"/>
          <w:sz w:val="32"/>
          <w:szCs w:val="32"/>
          <w:lang w:val="en-US" w:eastAsia="zh-CN" w:bidi="ar-SA"/>
        </w:rPr>
        <w:t>。</w:t>
      </w:r>
      <w:bookmarkStart w:id="7" w:name="_Toc14884"/>
    </w:p>
    <w:bookmarkEnd w:id="7"/>
    <w:p>
      <w:pPr>
        <w:pStyle w:val="5"/>
        <w:numPr>
          <w:ilvl w:val="1"/>
          <w:numId w:val="0"/>
        </w:numPr>
        <w:bidi w:val="0"/>
        <w:spacing w:before="0" w:beforeLines="0" w:beforeAutospacing="0" w:after="0" w:afterLines="0" w:afterAutospacing="0"/>
        <w:ind w:leftChars="200"/>
        <w:rPr>
          <w:rFonts w:hint="eastAsia" w:ascii="Arial" w:hAnsi="Arial" w:eastAsia="楷体_GB2312" w:cs="Times New Roman"/>
          <w:b w:val="0"/>
          <w:bCs w:val="0"/>
          <w:szCs w:val="22"/>
          <w:lang w:val="en-US" w:eastAsia="zh-CN"/>
        </w:rPr>
      </w:pPr>
      <w:r>
        <w:rPr>
          <w:rFonts w:hint="eastAsia" w:ascii="Arial" w:hAnsi="Arial" w:eastAsia="楷体_GB2312" w:cs="Times New Roman"/>
          <w:b w:val="0"/>
          <w:bCs w:val="0"/>
          <w:szCs w:val="22"/>
          <w:lang w:val="en-US" w:eastAsia="zh-CN"/>
        </w:rPr>
        <w:t>（一）项目决策情况</w:t>
      </w:r>
    </w:p>
    <w:p>
      <w:pPr>
        <w:bidi w:val="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决策情况从项目申报、绩效目标两个方面对菏泽市第三方质量安全辅助巡查项目的决策情况进行考察。决策类设置指标分值共计10分，实际得分8.5分，得分率为85%（各指标得分情况详见下表4-1）。</w:t>
      </w:r>
    </w:p>
    <w:p>
      <w:pPr>
        <w:bidi w:val="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表4-1 决策得分汇总表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890"/>
        <w:gridCol w:w="1692"/>
        <w:gridCol w:w="1067"/>
        <w:gridCol w:w="117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42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二级指标</w:t>
            </w:r>
          </w:p>
        </w:tc>
        <w:tc>
          <w:tcPr>
            <w:tcW w:w="189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三级指标</w:t>
            </w:r>
          </w:p>
        </w:tc>
        <w:tc>
          <w:tcPr>
            <w:tcW w:w="169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四级指标</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分值</w:t>
            </w: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得分</w:t>
            </w:r>
          </w:p>
        </w:tc>
        <w:tc>
          <w:tcPr>
            <w:tcW w:w="127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42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项目申报</w:t>
            </w:r>
          </w:p>
        </w:tc>
        <w:tc>
          <w:tcPr>
            <w:tcW w:w="189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color w:val="000000"/>
                <w:kern w:val="0"/>
                <w:sz w:val="21"/>
                <w:szCs w:val="21"/>
                <w:lang w:val="en-US" w:eastAsia="zh-CN"/>
              </w:rPr>
              <w:t>服务需求充分性</w:t>
            </w:r>
          </w:p>
        </w:tc>
        <w:tc>
          <w:tcPr>
            <w:tcW w:w="169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127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42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189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color w:val="000000"/>
                <w:kern w:val="0"/>
                <w:sz w:val="21"/>
                <w:szCs w:val="21"/>
                <w:lang w:val="en-US" w:eastAsia="zh-CN"/>
              </w:rPr>
              <w:t>服务需求规范性</w:t>
            </w:r>
          </w:p>
        </w:tc>
        <w:tc>
          <w:tcPr>
            <w:tcW w:w="169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127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42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189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b w:val="0"/>
                <w:bCs w:val="0"/>
                <w:sz w:val="21"/>
                <w:szCs w:val="21"/>
                <w:vertAlign w:val="baseline"/>
                <w:lang w:val="en-US" w:eastAsia="zh-CN"/>
              </w:rPr>
              <w:t>预算编制科学性</w:t>
            </w:r>
          </w:p>
        </w:tc>
        <w:tc>
          <w:tcPr>
            <w:tcW w:w="169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预算编制准确性</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2</w:t>
            </w: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2</w:t>
            </w:r>
          </w:p>
        </w:tc>
        <w:tc>
          <w:tcPr>
            <w:tcW w:w="127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42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189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color w:val="000000"/>
                <w:kern w:val="0"/>
                <w:sz w:val="21"/>
                <w:szCs w:val="21"/>
                <w:lang w:val="en-US" w:eastAsia="zh-CN"/>
              </w:rPr>
            </w:pPr>
          </w:p>
        </w:tc>
        <w:tc>
          <w:tcPr>
            <w:tcW w:w="169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政策落实性</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2</w:t>
            </w: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2</w:t>
            </w:r>
          </w:p>
        </w:tc>
        <w:tc>
          <w:tcPr>
            <w:tcW w:w="127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42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绩效目标</w:t>
            </w:r>
          </w:p>
        </w:tc>
        <w:tc>
          <w:tcPr>
            <w:tcW w:w="189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绩效目标合理性</w:t>
            </w:r>
          </w:p>
        </w:tc>
        <w:tc>
          <w:tcPr>
            <w:tcW w:w="169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7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42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189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绩效指标明确性</w:t>
            </w:r>
          </w:p>
        </w:tc>
        <w:tc>
          <w:tcPr>
            <w:tcW w:w="169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0.5</w:t>
            </w:r>
          </w:p>
        </w:tc>
        <w:tc>
          <w:tcPr>
            <w:tcW w:w="127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5008"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合计</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w:t>
            </w:r>
          </w:p>
        </w:tc>
        <w:tc>
          <w:tcPr>
            <w:tcW w:w="117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8.5</w:t>
            </w:r>
          </w:p>
        </w:tc>
        <w:tc>
          <w:tcPr>
            <w:tcW w:w="127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85%</w:t>
            </w:r>
          </w:p>
        </w:tc>
      </w:tr>
    </w:tbl>
    <w:p>
      <w:pPr>
        <w:pStyle w:val="5"/>
        <w:numPr>
          <w:ilvl w:val="1"/>
          <w:numId w:val="0"/>
        </w:numPr>
        <w:bidi w:val="0"/>
        <w:spacing w:before="0" w:beforeLines="0" w:beforeAutospacing="0" w:after="0" w:afterLines="0" w:afterAutospacing="0"/>
        <w:ind w:leftChars="200"/>
        <w:rPr>
          <w:rFonts w:hint="eastAsia" w:ascii="Arial" w:hAnsi="Arial" w:eastAsia="楷体_GB2312" w:cs="Times New Roman"/>
          <w:b w:val="0"/>
          <w:bCs w:val="0"/>
          <w:szCs w:val="22"/>
          <w:lang w:val="en-US" w:eastAsia="zh-CN"/>
        </w:rPr>
      </w:pPr>
      <w:r>
        <w:rPr>
          <w:rFonts w:hint="eastAsia" w:ascii="Arial" w:hAnsi="Arial" w:eastAsia="楷体_GB2312" w:cs="Times New Roman"/>
          <w:b w:val="0"/>
          <w:bCs w:val="0"/>
          <w:szCs w:val="22"/>
          <w:lang w:val="en-US" w:eastAsia="zh-CN"/>
        </w:rPr>
        <w:t>（二）</w:t>
      </w:r>
      <w:bookmarkStart w:id="8" w:name="_Toc28974"/>
      <w:r>
        <w:rPr>
          <w:rFonts w:hint="eastAsia" w:ascii="Arial" w:hAnsi="Arial" w:eastAsia="楷体_GB2312" w:cs="Times New Roman"/>
          <w:b w:val="0"/>
          <w:bCs w:val="0"/>
          <w:szCs w:val="22"/>
          <w:lang w:val="en-US" w:eastAsia="zh-CN"/>
        </w:rPr>
        <w:t>项目过程情况</w:t>
      </w:r>
      <w:bookmarkEnd w:id="8"/>
    </w:p>
    <w:p>
      <w:pPr>
        <w:bidi w:val="0"/>
        <w:rPr>
          <w:rFonts w:hint="eastAsia" w:ascii="仿宋_GB2312" w:hAnsi="仿宋_GB2312" w:eastAsia="仿宋_GB2312" w:cs="仿宋_GB2312"/>
          <w:lang w:val="en-US" w:eastAsia="zh-CN"/>
        </w:rPr>
      </w:pPr>
      <w:bookmarkStart w:id="9" w:name="_Toc7175"/>
      <w:r>
        <w:rPr>
          <w:rFonts w:hint="eastAsia"/>
          <w:lang w:val="en-US" w:eastAsia="zh-CN"/>
        </w:rPr>
        <w:t>过程情况主要是从制度健全、采购组织、实施管理、合同管理和信息公开等对政府购买服务的整个过程包括项目管理规范性、采购准备充分性、采购活动组织合规性、档案保管完整性、政府购买服务制度建设完整性、岗位设置合理性、合同管理规范性</w:t>
      </w:r>
      <w:r>
        <w:rPr>
          <w:rFonts w:hint="eastAsia" w:ascii="仿宋_GB2312" w:hAnsi="仿宋_GB2312" w:eastAsia="仿宋_GB2312" w:cs="仿宋_GB2312"/>
          <w:lang w:val="en-US" w:eastAsia="zh-CN"/>
        </w:rPr>
        <w:t>、信息公开规范性等八个方面进行考察。过程类设置指标分值共计60分，实际得分51.5分，得分率为85.83%（各指标得分情况详见下表4-2）。</w:t>
      </w:r>
    </w:p>
    <w:p>
      <w:pPr>
        <w:bidi w:val="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表4-2 过程指标得分汇总表</w:t>
      </w:r>
    </w:p>
    <w:tbl>
      <w:tblPr>
        <w:tblStyle w:val="26"/>
        <w:tblW w:w="8717"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2160"/>
        <w:gridCol w:w="2580"/>
        <w:gridCol w:w="870"/>
        <w:gridCol w:w="780"/>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二级指标</w:t>
            </w:r>
          </w:p>
        </w:tc>
        <w:tc>
          <w:tcPr>
            <w:tcW w:w="216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三级指标</w:t>
            </w: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四级指标</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分值</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得分</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制度健全</w:t>
            </w:r>
          </w:p>
        </w:tc>
        <w:tc>
          <w:tcPr>
            <w:tcW w:w="216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项目管理规范性</w:t>
            </w: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项目管理制度完善性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项目管理制度执行有效性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采购组织</w:t>
            </w:r>
          </w:p>
        </w:tc>
        <w:tc>
          <w:tcPr>
            <w:tcW w:w="216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采购准备充分性</w:t>
            </w: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采购需求完整性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采购需求充分性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采购需求规范性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采购计划时效性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采购计划准确性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216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采购活动组织合规性</w:t>
            </w: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代理机构选择合规性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委托协议完整性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采购方式合规性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评审专家资质相符率</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采购文件规范性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询问、质疑答复合规性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开标组织合规性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评标组织合规性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定标组织合规性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专家评审费支付及时性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实施管理</w:t>
            </w:r>
          </w:p>
        </w:tc>
        <w:tc>
          <w:tcPr>
            <w:tcW w:w="216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档案保管完整性</w:t>
            </w: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16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政府购买服务</w:t>
            </w:r>
            <w:r>
              <w:rPr>
                <w:rFonts w:hint="default" w:ascii="宋体" w:hAnsi="宋体" w:eastAsia="宋体" w:cs="宋体"/>
                <w:b w:val="0"/>
                <w:bCs w:val="0"/>
                <w:sz w:val="21"/>
                <w:szCs w:val="21"/>
                <w:vertAlign w:val="baseline"/>
                <w:lang w:val="en-US" w:eastAsia="zh-CN"/>
              </w:rPr>
              <w:t>制度建设完整性</w:t>
            </w: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p>
        </w:tc>
        <w:tc>
          <w:tcPr>
            <w:tcW w:w="216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default" w:ascii="宋体" w:hAnsi="宋体" w:eastAsia="宋体" w:cs="宋体"/>
                <w:b w:val="0"/>
                <w:bCs w:val="0"/>
                <w:sz w:val="21"/>
                <w:szCs w:val="21"/>
                <w:vertAlign w:val="baseline"/>
                <w:lang w:val="en-US" w:eastAsia="zh-CN"/>
              </w:rPr>
              <w:t>岗位设置合理性</w:t>
            </w: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4</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合同管理</w:t>
            </w:r>
          </w:p>
        </w:tc>
        <w:tc>
          <w:tcPr>
            <w:tcW w:w="216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合同管理规范性</w:t>
            </w: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合同签订时效性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资金支付及时性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合同内容合法性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合同内容准确性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履约验收合规性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1.5</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信息公开</w:t>
            </w:r>
          </w:p>
        </w:tc>
        <w:tc>
          <w:tcPr>
            <w:tcW w:w="216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信息公开规范性</w:t>
            </w: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发布合规性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6"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216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25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default" w:ascii="宋体" w:hAnsi="宋体" w:eastAsia="宋体" w:cs="宋体"/>
                <w:b w:val="0"/>
                <w:bCs w:val="0"/>
                <w:sz w:val="21"/>
                <w:szCs w:val="21"/>
                <w:vertAlign w:val="baseline"/>
                <w:lang w:val="en-US" w:eastAsia="zh-CN"/>
              </w:rPr>
              <w:t>信息准确性</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5806"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合计</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60</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51.5</w:t>
            </w:r>
          </w:p>
        </w:tc>
        <w:tc>
          <w:tcPr>
            <w:tcW w:w="126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85.83%</w:t>
            </w:r>
          </w:p>
        </w:tc>
      </w:tr>
    </w:tbl>
    <w:p>
      <w:pPr>
        <w:pStyle w:val="5"/>
        <w:pageBreakBefore w:val="0"/>
        <w:widowControl w:val="0"/>
        <w:numPr>
          <w:ilvl w:val="1"/>
          <w:numId w:val="0"/>
        </w:numPr>
        <w:kinsoku/>
        <w:wordWrap/>
        <w:overflowPunct/>
        <w:autoSpaceDE/>
        <w:autoSpaceDN/>
        <w:bidi w:val="0"/>
        <w:spacing w:before="0" w:after="0" w:line="580"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bookmarkStart w:id="10" w:name="_Toc31877"/>
      <w:r>
        <w:rPr>
          <w:rFonts w:hint="eastAsia" w:ascii="楷体_GB2312" w:hAnsi="楷体_GB2312" w:eastAsia="楷体_GB2312" w:cs="楷体_GB2312"/>
          <w:b w:val="0"/>
          <w:bCs w:val="0"/>
          <w:color w:val="auto"/>
          <w:kern w:val="2"/>
          <w:sz w:val="32"/>
          <w:szCs w:val="32"/>
          <w:lang w:val="en-US" w:eastAsia="zh-CN" w:bidi="ar-SA"/>
        </w:rPr>
        <w:t>（三）</w:t>
      </w:r>
      <w:bookmarkEnd w:id="9"/>
      <w:bookmarkEnd w:id="10"/>
      <w:bookmarkStart w:id="11" w:name="_Toc22106"/>
      <w:r>
        <w:rPr>
          <w:rFonts w:hint="eastAsia" w:ascii="楷体_GB2312" w:hAnsi="楷体_GB2312" w:eastAsia="楷体_GB2312" w:cs="楷体_GB2312"/>
          <w:b w:val="0"/>
          <w:bCs w:val="0"/>
          <w:color w:val="auto"/>
          <w:kern w:val="2"/>
          <w:sz w:val="32"/>
          <w:szCs w:val="32"/>
          <w:lang w:val="en-US" w:eastAsia="zh-CN" w:bidi="ar-SA"/>
        </w:rPr>
        <w:t>项目产出情况</w:t>
      </w:r>
      <w:bookmarkEnd w:id="11"/>
    </w:p>
    <w:p>
      <w:pPr>
        <w:pageBreakBefore w:val="0"/>
        <w:widowControl w:val="0"/>
        <w:kinsoku/>
        <w:wordWrap/>
        <w:overflowPunct/>
        <w:autoSpaceDE/>
        <w:autoSpaceDN/>
        <w:bidi w:val="0"/>
        <w:spacing w:line="580" w:lineRule="exact"/>
        <w:ind w:firstLine="640" w:firstLineChars="200"/>
        <w:jc w:val="both"/>
        <w:textAlignment w:val="auto"/>
        <w:rPr>
          <w:rFonts w:hint="eastAsia" w:ascii="仿宋_GB2312" w:hAnsi="仿宋_GB2312" w:eastAsia="仿宋_GB2312" w:cs="仿宋_GB2312"/>
          <w:lang w:val="en-US" w:eastAsia="zh-CN"/>
        </w:rPr>
      </w:pPr>
      <w:r>
        <w:rPr>
          <w:rFonts w:hint="eastAsia"/>
          <w:lang w:val="en-US" w:eastAsia="zh-CN"/>
        </w:rPr>
        <w:t>项目</w:t>
      </w:r>
      <w:r>
        <w:rPr>
          <w:rFonts w:hint="default"/>
          <w:lang w:val="en-US" w:eastAsia="zh-CN"/>
        </w:rPr>
        <w:t>产出情况从产出数量、产出质量、</w:t>
      </w:r>
      <w:r>
        <w:rPr>
          <w:rFonts w:hint="eastAsia"/>
          <w:lang w:val="en-US" w:eastAsia="zh-CN"/>
        </w:rPr>
        <w:t>产出时效和</w:t>
      </w:r>
      <w:r>
        <w:rPr>
          <w:rFonts w:hint="default"/>
          <w:lang w:val="en-US" w:eastAsia="zh-CN"/>
        </w:rPr>
        <w:t>产出</w:t>
      </w:r>
      <w:r>
        <w:rPr>
          <w:rFonts w:hint="eastAsia"/>
          <w:lang w:val="en-US" w:eastAsia="zh-CN"/>
        </w:rPr>
        <w:t>成本四</w:t>
      </w:r>
      <w:r>
        <w:rPr>
          <w:rFonts w:hint="eastAsia" w:ascii="仿宋_GB2312" w:hAnsi="仿宋_GB2312" w:eastAsia="仿宋_GB2312" w:cs="仿宋_GB2312"/>
          <w:lang w:val="en-US" w:eastAsia="zh-CN"/>
        </w:rPr>
        <w:t>个方面对菏泽市第三方质量安全辅助巡查服务项目的产出情况进行考察。产出类设置指标分值共计20分，实际得分20分，得分率为100%（各指标得分情况详见下表4-3）。</w:t>
      </w:r>
    </w:p>
    <w:p>
      <w:pPr>
        <w:bidi w:val="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表4-3 项目产出得分汇总表</w:t>
      </w:r>
    </w:p>
    <w:tbl>
      <w:tblPr>
        <w:tblStyle w:val="26"/>
        <w:tblW w:w="9157" w:type="dxa"/>
        <w:tblInd w:w="-1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gridCol w:w="5100"/>
        <w:gridCol w:w="775"/>
        <w:gridCol w:w="788"/>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trPr>
        <w:tc>
          <w:tcPr>
            <w:tcW w:w="146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二级指标</w:t>
            </w:r>
          </w:p>
        </w:tc>
        <w:tc>
          <w:tcPr>
            <w:tcW w:w="510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三级指标</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分值</w:t>
            </w:r>
          </w:p>
        </w:tc>
        <w:tc>
          <w:tcPr>
            <w:tcW w:w="78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得分</w:t>
            </w:r>
          </w:p>
        </w:tc>
        <w:tc>
          <w:tcPr>
            <w:tcW w:w="103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blHeader/>
        </w:trPr>
        <w:tc>
          <w:tcPr>
            <w:tcW w:w="146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产出数量</w:t>
            </w:r>
          </w:p>
        </w:tc>
        <w:tc>
          <w:tcPr>
            <w:tcW w:w="510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全年巡查轮数</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78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103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blHeader/>
        </w:trPr>
        <w:tc>
          <w:tcPr>
            <w:tcW w:w="146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510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全年巡查项目数量</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78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103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blHeader/>
        </w:trPr>
        <w:tc>
          <w:tcPr>
            <w:tcW w:w="146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510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起重机械安全检查数量</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03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blHeader/>
        </w:trPr>
        <w:tc>
          <w:tcPr>
            <w:tcW w:w="146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510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预拌混凝土、砖砌体、砌筑砂浆抽查完成率</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03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blHeader/>
        </w:trPr>
        <w:tc>
          <w:tcPr>
            <w:tcW w:w="146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510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钢筋、保温材料、防水材料抽查完成率</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03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blHeader/>
        </w:trPr>
        <w:tc>
          <w:tcPr>
            <w:tcW w:w="146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产出质量</w:t>
            </w:r>
          </w:p>
        </w:tc>
        <w:tc>
          <w:tcPr>
            <w:tcW w:w="510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安全巡查流程合规率</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03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blHeader/>
        </w:trPr>
        <w:tc>
          <w:tcPr>
            <w:tcW w:w="146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510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项目整改达标率</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03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blHeader/>
        </w:trPr>
        <w:tc>
          <w:tcPr>
            <w:tcW w:w="146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产出时效</w:t>
            </w:r>
          </w:p>
        </w:tc>
        <w:tc>
          <w:tcPr>
            <w:tcW w:w="510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安全巡查完成及时性</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03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blHeader/>
        </w:trPr>
        <w:tc>
          <w:tcPr>
            <w:tcW w:w="146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产出成本</w:t>
            </w:r>
          </w:p>
        </w:tc>
        <w:tc>
          <w:tcPr>
            <w:tcW w:w="510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项目采购成本节约率</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78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03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blHeader/>
        </w:trPr>
        <w:tc>
          <w:tcPr>
            <w:tcW w:w="6562"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合计</w:t>
            </w:r>
          </w:p>
        </w:tc>
        <w:tc>
          <w:tcPr>
            <w:tcW w:w="77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20</w:t>
            </w:r>
          </w:p>
        </w:tc>
        <w:tc>
          <w:tcPr>
            <w:tcW w:w="78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20</w:t>
            </w:r>
          </w:p>
        </w:tc>
        <w:tc>
          <w:tcPr>
            <w:tcW w:w="103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bl>
    <w:p>
      <w:pPr>
        <w:pStyle w:val="5"/>
        <w:numPr>
          <w:ilvl w:val="1"/>
          <w:numId w:val="0"/>
        </w:numPr>
        <w:bidi w:val="0"/>
        <w:ind w:leftChars="200"/>
        <w:rPr>
          <w:rFonts w:hint="eastAsia"/>
          <w:lang w:val="en-US" w:eastAsia="zh-CN"/>
        </w:rPr>
      </w:pPr>
      <w:r>
        <w:rPr>
          <w:rFonts w:hint="eastAsia" w:ascii="楷体_GB2312" w:hAnsi="楷体_GB2312" w:eastAsia="楷体_GB2312" w:cs="楷体_GB2312"/>
          <w:b w:val="0"/>
          <w:bCs w:val="0"/>
          <w:color w:val="auto"/>
          <w:kern w:val="2"/>
          <w:sz w:val="32"/>
          <w:szCs w:val="32"/>
          <w:lang w:val="en-US" w:eastAsia="zh-CN" w:bidi="ar-SA"/>
        </w:rPr>
        <w:t>（四）</w:t>
      </w:r>
      <w:bookmarkStart w:id="12" w:name="_Toc25791"/>
      <w:r>
        <w:rPr>
          <w:rFonts w:hint="eastAsia" w:ascii="楷体_GB2312" w:hAnsi="楷体_GB2312" w:eastAsia="楷体_GB2312" w:cs="楷体_GB2312"/>
          <w:b w:val="0"/>
          <w:bCs w:val="0"/>
          <w:color w:val="auto"/>
          <w:kern w:val="2"/>
          <w:sz w:val="32"/>
          <w:szCs w:val="32"/>
          <w:lang w:val="en-US" w:eastAsia="zh-CN" w:bidi="ar-SA"/>
        </w:rPr>
        <w:t>项目效益指标</w:t>
      </w:r>
      <w:bookmarkEnd w:id="12"/>
    </w:p>
    <w:p>
      <w:pPr>
        <w:bidi w:val="0"/>
        <w:rPr>
          <w:rFonts w:hint="eastAsia" w:ascii="仿宋_GB2312" w:hAnsi="仿宋_GB2312" w:eastAsia="仿宋_GB2312" w:cs="仿宋_GB2312"/>
          <w:lang w:val="en-US" w:eastAsia="zh-CN"/>
        </w:rPr>
      </w:pPr>
      <w:r>
        <w:rPr>
          <w:rFonts w:hint="eastAsia"/>
          <w:lang w:val="en-US" w:eastAsia="zh-CN"/>
        </w:rPr>
        <w:t>项目实施效益</w:t>
      </w:r>
      <w:r>
        <w:rPr>
          <w:rFonts w:hint="default"/>
          <w:lang w:val="en-US" w:eastAsia="zh-CN"/>
        </w:rPr>
        <w:t>从社会效益、</w:t>
      </w:r>
      <w:r>
        <w:rPr>
          <w:rFonts w:hint="eastAsia"/>
          <w:lang w:val="en-US" w:eastAsia="zh-CN"/>
        </w:rPr>
        <w:t>可持续影响</w:t>
      </w:r>
      <w:r>
        <w:rPr>
          <w:rFonts w:hint="default"/>
          <w:lang w:val="en-US" w:eastAsia="zh-CN"/>
        </w:rPr>
        <w:t>、满意度三个方面对菏泽市</w:t>
      </w:r>
      <w:r>
        <w:rPr>
          <w:rFonts w:hint="eastAsia"/>
          <w:lang w:val="en-US" w:eastAsia="zh-CN"/>
        </w:rPr>
        <w:t>第三方质量安全辅助巡查服务项目</w:t>
      </w:r>
      <w:r>
        <w:rPr>
          <w:rFonts w:hint="default"/>
          <w:lang w:val="en-US" w:eastAsia="zh-CN"/>
        </w:rPr>
        <w:t>的效益情况进行考察。政策效益类设置指</w:t>
      </w:r>
      <w:r>
        <w:rPr>
          <w:rFonts w:hint="eastAsia" w:ascii="仿宋_GB2312" w:hAnsi="仿宋_GB2312" w:eastAsia="仿宋_GB2312" w:cs="仿宋_GB2312"/>
          <w:lang w:val="en-US" w:eastAsia="zh-CN"/>
        </w:rPr>
        <w:t>标分值共计10分，实际得分7分，得分率为70%（各指标得分情况详见下表4-4）。</w:t>
      </w:r>
    </w:p>
    <w:p>
      <w:pPr>
        <w:bidi w:val="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表4-4 项目效益得分汇总表</w:t>
      </w:r>
    </w:p>
    <w:tbl>
      <w:tblPr>
        <w:tblStyle w:val="26"/>
        <w:tblW w:w="9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3777"/>
        <w:gridCol w:w="1066"/>
        <w:gridCol w:w="1381"/>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134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二级指标</w:t>
            </w:r>
          </w:p>
        </w:tc>
        <w:tc>
          <w:tcPr>
            <w:tcW w:w="377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三级指标</w:t>
            </w:r>
          </w:p>
        </w:tc>
        <w:tc>
          <w:tcPr>
            <w:tcW w:w="106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分值</w:t>
            </w:r>
          </w:p>
        </w:tc>
        <w:tc>
          <w:tcPr>
            <w:tcW w:w="138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得分</w:t>
            </w:r>
          </w:p>
        </w:tc>
        <w:tc>
          <w:tcPr>
            <w:tcW w:w="148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jc w:val="center"/>
        </w:trPr>
        <w:tc>
          <w:tcPr>
            <w:tcW w:w="134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社会效益</w:t>
            </w:r>
          </w:p>
        </w:tc>
        <w:tc>
          <w:tcPr>
            <w:tcW w:w="377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建设施工企业安全意识提升程度</w:t>
            </w:r>
          </w:p>
        </w:tc>
        <w:tc>
          <w:tcPr>
            <w:tcW w:w="106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138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148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jc w:val="center"/>
        </w:trPr>
        <w:tc>
          <w:tcPr>
            <w:tcW w:w="134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可持续影响</w:t>
            </w:r>
          </w:p>
        </w:tc>
        <w:tc>
          <w:tcPr>
            <w:tcW w:w="377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质量安全监管机制持续完善程度</w:t>
            </w:r>
          </w:p>
        </w:tc>
        <w:tc>
          <w:tcPr>
            <w:tcW w:w="106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3</w:t>
            </w:r>
          </w:p>
        </w:tc>
        <w:tc>
          <w:tcPr>
            <w:tcW w:w="138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w:t>
            </w:r>
          </w:p>
        </w:tc>
        <w:tc>
          <w:tcPr>
            <w:tcW w:w="148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1340"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满意度</w:t>
            </w:r>
          </w:p>
        </w:tc>
        <w:tc>
          <w:tcPr>
            <w:tcW w:w="377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施工单位满意度</w:t>
            </w:r>
          </w:p>
        </w:tc>
        <w:tc>
          <w:tcPr>
            <w:tcW w:w="106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38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48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jc w:val="center"/>
        </w:trPr>
        <w:tc>
          <w:tcPr>
            <w:tcW w:w="1340"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val="0"/>
                <w:bCs w:val="0"/>
                <w:sz w:val="21"/>
                <w:szCs w:val="21"/>
                <w:vertAlign w:val="baseline"/>
                <w:lang w:val="en-US" w:eastAsia="zh-CN"/>
              </w:rPr>
            </w:pPr>
          </w:p>
        </w:tc>
        <w:tc>
          <w:tcPr>
            <w:tcW w:w="377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采购人满意度</w:t>
            </w:r>
          </w:p>
        </w:tc>
        <w:tc>
          <w:tcPr>
            <w:tcW w:w="106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38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c>
          <w:tcPr>
            <w:tcW w:w="148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blHeader/>
          <w:jc w:val="center"/>
        </w:trPr>
        <w:tc>
          <w:tcPr>
            <w:tcW w:w="5117"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合计</w:t>
            </w:r>
          </w:p>
        </w:tc>
        <w:tc>
          <w:tcPr>
            <w:tcW w:w="106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10</w:t>
            </w:r>
          </w:p>
        </w:tc>
        <w:tc>
          <w:tcPr>
            <w:tcW w:w="138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7</w:t>
            </w:r>
          </w:p>
        </w:tc>
        <w:tc>
          <w:tcPr>
            <w:tcW w:w="1486"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70%</w:t>
            </w:r>
          </w:p>
        </w:tc>
      </w:tr>
    </w:tbl>
    <w:p>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firstLine="640" w:firstLineChars="200"/>
        <w:textAlignment w:val="auto"/>
        <w:rPr>
          <w:rFonts w:hint="eastAsia" w:eastAsia="黑体"/>
          <w:color w:val="auto"/>
          <w:lang w:eastAsia="zh-CN"/>
        </w:rPr>
      </w:pPr>
      <w:bookmarkStart w:id="13" w:name="_Toc11563"/>
      <w:r>
        <w:rPr>
          <w:rFonts w:hint="eastAsia"/>
          <w:color w:val="auto"/>
          <w:lang w:eastAsia="zh-CN"/>
        </w:rPr>
        <w:t>五、</w:t>
      </w:r>
      <w:bookmarkEnd w:id="13"/>
      <w:r>
        <w:rPr>
          <w:rFonts w:hint="eastAsia"/>
          <w:color w:val="auto"/>
          <w:lang w:val="en-US" w:eastAsia="zh-CN"/>
        </w:rPr>
        <w:t>主要绩效</w:t>
      </w:r>
    </w:p>
    <w:p>
      <w:pPr>
        <w:pStyle w:val="23"/>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是本项目是通过竞争性磋商的政府购买服务方式，既能通过各个供应商的报价、比价来节约财政资金的使用，提高财政资金的使用效率，又能通过专家评审选出业务能力更强、专业素质更高的供应商提供更为优质的服务，保证项目的实施效益。</w:t>
      </w:r>
    </w:p>
    <w:p>
      <w:pPr>
        <w:pStyle w:val="23"/>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仿宋_GB2312" w:hAnsi="仿宋_GB2312" w:eastAsia="仿宋_GB2312" w:cs="仿宋_GB2312"/>
          <w:b w:val="0"/>
          <w:bCs/>
          <w:kern w:val="2"/>
          <w:sz w:val="32"/>
          <w:szCs w:val="32"/>
          <w:lang w:val="en-US" w:eastAsia="zh-CN" w:bidi="zh-CN"/>
        </w:rPr>
      </w:pPr>
      <w:r>
        <w:rPr>
          <w:rFonts w:hint="eastAsia" w:ascii="仿宋_GB2312" w:hAnsi="仿宋_GB2312" w:eastAsia="仿宋_GB2312" w:cs="仿宋_GB2312"/>
          <w:b w:val="0"/>
          <w:bCs w:val="0"/>
          <w:kern w:val="2"/>
          <w:sz w:val="32"/>
          <w:szCs w:val="32"/>
          <w:lang w:val="en-US" w:eastAsia="zh-CN" w:bidi="ar-SA"/>
        </w:rPr>
        <w:t>二是通过专业的第三方对菏泽市在建工程项目现场包括工程实体质量情况、重点材料质量抽测情况、施工现场安全生产情况、内业资料整理情况以及受检工程各参建主体质量安全行为情况等进行巡查，切实加强菏泽市建设工程项目各环节质量、安全监管力度，进一步完善质量安全监管机制，全面掌握施工现场生产活动状况，调动建设、施工、监理等各方责任主体提升质量安全的主观能动性，全面推动菏泽市工程质量安全水平的提升，减少安全事故的发生。</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630" w:leftChars="0"/>
        <w:textAlignment w:val="auto"/>
        <w:rPr>
          <w:color w:val="auto"/>
        </w:rPr>
      </w:pPr>
      <w:bookmarkStart w:id="14" w:name="_Toc21968"/>
      <w:r>
        <w:rPr>
          <w:rFonts w:hint="eastAsia"/>
          <w:color w:val="auto"/>
          <w:lang w:eastAsia="zh-CN"/>
        </w:rPr>
        <w:t>六、</w:t>
      </w:r>
      <w:r>
        <w:rPr>
          <w:color w:val="auto"/>
        </w:rPr>
        <w:t>存在的问题</w:t>
      </w:r>
      <w:bookmarkEnd w:id="14"/>
    </w:p>
    <w:p>
      <w:pPr>
        <w:bidi w:val="0"/>
        <w:rPr>
          <w:rFonts w:hint="eastAsia"/>
          <w:lang w:val="en-US" w:eastAsia="zh-CN"/>
        </w:rPr>
      </w:pPr>
      <w:r>
        <w:rPr>
          <w:rFonts w:hint="eastAsia"/>
          <w:lang w:val="en-US" w:eastAsia="zh-CN"/>
        </w:rPr>
        <w:t>（一）绩效指标设置不够细化、量化，部分绩效指标表述不够明确，指标值设置较低</w:t>
      </w:r>
    </w:p>
    <w:p>
      <w:pPr>
        <w:bidi w:val="0"/>
        <w:rPr>
          <w:rFonts w:hint="eastAsia"/>
          <w:lang w:val="en-US" w:eastAsia="zh-CN"/>
        </w:rPr>
      </w:pPr>
      <w:r>
        <w:rPr>
          <w:rFonts w:hint="eastAsia"/>
          <w:lang w:val="en-US" w:eastAsia="zh-CN"/>
        </w:rPr>
        <w:t>根据本项目的绩效目标申报表，部分指标未对项目实施实际内容作出规定，指标设置过于宽泛，不够细化、量化；部分指标设置表述不够明确，无法对指标完成情况作出明确判断；部分指标值设置要求过低，指标值设置不具有挑战性。</w:t>
      </w:r>
    </w:p>
    <w:p>
      <w:pPr>
        <w:bidi w:val="0"/>
        <w:rPr>
          <w:rFonts w:hint="eastAsia"/>
          <w:lang w:val="en-US" w:eastAsia="zh-CN"/>
        </w:rPr>
      </w:pPr>
      <w:r>
        <w:rPr>
          <w:rFonts w:hint="eastAsia"/>
          <w:lang w:val="en-US" w:eastAsia="zh-CN"/>
        </w:rPr>
        <w:t>（二）招标文件要求制定不合理</w:t>
      </w:r>
    </w:p>
    <w:p>
      <w:pPr>
        <w:bidi w:val="0"/>
        <w:rPr>
          <w:rFonts w:hint="eastAsia"/>
          <w:lang w:val="en-US" w:eastAsia="zh-CN"/>
        </w:rPr>
      </w:pPr>
      <w:r>
        <w:rPr>
          <w:rFonts w:hint="eastAsia"/>
          <w:lang w:val="en-US" w:eastAsia="zh-CN"/>
        </w:rPr>
        <w:t>由于招标文件中对于投标单位资质要求中未对材料检验相关资质作出要求，且供应商须知不允许任何情况的转包和分包，导致中标单位由于自身不具备此类资质，将重点材料的质量抽测并出具检测报告分包给了其他的检测单位，与招标文件要求发生冲突。</w:t>
      </w:r>
    </w:p>
    <w:p>
      <w:pPr>
        <w:bidi w:val="0"/>
        <w:rPr>
          <w:rFonts w:hint="eastAsia"/>
          <w:lang w:val="en-US" w:eastAsia="zh-CN"/>
        </w:rPr>
      </w:pPr>
      <w:r>
        <w:rPr>
          <w:rFonts w:hint="eastAsia"/>
          <w:lang w:val="en-US" w:eastAsia="zh-CN"/>
        </w:rPr>
        <w:t>（三）未建立不相容岗位分离制度，关联岗位互相分离落实不到位</w:t>
      </w:r>
    </w:p>
    <w:p>
      <w:pPr>
        <w:bidi w:val="0"/>
        <w:rPr>
          <w:rFonts w:hint="eastAsia"/>
          <w:lang w:val="en-US" w:eastAsia="zh-CN"/>
        </w:rPr>
      </w:pPr>
      <w:r>
        <w:rPr>
          <w:rFonts w:hint="eastAsia"/>
          <w:lang w:val="en-US" w:eastAsia="zh-CN"/>
        </w:rPr>
        <w:t>采购人菏泽市住房和城乡建设局针对项目管理未能建立不相容岗位分离制度，未能落实采购需求制定与内部审核、采购文件编制与复审、采购评审与结果确定、采购组织与履约验收、合同签订与验收评价等关联岗位的互相分离，岗位设置的分工及责任划分不够明确。</w:t>
      </w:r>
    </w:p>
    <w:p>
      <w:pPr>
        <w:bidi w:val="0"/>
        <w:rPr>
          <w:rFonts w:hint="eastAsia"/>
          <w:lang w:val="en-US" w:eastAsia="zh-CN"/>
        </w:rPr>
      </w:pPr>
      <w:r>
        <w:rPr>
          <w:rFonts w:hint="eastAsia"/>
          <w:lang w:val="en-US" w:eastAsia="zh-CN"/>
        </w:rPr>
        <w:t>（四）资金支付未能按照合同要求时间进行，存在提前付款的现象</w:t>
      </w:r>
    </w:p>
    <w:p>
      <w:pPr>
        <w:bidi w:val="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根据2021年5月21日签订的政府购买服务合同要求，采购人菏泽市住房和城乡建设局应在合同签订生效后支付合同价款的10%，巡查服务期间按时出具巡查评估报告，合同履行9个月结束后付至合同价款的75%，合同履行第12个月服务完毕后付清尾款。实际未按照合同要求时间段付款，存在提前付款现象。</w:t>
      </w:r>
    </w:p>
    <w:p>
      <w:pPr>
        <w:bidi w:val="0"/>
        <w:rPr>
          <w:rFonts w:hint="eastAsia"/>
          <w:lang w:val="en-US" w:eastAsia="zh-CN"/>
        </w:rPr>
      </w:pPr>
      <w:r>
        <w:rPr>
          <w:rFonts w:hint="eastAsia"/>
          <w:lang w:val="en-US" w:eastAsia="zh-CN"/>
        </w:rPr>
        <w:t>（五）未能按照规定及时在山东政府采购网公开验收报告</w:t>
      </w:r>
    </w:p>
    <w:p>
      <w:pPr>
        <w:bidi w:val="0"/>
        <w:rPr>
          <w:rFonts w:hint="eastAsia"/>
          <w:lang w:val="en-US" w:eastAsia="zh-CN"/>
        </w:rPr>
      </w:pPr>
      <w:r>
        <w:rPr>
          <w:rFonts w:hint="eastAsia"/>
          <w:lang w:val="en-US" w:eastAsia="zh-CN"/>
        </w:rPr>
        <w:t>采购人菏泽市住房和城乡建设局虽按照规定流程及要求组织了采购项目履约验收，但未能按照《山东省政府采购信息发布管理办法》规定将验收报告及时公开在山东政府采购网上。</w:t>
      </w:r>
    </w:p>
    <w:p>
      <w:pPr>
        <w:bidi w:val="0"/>
        <w:rPr>
          <w:rFonts w:hint="eastAsia"/>
          <w:lang w:val="en-US" w:eastAsia="zh-CN"/>
        </w:rPr>
      </w:pPr>
      <w:r>
        <w:rPr>
          <w:rFonts w:hint="eastAsia"/>
          <w:lang w:val="en-US" w:eastAsia="zh-CN"/>
        </w:rPr>
        <w:t>（六）主管部门未能根据采购需求及项目实施目的逐渐完善质量安全监管机制</w:t>
      </w:r>
    </w:p>
    <w:p>
      <w:pPr>
        <w:bidi w:val="0"/>
        <w:rPr>
          <w:rFonts w:hint="eastAsia" w:cstheme="minorBidi"/>
          <w:b w:val="0"/>
          <w:kern w:val="2"/>
          <w:szCs w:val="32"/>
          <w:lang w:val="en-US" w:eastAsia="zh-CN" w:bidi="ar-SA"/>
        </w:rPr>
      </w:pPr>
      <w:r>
        <w:rPr>
          <w:rFonts w:hint="eastAsia"/>
          <w:lang w:val="en-US" w:eastAsia="zh-CN"/>
        </w:rPr>
        <w:t>根据项目的实施目的及采购需求，通过项目实施切实加强菏泽市建设工程项目各环节质量、安全监管力度，进一步完善质量安全监管机制，全面掌握施工现场生产活动状况。主管部门未能通过项目的实施进一步完善质量安全监管机制。</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left="630" w:leftChars="0"/>
        <w:textAlignment w:val="auto"/>
        <w:rPr>
          <w:rFonts w:hint="default" w:ascii="仿宋_GB2312" w:hAnsi="仿宋_GB2312" w:eastAsia="仿宋_GB2312" w:cs="仿宋_GB2312"/>
          <w:color w:val="000000"/>
          <w:kern w:val="2"/>
          <w:sz w:val="32"/>
          <w:szCs w:val="32"/>
          <w:lang w:val="en-US" w:eastAsia="zh-CN" w:bidi="zh-CN"/>
        </w:rPr>
      </w:pPr>
      <w:bookmarkStart w:id="15" w:name="_Toc17717"/>
      <w:bookmarkStart w:id="16" w:name="_GoBack"/>
      <w:bookmarkEnd w:id="16"/>
      <w:r>
        <w:rPr>
          <w:rFonts w:hint="eastAsia"/>
          <w:color w:val="auto"/>
          <w:lang w:eastAsia="zh-CN"/>
        </w:rPr>
        <w:t>七、</w:t>
      </w:r>
      <w:r>
        <w:rPr>
          <w:rFonts w:hint="eastAsia"/>
          <w:color w:val="auto"/>
          <w:lang w:val="en-US" w:eastAsia="zh-CN"/>
        </w:rPr>
        <w:t>整改</w:t>
      </w:r>
      <w:r>
        <w:rPr>
          <w:color w:val="auto"/>
        </w:rPr>
        <w:t>建议</w:t>
      </w:r>
      <w:bookmarkEnd w:id="15"/>
    </w:p>
    <w:p>
      <w:pPr>
        <w:bidi w:val="0"/>
        <w:rPr>
          <w:rFonts w:hint="eastAsia"/>
          <w:lang w:val="en-US" w:eastAsia="zh-CN"/>
        </w:rPr>
      </w:pPr>
      <w:r>
        <w:rPr>
          <w:rFonts w:hint="eastAsia"/>
          <w:lang w:val="en-US" w:eastAsia="zh-CN"/>
        </w:rPr>
        <w:t>（一）建议主管部门加强绩效管理工作，全面、明确的编制项目绩效目标，细化、量化绩效指标</w:t>
      </w:r>
    </w:p>
    <w:p>
      <w:pPr>
        <w:bidi w:val="0"/>
        <w:rPr>
          <w:rFonts w:hint="eastAsia"/>
          <w:lang w:val="en-US" w:eastAsia="zh-CN"/>
        </w:rPr>
      </w:pPr>
      <w:r>
        <w:rPr>
          <w:rFonts w:hint="eastAsia"/>
          <w:lang w:val="en-US" w:eastAsia="zh-CN"/>
        </w:rPr>
        <w:t>建议主管部门逐步规范项目绩效管理工作，在编制绩效目标申报表时全面考虑项目产出数量、产出质量、产出时效、产出成本等各方面指标，尽量做到对项目实施内容要求的全覆盖，对绩效指标进行细化、量化，绩效指标名称表述明确，以便于进行清晰衡量，指标值设置不能过低，应具有挑战性，逐步建立起规范的绩效管理机制。</w:t>
      </w:r>
    </w:p>
    <w:p>
      <w:pPr>
        <w:bidi w:val="0"/>
        <w:rPr>
          <w:rFonts w:hint="eastAsia"/>
          <w:lang w:val="en-US" w:eastAsia="zh-CN"/>
        </w:rPr>
      </w:pPr>
      <w:r>
        <w:rPr>
          <w:rFonts w:hint="eastAsia"/>
          <w:lang w:val="en-US" w:eastAsia="zh-CN"/>
        </w:rPr>
        <w:t>（二）建议主管部门将业务部分进行划分，分标包进行招标，或对供应商要求进行放宽，允许部分特殊情况的转包和分包</w:t>
      </w:r>
    </w:p>
    <w:p>
      <w:pPr>
        <w:bidi w:val="0"/>
        <w:rPr>
          <w:rFonts w:hint="eastAsia"/>
          <w:lang w:val="en-US" w:eastAsia="zh-CN"/>
        </w:rPr>
      </w:pPr>
      <w:r>
        <w:rPr>
          <w:rFonts w:hint="eastAsia"/>
          <w:lang w:val="en-US" w:eastAsia="zh-CN"/>
        </w:rPr>
        <w:t>由于本项目涉及施工现场工程实体质量情况、施工现场安全生产情况、内业资料整理情况、受检工程质量安全行为情况、起重机安全检查等内容，涉及业务范围较广，资质齐全公司较少，建议主管部门将业务部分进行划分，分标包进行招标，或对供应商要求进行放宽，允许部分因资质不足的转包和分包。</w:t>
      </w:r>
    </w:p>
    <w:p>
      <w:pPr>
        <w:bidi w:val="0"/>
        <w:rPr>
          <w:rFonts w:hint="eastAsia"/>
          <w:lang w:val="en-US" w:eastAsia="zh-CN"/>
        </w:rPr>
      </w:pPr>
      <w:r>
        <w:rPr>
          <w:rFonts w:hint="eastAsia"/>
          <w:lang w:val="en-US" w:eastAsia="zh-CN"/>
        </w:rPr>
        <w:t>（三）建议主管部门建立不相容岗位分离制度，落实关联岗位的互相分离</w:t>
      </w:r>
    </w:p>
    <w:p>
      <w:pPr>
        <w:bidi w:val="0"/>
        <w:rPr>
          <w:rFonts w:hint="eastAsia"/>
          <w:lang w:val="en-US" w:eastAsia="zh-CN"/>
        </w:rPr>
      </w:pPr>
      <w:r>
        <w:rPr>
          <w:rFonts w:hint="eastAsia"/>
          <w:lang w:val="en-US" w:eastAsia="zh-CN"/>
        </w:rPr>
        <w:t>建议主管部门根据岗位设置落实采购需求制定与内部审核、采购文件编制与复审、采购评审与结果确定、采购组织与履约验收、合同签订与验收评价等关联岗位的互相分离，建立不相容岗位分离制度的，且岗位设置分工明确、责任明确，对关键岗位实施重点监督和定期轮岗。</w:t>
      </w:r>
    </w:p>
    <w:p>
      <w:pPr>
        <w:bidi w:val="0"/>
        <w:rPr>
          <w:rFonts w:hint="eastAsia"/>
          <w:lang w:val="en-US" w:eastAsia="zh-CN"/>
        </w:rPr>
      </w:pPr>
      <w:r>
        <w:rPr>
          <w:rFonts w:hint="eastAsia"/>
          <w:lang w:val="en-US" w:eastAsia="zh-CN"/>
        </w:rPr>
        <w:t>（四）建议主管部门的资金支付严格按照合同规定执行</w:t>
      </w:r>
    </w:p>
    <w:p>
      <w:pPr>
        <w:bidi w:val="0"/>
        <w:rPr>
          <w:rFonts w:hint="eastAsia"/>
          <w:lang w:val="en-US" w:eastAsia="zh-CN"/>
        </w:rPr>
      </w:pPr>
      <w:r>
        <w:rPr>
          <w:rFonts w:hint="eastAsia" w:ascii="仿宋_GB2312" w:hAnsi="仿宋_GB2312" w:eastAsia="仿宋_GB2312" w:cs="仿宋_GB2312"/>
          <w:lang w:val="en-US" w:eastAsia="zh-CN"/>
        </w:rPr>
        <w:t>建议主管部门的资金支付严格按照合同规定执行，在收到发票后5个工作</w:t>
      </w:r>
      <w:r>
        <w:rPr>
          <w:rFonts w:hint="eastAsia"/>
          <w:lang w:val="en-US" w:eastAsia="zh-CN"/>
        </w:rPr>
        <w:t>日内对满足合同约定支付条件的及时支付合同资金，既不过早的支付资金，也不拖欠合同款项。</w:t>
      </w:r>
    </w:p>
    <w:p>
      <w:pPr>
        <w:bidi w:val="0"/>
        <w:rPr>
          <w:rFonts w:hint="eastAsia"/>
          <w:lang w:val="en-US" w:eastAsia="zh-CN"/>
        </w:rPr>
      </w:pPr>
      <w:r>
        <w:rPr>
          <w:rFonts w:hint="eastAsia"/>
          <w:lang w:val="en-US" w:eastAsia="zh-CN"/>
        </w:rPr>
        <w:t>（五）建议采购人按照《山东省政府采购信息发布管理办法》及时在山东政府采购网公开验收报告</w:t>
      </w:r>
    </w:p>
    <w:p>
      <w:pPr>
        <w:bidi w:val="0"/>
        <w:rPr>
          <w:rFonts w:hint="eastAsia"/>
          <w:lang w:val="en-US" w:eastAsia="zh-CN"/>
        </w:rPr>
      </w:pPr>
      <w:r>
        <w:rPr>
          <w:rFonts w:hint="eastAsia"/>
          <w:lang w:val="en-US" w:eastAsia="zh-CN"/>
        </w:rPr>
        <w:t>建议采购人合同履约完成后及时组织对第三方质量安全辅助巡查结果的验收，对第三方巡检机构提供的巡检结果、巡检报告及各县区的整改报告进行汇总，并出具最终的验收报告，按照《山东省政府采</w:t>
      </w:r>
      <w:r>
        <w:rPr>
          <w:rFonts w:hint="eastAsia" w:ascii="仿宋_GB2312" w:hAnsi="仿宋_GB2312" w:eastAsia="仿宋_GB2312" w:cs="仿宋_GB2312"/>
          <w:lang w:val="en-US" w:eastAsia="zh-CN"/>
        </w:rPr>
        <w:t>购信息发布管理办法》第二十二条规定：采购人应在政府采购合同履约验收结束后3个工作</w:t>
      </w:r>
      <w:r>
        <w:rPr>
          <w:rFonts w:hint="eastAsia"/>
          <w:lang w:val="en-US" w:eastAsia="zh-CN"/>
        </w:rPr>
        <w:t>日内发布验收结果公告，将验收报告及时公开在山东政府采购网上。</w:t>
      </w:r>
    </w:p>
    <w:p>
      <w:pPr>
        <w:bidi w:val="0"/>
        <w:rPr>
          <w:rFonts w:hint="eastAsia"/>
          <w:lang w:val="en-US" w:eastAsia="zh-CN"/>
        </w:rPr>
      </w:pPr>
      <w:r>
        <w:rPr>
          <w:rFonts w:hint="eastAsia"/>
          <w:lang w:val="en-US" w:eastAsia="zh-CN"/>
        </w:rPr>
        <w:t>（六）建议主管部门根据采购需求及项目实施目的逐渐完善质量安全监管机制</w:t>
      </w:r>
    </w:p>
    <w:p>
      <w:pPr>
        <w:bidi w:val="0"/>
        <w:rPr>
          <w:rFonts w:hint="eastAsia"/>
          <w:lang w:eastAsia="zh-CN"/>
        </w:rPr>
      </w:pPr>
      <w:r>
        <w:rPr>
          <w:rFonts w:hint="eastAsia"/>
          <w:lang w:val="en-US" w:eastAsia="zh-CN"/>
        </w:rPr>
        <w:t>建议主管部门初步建立起质量安全监管机制，并通过第三方质量安全辅助巡查项目的实施切实加强菏泽市建设工程项目各环节质量、安全监管力度，全面掌握施工现场生产活动状况，调动建设、施工、监理等各方责任主体提升质量安全的主观能动性，全面推动菏泽市工程质量安全水平的提升，进一步完善质量安全监管机制。</w:t>
      </w:r>
    </w:p>
    <w:p>
      <w:pPr>
        <w:keepNext w:val="0"/>
        <w:keepLines w:val="0"/>
        <w:pageBreakBefore w:val="0"/>
        <w:widowControl w:val="0"/>
        <w:tabs>
          <w:tab w:val="left" w:pos="312"/>
        </w:tabs>
        <w:kinsoku/>
        <w:wordWrap/>
        <w:overflowPunct/>
        <w:topLinePunct w:val="0"/>
        <w:autoSpaceDE/>
        <w:autoSpaceDN/>
        <w:bidi w:val="0"/>
        <w:adjustRightInd/>
        <w:snapToGrid/>
        <w:spacing w:line="580" w:lineRule="exact"/>
        <w:ind w:left="0" w:leftChars="0" w:firstLine="0" w:firstLineChars="0"/>
        <w:textAlignment w:val="auto"/>
        <w:rPr>
          <w:rFonts w:ascii="Times New Roman" w:hAnsi="Times New Roman" w:eastAsia="仿宋_GB2312" w:cs="Times New Roman"/>
          <w:color w:val="auto"/>
          <w:sz w:val="32"/>
          <w:szCs w:val="32"/>
        </w:rPr>
      </w:pPr>
    </w:p>
    <w:p>
      <w:pPr>
        <w:pageBreakBefore w:val="0"/>
        <w:widowControl w:val="0"/>
        <w:kinsoku/>
        <w:wordWrap/>
        <w:overflowPunct/>
        <w:autoSpaceDE/>
        <w:autoSpaceDN/>
        <w:bidi w:val="0"/>
        <w:spacing w:line="580" w:lineRule="exact"/>
        <w:ind w:firstLine="640" w:firstLineChars="200"/>
        <w:textAlignment w:val="auto"/>
        <w:rPr>
          <w:rFonts w:hint="eastAsia" w:ascii="仿宋_GB2312" w:eastAsia="仿宋_GB2312" w:cs="仿宋_GB2312"/>
          <w:sz w:val="32"/>
          <w:szCs w:val="32"/>
        </w:rPr>
      </w:pPr>
      <w:r>
        <w:rPr>
          <w:rFonts w:ascii="Times New Roman" w:hAnsi="Times New Roman" w:eastAsia="仿宋_GB2312" w:cs="Times New Roman"/>
          <w:color w:val="auto"/>
          <w:sz w:val="32"/>
          <w:szCs w:val="32"/>
        </w:rPr>
        <w:t>附</w:t>
      </w:r>
      <w:r>
        <w:rPr>
          <w:rFonts w:hint="eastAsia" w:ascii="Times New Roman" w:hAnsi="Times New Roman" w:eastAsia="仿宋_GB2312" w:cs="Times New Roman"/>
          <w:color w:val="auto"/>
          <w:sz w:val="32"/>
          <w:szCs w:val="32"/>
          <w:lang w:eastAsia="zh-CN"/>
        </w:rPr>
        <w:t>件</w:t>
      </w:r>
      <w:r>
        <w:rPr>
          <w:rFonts w:ascii="Times New Roman" w:hAnsi="Times New Roman" w:eastAsia="仿宋_GB2312" w:cs="Times New Roman"/>
          <w:color w:val="auto"/>
          <w:sz w:val="32"/>
          <w:szCs w:val="32"/>
        </w:rPr>
        <w:t>：</w:t>
      </w:r>
      <w:r>
        <w:rPr>
          <w:rFonts w:hint="eastAsia" w:ascii="仿宋_GB2312" w:eastAsia="仿宋_GB2312" w:cs="仿宋_GB2312"/>
          <w:sz w:val="32"/>
          <w:szCs w:val="32"/>
        </w:rPr>
        <w:t>1.绩效评价</w:t>
      </w:r>
      <w:r>
        <w:rPr>
          <w:rFonts w:hint="eastAsia" w:ascii="仿宋_GB2312" w:eastAsia="仿宋_GB2312" w:cs="仿宋_GB2312"/>
          <w:sz w:val="32"/>
          <w:szCs w:val="32"/>
          <w:lang w:eastAsia="zh-CN"/>
        </w:rPr>
        <w:t>评</w:t>
      </w:r>
      <w:r>
        <w:rPr>
          <w:rFonts w:hint="eastAsia" w:ascii="仿宋_GB2312" w:eastAsia="仿宋_GB2312" w:cs="仿宋_GB2312"/>
          <w:sz w:val="32"/>
          <w:szCs w:val="32"/>
        </w:rPr>
        <w:t>分表</w:t>
      </w:r>
    </w:p>
    <w:p>
      <w:pPr>
        <w:pageBreakBefore w:val="0"/>
        <w:widowControl w:val="0"/>
        <w:kinsoku/>
        <w:wordWrap/>
        <w:overflowPunct/>
        <w:autoSpaceDE/>
        <w:autoSpaceDN/>
        <w:bidi w:val="0"/>
        <w:spacing w:line="580" w:lineRule="exact"/>
        <w:ind w:firstLine="1600" w:firstLineChars="500"/>
        <w:textAlignment w:val="auto"/>
        <w:rPr>
          <w:rFonts w:hint="eastAsia" w:ascii="仿宋_GB2312" w:eastAsia="仿宋_GB2312" w:cs="仿宋_GB2312"/>
          <w:sz w:val="32"/>
          <w:szCs w:val="32"/>
          <w:lang w:eastAsia="zh-CN"/>
        </w:rPr>
      </w:pPr>
      <w:r>
        <w:rPr>
          <w:rFonts w:hint="eastAsia" w:ascii="仿宋_GB2312" w:eastAsia="仿宋_GB2312" w:cs="仿宋_GB2312"/>
          <w:sz w:val="32"/>
          <w:szCs w:val="32"/>
        </w:rPr>
        <w:t>2.调查问卷及统计分析表</w:t>
      </w:r>
    </w:p>
    <w:p>
      <w:pPr>
        <w:pageBreakBefore w:val="0"/>
        <w:widowControl w:val="0"/>
        <w:kinsoku/>
        <w:wordWrap/>
        <w:overflowPunct/>
        <w:autoSpaceDE/>
        <w:autoSpaceDN/>
        <w:bidi w:val="0"/>
        <w:spacing w:line="580" w:lineRule="exact"/>
        <w:ind w:firstLine="1600" w:firstLineChars="500"/>
        <w:textAlignment w:val="auto"/>
        <w:rPr>
          <w:rFonts w:hint="default"/>
          <w:lang w:val="en-US" w:eastAsia="zh-CN"/>
        </w:rPr>
      </w:pPr>
      <w:r>
        <w:rPr>
          <w:rFonts w:hint="eastAsia" w:ascii="仿宋_GB2312" w:eastAsia="仿宋_GB2312" w:cs="仿宋_GB2312"/>
          <w:sz w:val="32"/>
          <w:szCs w:val="32"/>
        </w:rPr>
        <w:t>3.问题清单</w:t>
      </w:r>
      <w:r>
        <w:rPr>
          <w:rFonts w:hint="eastAsia" w:eastAsia="仿宋_GB2312"/>
          <w:lang w:val="en-US" w:eastAsia="zh-CN"/>
        </w:rPr>
        <w:t xml:space="preserve">    </w:t>
      </w:r>
    </w:p>
    <w:sectPr>
      <w:footerReference r:id="rId5" w:type="default"/>
      <w:pgSz w:w="11906" w:h="16838"/>
      <w:pgMar w:top="2098" w:right="1474" w:bottom="1984" w:left="1587"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F5782B64-E532-4D57-A354-53262847DA1A}"/>
  </w:font>
  <w:font w:name="黑体">
    <w:panose1 w:val="02010609060101010101"/>
    <w:charset w:val="86"/>
    <w:family w:val="auto"/>
    <w:pitch w:val="default"/>
    <w:sig w:usb0="800002BF" w:usb1="38CF7CFA" w:usb2="00000016" w:usb3="00000000" w:csb0="00040001" w:csb1="00000000"/>
    <w:embedRegular r:id="rId2" w:fontKey="{608BA5AD-1D40-4859-8443-4585208391F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embedRegular r:id="rId3" w:fontKey="{99EEAB24-2A77-4CDF-981A-1275BB2B4FAB}"/>
  </w:font>
  <w:font w:name="仿宋_GB2312">
    <w:panose1 w:val="02010609030101010101"/>
    <w:charset w:val="86"/>
    <w:family w:val="modern"/>
    <w:pitch w:val="default"/>
    <w:sig w:usb0="00000001" w:usb1="080E0000" w:usb2="00000000" w:usb3="00000000" w:csb0="00040000" w:csb1="00000000"/>
    <w:embedRegular r:id="rId4" w:fontKey="{5928D91C-6865-4D13-AAD0-F6020A78660F}"/>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5" w:fontKey="{DCD9CE21-B30F-47D0-A88E-302AB76F453B}"/>
  </w:font>
  <w:font w:name="楷体_GB2312">
    <w:panose1 w:val="02010609030101010101"/>
    <w:charset w:val="86"/>
    <w:family w:val="auto"/>
    <w:pitch w:val="default"/>
    <w:sig w:usb0="00000001" w:usb1="080E0000" w:usb2="00000000" w:usb3="00000000" w:csb0="00040000" w:csb1="00000000"/>
    <w:embedRegular r:id="rId6" w:fontKey="{69D90F9B-EF2B-4FAC-9235-051963B7A658}"/>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6498362"/>
    </w:sdtPr>
    <w:sdtEndPr>
      <w:rPr>
        <w:sz w:val="21"/>
        <w:szCs w:val="21"/>
      </w:rPr>
    </w:sdtEndPr>
    <w:sdtContent>
      <w:p>
        <w:pPr>
          <w:pStyle w:val="16"/>
          <w:jc w:val="right"/>
          <w:rPr>
            <w:sz w:val="21"/>
            <w:szCs w:val="21"/>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33 -</w:t>
        </w:r>
        <w:r>
          <w:rPr>
            <w:rFonts w:ascii="宋体" w:hAnsi="宋体"/>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757CBB"/>
    <w:multiLevelType w:val="multilevel"/>
    <w:tmpl w:val="53757CBB"/>
    <w:lvl w:ilvl="0" w:tentative="0">
      <w:start w:val="1"/>
      <w:numFmt w:val="chineseCountingThousand"/>
      <w:pStyle w:val="87"/>
      <w:suff w:val="space"/>
      <w:lvlText w:val="%1、"/>
      <w:lvlJc w:val="left"/>
      <w:pPr>
        <w:ind w:left="0" w:firstLine="0"/>
      </w:pPr>
      <w:rPr>
        <w:rFonts w:hint="eastAsia"/>
      </w:rPr>
    </w:lvl>
    <w:lvl w:ilvl="1" w:tentative="0">
      <w:start w:val="1"/>
      <w:numFmt w:val="chineseCountingThousand"/>
      <w:pStyle w:val="86"/>
      <w:suff w:val="space"/>
      <w:lvlText w:val="（%2）"/>
      <w:lvlJc w:val="left"/>
      <w:pPr>
        <w:ind w:left="0" w:firstLine="0"/>
      </w:pPr>
      <w:rPr>
        <w:rFonts w:hint="eastAsia"/>
      </w:rPr>
    </w:lvl>
    <w:lvl w:ilvl="2" w:tentative="0">
      <w:start w:val="1"/>
      <w:numFmt w:val="decimal"/>
      <w:pStyle w:val="85"/>
      <w:suff w:val="space"/>
      <w:lvlText w:val="%3、"/>
      <w:lvlJc w:val="left"/>
      <w:pPr>
        <w:ind w:left="210" w:firstLine="0"/>
      </w:pPr>
      <w:rPr>
        <w:rFonts w:hint="eastAsia"/>
      </w:rPr>
    </w:lvl>
    <w:lvl w:ilvl="3" w:tentative="0">
      <w:start w:val="1"/>
      <w:numFmt w:val="decimal"/>
      <w:pStyle w:val="84"/>
      <w:suff w:val="space"/>
      <w:lvlText w:val="（%4）"/>
      <w:lvlJc w:val="left"/>
      <w:pPr>
        <w:ind w:left="0" w:firstLine="0"/>
      </w:pPr>
      <w:rPr>
        <w:rFonts w:hint="eastAsia"/>
      </w:rPr>
    </w:lvl>
    <w:lvl w:ilvl="4" w:tentative="0">
      <w:start w:val="1"/>
      <w:numFmt w:val="decimal"/>
      <w:pStyle w:val="83"/>
      <w:suff w:val="space"/>
      <w:lvlText w:val="%5）"/>
      <w:lvlJc w:val="left"/>
      <w:pPr>
        <w:ind w:left="0" w:firstLine="0"/>
      </w:pPr>
      <w:rPr>
        <w:rFonts w:hint="eastAsia"/>
      </w:rPr>
    </w:lvl>
    <w:lvl w:ilvl="5" w:tentative="0">
      <w:start w:val="1"/>
      <w:numFmt w:val="lowerRoman"/>
      <w:suff w:val="space"/>
      <w:lvlText w:val="%6"/>
      <w:lvlJc w:val="left"/>
      <w:pPr>
        <w:ind w:left="-22" w:firstLine="0"/>
      </w:pPr>
      <w:rPr>
        <w:rFonts w:hint="eastAsia"/>
      </w:rPr>
    </w:lvl>
    <w:lvl w:ilvl="6" w:tentative="0">
      <w:start w:val="1"/>
      <w:numFmt w:val="lowerRoman"/>
      <w:suff w:val="space"/>
      <w:lvlText w:val="%7）"/>
      <w:lvlJc w:val="left"/>
      <w:pPr>
        <w:ind w:left="0" w:firstLine="0"/>
      </w:pPr>
      <w:rPr>
        <w:rFonts w:hint="default"/>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610671B8"/>
    <w:multiLevelType w:val="multilevel"/>
    <w:tmpl w:val="610671B8"/>
    <w:lvl w:ilvl="0" w:tentative="0">
      <w:start w:val="1"/>
      <w:numFmt w:val="chineseCountingThousand"/>
      <w:pStyle w:val="4"/>
      <w:suff w:val="nothing"/>
      <w:lvlText w:val="%1、"/>
      <w:lvlJc w:val="left"/>
      <w:pPr>
        <w:ind w:left="415" w:hanging="425"/>
      </w:pPr>
      <w:rPr>
        <w:rFonts w:hint="eastAsia"/>
      </w:rPr>
    </w:lvl>
    <w:lvl w:ilvl="1" w:tentative="0">
      <w:start w:val="1"/>
      <w:numFmt w:val="chineseCountingThousand"/>
      <w:pStyle w:val="5"/>
      <w:suff w:val="nothing"/>
      <w:lvlText w:val="（%2）"/>
      <w:lvlJc w:val="left"/>
      <w:pPr>
        <w:ind w:left="979" w:hanging="567"/>
      </w:pPr>
      <w:rPr>
        <w:rFonts w:hint="eastAsia"/>
      </w:rPr>
    </w:lvl>
    <w:lvl w:ilvl="2" w:tentative="0">
      <w:start w:val="1"/>
      <w:numFmt w:val="decimal"/>
      <w:pStyle w:val="6"/>
      <w:suff w:val="nothing"/>
      <w:lvlText w:val="%3. "/>
      <w:lvlJc w:val="left"/>
      <w:pPr>
        <w:ind w:left="992" w:hanging="567"/>
      </w:pPr>
      <w:rPr>
        <w:rFonts w:hint="eastAsia"/>
      </w:rPr>
    </w:lvl>
    <w:lvl w:ilvl="3" w:tentative="0">
      <w:start w:val="1"/>
      <w:numFmt w:val="decimal"/>
      <w:pStyle w:val="7"/>
      <w:suff w:val="nothing"/>
      <w:lvlText w:val="（%4）"/>
      <w:lvlJc w:val="left"/>
      <w:pPr>
        <w:ind w:left="992" w:hanging="425"/>
      </w:pPr>
      <w:rPr>
        <w:rFonts w:hint="eastAsia"/>
      </w:rPr>
    </w:lvl>
    <w:lvl w:ilvl="4" w:tentative="0">
      <w:start w:val="1"/>
      <w:numFmt w:val="decimal"/>
      <w:pStyle w:val="9"/>
      <w:suff w:val="nothing"/>
      <w:lvlText w:val="%5）"/>
      <w:lvlJc w:val="left"/>
      <w:pPr>
        <w:ind w:left="992" w:hanging="113"/>
      </w:pPr>
      <w:rPr>
        <w:rFonts w:hint="eastAsia"/>
      </w:rPr>
    </w:lvl>
    <w:lvl w:ilvl="5" w:tentative="0">
      <w:start w:val="1"/>
      <w:numFmt w:val="decimal"/>
      <w:pStyle w:val="52"/>
      <w:suff w:val="nothing"/>
      <w:lvlText w:val="附件%6 "/>
      <w:lvlJc w:val="left"/>
      <w:pPr>
        <w:ind w:left="0" w:firstLine="0"/>
      </w:pPr>
      <w:rPr>
        <w:rFonts w:hint="eastAsia"/>
      </w:rPr>
    </w:lvl>
    <w:lvl w:ilvl="6" w:tentative="0">
      <w:start w:val="1"/>
      <w:numFmt w:val="chineseCountingThousand"/>
      <w:suff w:val="nothing"/>
      <w:lvlText w:val="%7、"/>
      <w:lvlJc w:val="left"/>
      <w:pPr>
        <w:ind w:left="992" w:hanging="567"/>
      </w:pPr>
      <w:rPr>
        <w:rFonts w:hint="eastAsia"/>
      </w:rPr>
    </w:lvl>
    <w:lvl w:ilvl="7" w:tentative="0">
      <w:start w:val="1"/>
      <w:numFmt w:val="chineseCountingThousand"/>
      <w:suff w:val="nothing"/>
      <w:lvlText w:val="（%8）"/>
      <w:lvlJc w:val="left"/>
      <w:pPr>
        <w:ind w:left="992" w:hanging="567"/>
      </w:pPr>
      <w:rPr>
        <w:rFonts w:hint="eastAsia"/>
      </w:rPr>
    </w:lvl>
    <w:lvl w:ilvl="8" w:tentative="0">
      <w:start w:val="1"/>
      <w:numFmt w:val="decimal"/>
      <w:suff w:val="nothing"/>
      <w:lvlText w:val="%9. "/>
      <w:lvlJc w:val="left"/>
      <w:pPr>
        <w:ind w:left="992" w:hanging="567"/>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xNTgyZTBmODg5YWU1YWU0NmJmM2VjNTdkN2NjODQifQ=="/>
  </w:docVars>
  <w:rsids>
    <w:rsidRoot w:val="0AE20BD5"/>
    <w:rsid w:val="00015FD7"/>
    <w:rsid w:val="0002605D"/>
    <w:rsid w:val="00026634"/>
    <w:rsid w:val="00035C58"/>
    <w:rsid w:val="0003756A"/>
    <w:rsid w:val="00044534"/>
    <w:rsid w:val="0005304B"/>
    <w:rsid w:val="0005634B"/>
    <w:rsid w:val="00066C9A"/>
    <w:rsid w:val="00071965"/>
    <w:rsid w:val="000723FB"/>
    <w:rsid w:val="00080EB0"/>
    <w:rsid w:val="00083FCC"/>
    <w:rsid w:val="000B4FEE"/>
    <w:rsid w:val="000C0DDB"/>
    <w:rsid w:val="000D60DD"/>
    <w:rsid w:val="000E52A0"/>
    <w:rsid w:val="000E5A47"/>
    <w:rsid w:val="000E6B74"/>
    <w:rsid w:val="000F2B10"/>
    <w:rsid w:val="000F5F7D"/>
    <w:rsid w:val="00102859"/>
    <w:rsid w:val="00102E6B"/>
    <w:rsid w:val="00114DEE"/>
    <w:rsid w:val="00121E22"/>
    <w:rsid w:val="001427B4"/>
    <w:rsid w:val="00147A7E"/>
    <w:rsid w:val="001508C0"/>
    <w:rsid w:val="00155E0B"/>
    <w:rsid w:val="00160AAC"/>
    <w:rsid w:val="00172053"/>
    <w:rsid w:val="001807D4"/>
    <w:rsid w:val="0019781C"/>
    <w:rsid w:val="00197F86"/>
    <w:rsid w:val="001A3651"/>
    <w:rsid w:val="001B24EE"/>
    <w:rsid w:val="001B486E"/>
    <w:rsid w:val="001C1731"/>
    <w:rsid w:val="001C2442"/>
    <w:rsid w:val="001E4440"/>
    <w:rsid w:val="001E5CD8"/>
    <w:rsid w:val="0020492B"/>
    <w:rsid w:val="00207196"/>
    <w:rsid w:val="00211286"/>
    <w:rsid w:val="00222A88"/>
    <w:rsid w:val="00223117"/>
    <w:rsid w:val="00231379"/>
    <w:rsid w:val="0023442A"/>
    <w:rsid w:val="002352F7"/>
    <w:rsid w:val="00235414"/>
    <w:rsid w:val="00237C0D"/>
    <w:rsid w:val="00241BDC"/>
    <w:rsid w:val="00252283"/>
    <w:rsid w:val="002540FB"/>
    <w:rsid w:val="00270F7F"/>
    <w:rsid w:val="00272D30"/>
    <w:rsid w:val="0027484F"/>
    <w:rsid w:val="00277770"/>
    <w:rsid w:val="0028153D"/>
    <w:rsid w:val="002B01E4"/>
    <w:rsid w:val="002B4447"/>
    <w:rsid w:val="002C1F39"/>
    <w:rsid w:val="002C4A12"/>
    <w:rsid w:val="002C597B"/>
    <w:rsid w:val="002D0597"/>
    <w:rsid w:val="002D48A4"/>
    <w:rsid w:val="002E584F"/>
    <w:rsid w:val="002F617F"/>
    <w:rsid w:val="00306E74"/>
    <w:rsid w:val="0031209E"/>
    <w:rsid w:val="00326E74"/>
    <w:rsid w:val="003277D9"/>
    <w:rsid w:val="00341068"/>
    <w:rsid w:val="0034355A"/>
    <w:rsid w:val="00345EF3"/>
    <w:rsid w:val="00356FCE"/>
    <w:rsid w:val="00376361"/>
    <w:rsid w:val="00390FDC"/>
    <w:rsid w:val="0039624B"/>
    <w:rsid w:val="00397DBF"/>
    <w:rsid w:val="003A1D83"/>
    <w:rsid w:val="003C6515"/>
    <w:rsid w:val="003D3060"/>
    <w:rsid w:val="003D697F"/>
    <w:rsid w:val="003F7CFE"/>
    <w:rsid w:val="00422BFD"/>
    <w:rsid w:val="004408E8"/>
    <w:rsid w:val="0044550C"/>
    <w:rsid w:val="004531F9"/>
    <w:rsid w:val="00457F24"/>
    <w:rsid w:val="00465A90"/>
    <w:rsid w:val="00477F73"/>
    <w:rsid w:val="00480444"/>
    <w:rsid w:val="004809B6"/>
    <w:rsid w:val="00486064"/>
    <w:rsid w:val="00493F68"/>
    <w:rsid w:val="004A5E40"/>
    <w:rsid w:val="004D5BB2"/>
    <w:rsid w:val="004E2267"/>
    <w:rsid w:val="004F2B0B"/>
    <w:rsid w:val="004F4DA8"/>
    <w:rsid w:val="00500BCF"/>
    <w:rsid w:val="00517812"/>
    <w:rsid w:val="005228FD"/>
    <w:rsid w:val="00523317"/>
    <w:rsid w:val="0054016F"/>
    <w:rsid w:val="00546D71"/>
    <w:rsid w:val="00550DC5"/>
    <w:rsid w:val="00550E35"/>
    <w:rsid w:val="00560594"/>
    <w:rsid w:val="00560DED"/>
    <w:rsid w:val="00561B4E"/>
    <w:rsid w:val="00567BC1"/>
    <w:rsid w:val="00572C70"/>
    <w:rsid w:val="00584F79"/>
    <w:rsid w:val="005A17F7"/>
    <w:rsid w:val="005A493C"/>
    <w:rsid w:val="005A69AD"/>
    <w:rsid w:val="005B36E6"/>
    <w:rsid w:val="005B6F81"/>
    <w:rsid w:val="005C3390"/>
    <w:rsid w:val="005C4184"/>
    <w:rsid w:val="005C7243"/>
    <w:rsid w:val="005D2573"/>
    <w:rsid w:val="005D4D65"/>
    <w:rsid w:val="005E16C6"/>
    <w:rsid w:val="00607F4F"/>
    <w:rsid w:val="00610C44"/>
    <w:rsid w:val="00641035"/>
    <w:rsid w:val="00651E7A"/>
    <w:rsid w:val="00654C99"/>
    <w:rsid w:val="00655890"/>
    <w:rsid w:val="00666A3C"/>
    <w:rsid w:val="00670309"/>
    <w:rsid w:val="00672BF2"/>
    <w:rsid w:val="00681991"/>
    <w:rsid w:val="006B2B83"/>
    <w:rsid w:val="006B5747"/>
    <w:rsid w:val="006B6D34"/>
    <w:rsid w:val="006C0552"/>
    <w:rsid w:val="006D1706"/>
    <w:rsid w:val="006D38B2"/>
    <w:rsid w:val="006E3C10"/>
    <w:rsid w:val="00720FD6"/>
    <w:rsid w:val="00721B37"/>
    <w:rsid w:val="00735104"/>
    <w:rsid w:val="00744BAE"/>
    <w:rsid w:val="00761F17"/>
    <w:rsid w:val="00764721"/>
    <w:rsid w:val="00767A62"/>
    <w:rsid w:val="007B6D71"/>
    <w:rsid w:val="007B7E5C"/>
    <w:rsid w:val="007C1028"/>
    <w:rsid w:val="007C5DBA"/>
    <w:rsid w:val="007D2127"/>
    <w:rsid w:val="007E28FA"/>
    <w:rsid w:val="007E3A23"/>
    <w:rsid w:val="007E5E0E"/>
    <w:rsid w:val="00812819"/>
    <w:rsid w:val="00835CED"/>
    <w:rsid w:val="0084030D"/>
    <w:rsid w:val="008461D5"/>
    <w:rsid w:val="00863877"/>
    <w:rsid w:val="008656D4"/>
    <w:rsid w:val="008730DD"/>
    <w:rsid w:val="00876C42"/>
    <w:rsid w:val="008822AB"/>
    <w:rsid w:val="0088585C"/>
    <w:rsid w:val="008909AF"/>
    <w:rsid w:val="00894671"/>
    <w:rsid w:val="008956E9"/>
    <w:rsid w:val="008A4DAC"/>
    <w:rsid w:val="008C6C52"/>
    <w:rsid w:val="008D7AE9"/>
    <w:rsid w:val="00901195"/>
    <w:rsid w:val="00906CA7"/>
    <w:rsid w:val="00910FBE"/>
    <w:rsid w:val="009136EC"/>
    <w:rsid w:val="009260EF"/>
    <w:rsid w:val="009356A5"/>
    <w:rsid w:val="00944FA3"/>
    <w:rsid w:val="009535A2"/>
    <w:rsid w:val="0096155B"/>
    <w:rsid w:val="00966C29"/>
    <w:rsid w:val="009677C4"/>
    <w:rsid w:val="0097669E"/>
    <w:rsid w:val="00976BE2"/>
    <w:rsid w:val="0098777E"/>
    <w:rsid w:val="00996704"/>
    <w:rsid w:val="009A6EC2"/>
    <w:rsid w:val="009B15D8"/>
    <w:rsid w:val="009B506F"/>
    <w:rsid w:val="009B5C0F"/>
    <w:rsid w:val="009B6DDE"/>
    <w:rsid w:val="009D60D6"/>
    <w:rsid w:val="009E1E0B"/>
    <w:rsid w:val="009E5B2A"/>
    <w:rsid w:val="009F536F"/>
    <w:rsid w:val="00A05231"/>
    <w:rsid w:val="00A134E9"/>
    <w:rsid w:val="00A14193"/>
    <w:rsid w:val="00A21161"/>
    <w:rsid w:val="00A33507"/>
    <w:rsid w:val="00A42809"/>
    <w:rsid w:val="00A7031F"/>
    <w:rsid w:val="00A91104"/>
    <w:rsid w:val="00AA47B5"/>
    <w:rsid w:val="00AA6DFA"/>
    <w:rsid w:val="00AB308A"/>
    <w:rsid w:val="00AD7EE1"/>
    <w:rsid w:val="00B01664"/>
    <w:rsid w:val="00B13345"/>
    <w:rsid w:val="00B172F3"/>
    <w:rsid w:val="00B17597"/>
    <w:rsid w:val="00B253C7"/>
    <w:rsid w:val="00B274E4"/>
    <w:rsid w:val="00B278ED"/>
    <w:rsid w:val="00B4122F"/>
    <w:rsid w:val="00B43AE1"/>
    <w:rsid w:val="00B560EF"/>
    <w:rsid w:val="00B6066B"/>
    <w:rsid w:val="00B76B39"/>
    <w:rsid w:val="00B77990"/>
    <w:rsid w:val="00B82711"/>
    <w:rsid w:val="00B82A5E"/>
    <w:rsid w:val="00B87DFC"/>
    <w:rsid w:val="00B934BC"/>
    <w:rsid w:val="00BA6ED2"/>
    <w:rsid w:val="00BA6F88"/>
    <w:rsid w:val="00BC309C"/>
    <w:rsid w:val="00BC66D0"/>
    <w:rsid w:val="00BC6E4B"/>
    <w:rsid w:val="00BE03D7"/>
    <w:rsid w:val="00BF5B0B"/>
    <w:rsid w:val="00C14179"/>
    <w:rsid w:val="00C149BF"/>
    <w:rsid w:val="00C20481"/>
    <w:rsid w:val="00C30E17"/>
    <w:rsid w:val="00C33583"/>
    <w:rsid w:val="00C47486"/>
    <w:rsid w:val="00C50483"/>
    <w:rsid w:val="00C515BC"/>
    <w:rsid w:val="00C61E14"/>
    <w:rsid w:val="00C61E42"/>
    <w:rsid w:val="00C644F1"/>
    <w:rsid w:val="00C705E2"/>
    <w:rsid w:val="00C71C8D"/>
    <w:rsid w:val="00C74F7D"/>
    <w:rsid w:val="00C7785A"/>
    <w:rsid w:val="00CA53E1"/>
    <w:rsid w:val="00CA7294"/>
    <w:rsid w:val="00CB275E"/>
    <w:rsid w:val="00CB3D5E"/>
    <w:rsid w:val="00CB408E"/>
    <w:rsid w:val="00CC2F11"/>
    <w:rsid w:val="00CC7871"/>
    <w:rsid w:val="00CD2834"/>
    <w:rsid w:val="00CD4695"/>
    <w:rsid w:val="00CD5214"/>
    <w:rsid w:val="00CE7600"/>
    <w:rsid w:val="00CF667B"/>
    <w:rsid w:val="00D3096C"/>
    <w:rsid w:val="00D31D9E"/>
    <w:rsid w:val="00D32DBF"/>
    <w:rsid w:val="00D337C5"/>
    <w:rsid w:val="00D465B1"/>
    <w:rsid w:val="00D56876"/>
    <w:rsid w:val="00D7117A"/>
    <w:rsid w:val="00D74E79"/>
    <w:rsid w:val="00D77F55"/>
    <w:rsid w:val="00D8113E"/>
    <w:rsid w:val="00D87CC9"/>
    <w:rsid w:val="00DB19A9"/>
    <w:rsid w:val="00DB3E06"/>
    <w:rsid w:val="00DC0ECE"/>
    <w:rsid w:val="00DC6363"/>
    <w:rsid w:val="00DE254C"/>
    <w:rsid w:val="00E00E83"/>
    <w:rsid w:val="00E04113"/>
    <w:rsid w:val="00E041C3"/>
    <w:rsid w:val="00E20797"/>
    <w:rsid w:val="00E26AC0"/>
    <w:rsid w:val="00E34DC0"/>
    <w:rsid w:val="00E35F67"/>
    <w:rsid w:val="00E427DD"/>
    <w:rsid w:val="00E449A7"/>
    <w:rsid w:val="00E44B2E"/>
    <w:rsid w:val="00E610CA"/>
    <w:rsid w:val="00E62C74"/>
    <w:rsid w:val="00E75D82"/>
    <w:rsid w:val="00E77708"/>
    <w:rsid w:val="00E81226"/>
    <w:rsid w:val="00E81C14"/>
    <w:rsid w:val="00E83BE9"/>
    <w:rsid w:val="00E9074D"/>
    <w:rsid w:val="00E92046"/>
    <w:rsid w:val="00EA5FA0"/>
    <w:rsid w:val="00EA7EE2"/>
    <w:rsid w:val="00EB2E1B"/>
    <w:rsid w:val="00EC0F3A"/>
    <w:rsid w:val="00EC1253"/>
    <w:rsid w:val="00EC1E23"/>
    <w:rsid w:val="00EC42B2"/>
    <w:rsid w:val="00ED2DE7"/>
    <w:rsid w:val="00EE6246"/>
    <w:rsid w:val="00EE7607"/>
    <w:rsid w:val="00EF1D4A"/>
    <w:rsid w:val="00EF1FA9"/>
    <w:rsid w:val="00EF617B"/>
    <w:rsid w:val="00F065B4"/>
    <w:rsid w:val="00F06736"/>
    <w:rsid w:val="00F076FC"/>
    <w:rsid w:val="00F07713"/>
    <w:rsid w:val="00F14EA6"/>
    <w:rsid w:val="00F175C9"/>
    <w:rsid w:val="00F2089B"/>
    <w:rsid w:val="00F24ACB"/>
    <w:rsid w:val="00F34FBB"/>
    <w:rsid w:val="00F41D49"/>
    <w:rsid w:val="00F46BE6"/>
    <w:rsid w:val="00F802CB"/>
    <w:rsid w:val="00F82897"/>
    <w:rsid w:val="00F8405D"/>
    <w:rsid w:val="00F8643A"/>
    <w:rsid w:val="00F93B5C"/>
    <w:rsid w:val="00F95D73"/>
    <w:rsid w:val="00FA6EF1"/>
    <w:rsid w:val="00FC0398"/>
    <w:rsid w:val="00FC36AB"/>
    <w:rsid w:val="00FF42FB"/>
    <w:rsid w:val="00FF4B3C"/>
    <w:rsid w:val="01477612"/>
    <w:rsid w:val="018E7102"/>
    <w:rsid w:val="01960110"/>
    <w:rsid w:val="01AC2F06"/>
    <w:rsid w:val="02141B97"/>
    <w:rsid w:val="023943F7"/>
    <w:rsid w:val="023B0757"/>
    <w:rsid w:val="02D25A28"/>
    <w:rsid w:val="031500DE"/>
    <w:rsid w:val="037D5BEA"/>
    <w:rsid w:val="03913B2E"/>
    <w:rsid w:val="03CE781B"/>
    <w:rsid w:val="04347BA6"/>
    <w:rsid w:val="04400656"/>
    <w:rsid w:val="049433A1"/>
    <w:rsid w:val="04B141D9"/>
    <w:rsid w:val="04B435EA"/>
    <w:rsid w:val="04C72F3E"/>
    <w:rsid w:val="04E51841"/>
    <w:rsid w:val="0502023A"/>
    <w:rsid w:val="051903A7"/>
    <w:rsid w:val="052822C9"/>
    <w:rsid w:val="05434E08"/>
    <w:rsid w:val="0567003F"/>
    <w:rsid w:val="05F0788D"/>
    <w:rsid w:val="05FC2DDF"/>
    <w:rsid w:val="06562C27"/>
    <w:rsid w:val="067C4A6D"/>
    <w:rsid w:val="06D65583"/>
    <w:rsid w:val="07007FCA"/>
    <w:rsid w:val="071A4C60"/>
    <w:rsid w:val="072B34F6"/>
    <w:rsid w:val="07592199"/>
    <w:rsid w:val="07693AFB"/>
    <w:rsid w:val="077D1C1C"/>
    <w:rsid w:val="07F277AD"/>
    <w:rsid w:val="07F450C2"/>
    <w:rsid w:val="08031934"/>
    <w:rsid w:val="088F3621"/>
    <w:rsid w:val="08D012EF"/>
    <w:rsid w:val="08F323C0"/>
    <w:rsid w:val="0924062D"/>
    <w:rsid w:val="0A4318C9"/>
    <w:rsid w:val="0A4D3E83"/>
    <w:rsid w:val="0AB73285"/>
    <w:rsid w:val="0AE20BD5"/>
    <w:rsid w:val="0B00194F"/>
    <w:rsid w:val="0B031F0F"/>
    <w:rsid w:val="0B0E7053"/>
    <w:rsid w:val="0B120D1E"/>
    <w:rsid w:val="0BC44B6D"/>
    <w:rsid w:val="0BCC3B47"/>
    <w:rsid w:val="0C06244E"/>
    <w:rsid w:val="0C3539E6"/>
    <w:rsid w:val="0C7F5E8F"/>
    <w:rsid w:val="0CD50C3F"/>
    <w:rsid w:val="0D244F05"/>
    <w:rsid w:val="0DC36100"/>
    <w:rsid w:val="0E3F790F"/>
    <w:rsid w:val="0E4C63B1"/>
    <w:rsid w:val="0E543D2A"/>
    <w:rsid w:val="0E5D0552"/>
    <w:rsid w:val="0E930517"/>
    <w:rsid w:val="0EA03026"/>
    <w:rsid w:val="0EF478BC"/>
    <w:rsid w:val="0F116F55"/>
    <w:rsid w:val="0F1F1F4A"/>
    <w:rsid w:val="0F816DD3"/>
    <w:rsid w:val="0F842080"/>
    <w:rsid w:val="100749D7"/>
    <w:rsid w:val="10A05D6B"/>
    <w:rsid w:val="10B451DF"/>
    <w:rsid w:val="10CA4745"/>
    <w:rsid w:val="11101B8B"/>
    <w:rsid w:val="11111CDD"/>
    <w:rsid w:val="11C21FB4"/>
    <w:rsid w:val="11C62478"/>
    <w:rsid w:val="11C66591"/>
    <w:rsid w:val="11D40A84"/>
    <w:rsid w:val="12026452"/>
    <w:rsid w:val="12A82C12"/>
    <w:rsid w:val="131049CB"/>
    <w:rsid w:val="133439B1"/>
    <w:rsid w:val="135B24FC"/>
    <w:rsid w:val="13726A07"/>
    <w:rsid w:val="13B7041A"/>
    <w:rsid w:val="13CD0509"/>
    <w:rsid w:val="14926ABA"/>
    <w:rsid w:val="149828F5"/>
    <w:rsid w:val="14AB6B35"/>
    <w:rsid w:val="14C62C50"/>
    <w:rsid w:val="14D317E3"/>
    <w:rsid w:val="14DF5A8F"/>
    <w:rsid w:val="14E62CC3"/>
    <w:rsid w:val="153F021E"/>
    <w:rsid w:val="158318A9"/>
    <w:rsid w:val="15960242"/>
    <w:rsid w:val="165D743E"/>
    <w:rsid w:val="170C7722"/>
    <w:rsid w:val="1799242F"/>
    <w:rsid w:val="17C274E6"/>
    <w:rsid w:val="17F82607"/>
    <w:rsid w:val="17FA7DD1"/>
    <w:rsid w:val="1805567E"/>
    <w:rsid w:val="1867702A"/>
    <w:rsid w:val="18B130C3"/>
    <w:rsid w:val="192E6907"/>
    <w:rsid w:val="1951263E"/>
    <w:rsid w:val="195B1D0E"/>
    <w:rsid w:val="19B318F7"/>
    <w:rsid w:val="1A0F34B3"/>
    <w:rsid w:val="1A1D71EF"/>
    <w:rsid w:val="1A3105CE"/>
    <w:rsid w:val="1A342CA3"/>
    <w:rsid w:val="1A6931FC"/>
    <w:rsid w:val="1ADD065E"/>
    <w:rsid w:val="1B9D1D47"/>
    <w:rsid w:val="1BDF46A2"/>
    <w:rsid w:val="1C32512F"/>
    <w:rsid w:val="1C7C6EC2"/>
    <w:rsid w:val="1C7F7166"/>
    <w:rsid w:val="1D250DB1"/>
    <w:rsid w:val="1D272B50"/>
    <w:rsid w:val="1D5F1B88"/>
    <w:rsid w:val="1D870E1F"/>
    <w:rsid w:val="1D8A54A3"/>
    <w:rsid w:val="1DB63515"/>
    <w:rsid w:val="1DF2726F"/>
    <w:rsid w:val="1E2315C8"/>
    <w:rsid w:val="1EBA498A"/>
    <w:rsid w:val="1EFB0244"/>
    <w:rsid w:val="1EFE1DF7"/>
    <w:rsid w:val="1F4A0A40"/>
    <w:rsid w:val="1F6F5BA4"/>
    <w:rsid w:val="1F887663"/>
    <w:rsid w:val="1FAB5F26"/>
    <w:rsid w:val="20093778"/>
    <w:rsid w:val="20131639"/>
    <w:rsid w:val="201347D7"/>
    <w:rsid w:val="204A77D4"/>
    <w:rsid w:val="20B142AC"/>
    <w:rsid w:val="20B91FC8"/>
    <w:rsid w:val="20C171CE"/>
    <w:rsid w:val="20CE21EA"/>
    <w:rsid w:val="22460B2B"/>
    <w:rsid w:val="227220A8"/>
    <w:rsid w:val="23050237"/>
    <w:rsid w:val="231B65AC"/>
    <w:rsid w:val="23420DC9"/>
    <w:rsid w:val="234E4FB8"/>
    <w:rsid w:val="23B30995"/>
    <w:rsid w:val="23BF69A3"/>
    <w:rsid w:val="2461764D"/>
    <w:rsid w:val="24806486"/>
    <w:rsid w:val="24CC5385"/>
    <w:rsid w:val="251E61BA"/>
    <w:rsid w:val="25A556B3"/>
    <w:rsid w:val="25F95469"/>
    <w:rsid w:val="260F1CFD"/>
    <w:rsid w:val="263A1558"/>
    <w:rsid w:val="26694FDD"/>
    <w:rsid w:val="26760728"/>
    <w:rsid w:val="269E6C28"/>
    <w:rsid w:val="26B148D6"/>
    <w:rsid w:val="26B54329"/>
    <w:rsid w:val="26BD57DE"/>
    <w:rsid w:val="26D56E2F"/>
    <w:rsid w:val="27202BE7"/>
    <w:rsid w:val="27910876"/>
    <w:rsid w:val="27B26366"/>
    <w:rsid w:val="27BB75DB"/>
    <w:rsid w:val="27D2792B"/>
    <w:rsid w:val="27DE0D65"/>
    <w:rsid w:val="282F5EA4"/>
    <w:rsid w:val="28800F4E"/>
    <w:rsid w:val="28D8195F"/>
    <w:rsid w:val="28F22A1C"/>
    <w:rsid w:val="29125262"/>
    <w:rsid w:val="293B4870"/>
    <w:rsid w:val="293F138C"/>
    <w:rsid w:val="29507F80"/>
    <w:rsid w:val="29BD475E"/>
    <w:rsid w:val="29DD6AA8"/>
    <w:rsid w:val="2ACF1AC8"/>
    <w:rsid w:val="2B033532"/>
    <w:rsid w:val="2B707E88"/>
    <w:rsid w:val="2B727139"/>
    <w:rsid w:val="2B9B0FFD"/>
    <w:rsid w:val="2C1715B9"/>
    <w:rsid w:val="2C375E89"/>
    <w:rsid w:val="2CFC6970"/>
    <w:rsid w:val="2D6F5EFC"/>
    <w:rsid w:val="2D90189D"/>
    <w:rsid w:val="2DC85471"/>
    <w:rsid w:val="2E022D8F"/>
    <w:rsid w:val="2E263108"/>
    <w:rsid w:val="2E2D0EEE"/>
    <w:rsid w:val="2E313BA0"/>
    <w:rsid w:val="2E410ADD"/>
    <w:rsid w:val="2E685B62"/>
    <w:rsid w:val="2E7D205E"/>
    <w:rsid w:val="2ED60A50"/>
    <w:rsid w:val="2F172D16"/>
    <w:rsid w:val="2F1C49B5"/>
    <w:rsid w:val="2F5E294A"/>
    <w:rsid w:val="2F99359D"/>
    <w:rsid w:val="2FB11B4A"/>
    <w:rsid w:val="2FE8297F"/>
    <w:rsid w:val="2FEF73B2"/>
    <w:rsid w:val="305869AA"/>
    <w:rsid w:val="306E142B"/>
    <w:rsid w:val="30940638"/>
    <w:rsid w:val="309918FB"/>
    <w:rsid w:val="30EB1E03"/>
    <w:rsid w:val="30F9136E"/>
    <w:rsid w:val="312A33A7"/>
    <w:rsid w:val="318D5597"/>
    <w:rsid w:val="31931D34"/>
    <w:rsid w:val="31D935DD"/>
    <w:rsid w:val="32B666CF"/>
    <w:rsid w:val="33232682"/>
    <w:rsid w:val="33520F0B"/>
    <w:rsid w:val="33DE704F"/>
    <w:rsid w:val="33DF5CD2"/>
    <w:rsid w:val="34651CB1"/>
    <w:rsid w:val="34E91601"/>
    <w:rsid w:val="35036EA1"/>
    <w:rsid w:val="358E5002"/>
    <w:rsid w:val="35E44477"/>
    <w:rsid w:val="35F2783B"/>
    <w:rsid w:val="35F71D00"/>
    <w:rsid w:val="36C50003"/>
    <w:rsid w:val="3728571C"/>
    <w:rsid w:val="37642AA9"/>
    <w:rsid w:val="37C15134"/>
    <w:rsid w:val="37DD413E"/>
    <w:rsid w:val="37ED3483"/>
    <w:rsid w:val="38891892"/>
    <w:rsid w:val="38E97F6B"/>
    <w:rsid w:val="39E566D4"/>
    <w:rsid w:val="39EA4CDA"/>
    <w:rsid w:val="39EB4DA4"/>
    <w:rsid w:val="39F71FBF"/>
    <w:rsid w:val="3A062290"/>
    <w:rsid w:val="3A2A1003"/>
    <w:rsid w:val="3A755983"/>
    <w:rsid w:val="3AFD410C"/>
    <w:rsid w:val="3B011046"/>
    <w:rsid w:val="3B50793C"/>
    <w:rsid w:val="3B6B398A"/>
    <w:rsid w:val="3B9F77BF"/>
    <w:rsid w:val="3BA64FB7"/>
    <w:rsid w:val="3BD0121C"/>
    <w:rsid w:val="3BD433FC"/>
    <w:rsid w:val="3BE91CB2"/>
    <w:rsid w:val="3C4A4CEB"/>
    <w:rsid w:val="3CC91EF6"/>
    <w:rsid w:val="3CD84BF7"/>
    <w:rsid w:val="3D2E25E7"/>
    <w:rsid w:val="3D35171C"/>
    <w:rsid w:val="3D3622C1"/>
    <w:rsid w:val="3D3739C7"/>
    <w:rsid w:val="3D5C22DC"/>
    <w:rsid w:val="3D7A7C56"/>
    <w:rsid w:val="3DCB2831"/>
    <w:rsid w:val="3E2D2825"/>
    <w:rsid w:val="3E8D62F1"/>
    <w:rsid w:val="3E9F4C92"/>
    <w:rsid w:val="3ED54482"/>
    <w:rsid w:val="3EF84F31"/>
    <w:rsid w:val="3F04364E"/>
    <w:rsid w:val="3F79307B"/>
    <w:rsid w:val="40AB06F7"/>
    <w:rsid w:val="40EB438E"/>
    <w:rsid w:val="41857C00"/>
    <w:rsid w:val="419D6472"/>
    <w:rsid w:val="41BE3327"/>
    <w:rsid w:val="41CB0E29"/>
    <w:rsid w:val="41E63EBB"/>
    <w:rsid w:val="423E3289"/>
    <w:rsid w:val="42B1716E"/>
    <w:rsid w:val="42CC6BDA"/>
    <w:rsid w:val="42D71FF1"/>
    <w:rsid w:val="42E45268"/>
    <w:rsid w:val="42EF003F"/>
    <w:rsid w:val="43011312"/>
    <w:rsid w:val="4303448A"/>
    <w:rsid w:val="43356F36"/>
    <w:rsid w:val="438A46BC"/>
    <w:rsid w:val="43A510FF"/>
    <w:rsid w:val="43B05E79"/>
    <w:rsid w:val="43B560F7"/>
    <w:rsid w:val="43D519DD"/>
    <w:rsid w:val="43DA7EBE"/>
    <w:rsid w:val="43EF7FFC"/>
    <w:rsid w:val="44133C8E"/>
    <w:rsid w:val="44356FF6"/>
    <w:rsid w:val="446B74F6"/>
    <w:rsid w:val="447C5A07"/>
    <w:rsid w:val="44E10B37"/>
    <w:rsid w:val="44E7160B"/>
    <w:rsid w:val="453472A6"/>
    <w:rsid w:val="45515F33"/>
    <w:rsid w:val="45720925"/>
    <w:rsid w:val="45790D61"/>
    <w:rsid w:val="45831F49"/>
    <w:rsid w:val="459743EB"/>
    <w:rsid w:val="45F16D06"/>
    <w:rsid w:val="467B357B"/>
    <w:rsid w:val="46885FE1"/>
    <w:rsid w:val="468F2CC7"/>
    <w:rsid w:val="469F1C70"/>
    <w:rsid w:val="47163501"/>
    <w:rsid w:val="47306A51"/>
    <w:rsid w:val="476A3F40"/>
    <w:rsid w:val="47831EAB"/>
    <w:rsid w:val="478A3BAF"/>
    <w:rsid w:val="479F58F3"/>
    <w:rsid w:val="47A767A5"/>
    <w:rsid w:val="47CD4DEE"/>
    <w:rsid w:val="47D64C73"/>
    <w:rsid w:val="48031F06"/>
    <w:rsid w:val="48C7646F"/>
    <w:rsid w:val="48D81F92"/>
    <w:rsid w:val="491910DC"/>
    <w:rsid w:val="49334F0C"/>
    <w:rsid w:val="497D3CDA"/>
    <w:rsid w:val="49A34E66"/>
    <w:rsid w:val="4A3614CB"/>
    <w:rsid w:val="4A4D41FD"/>
    <w:rsid w:val="4A9973A2"/>
    <w:rsid w:val="4AA454F2"/>
    <w:rsid w:val="4AEA4987"/>
    <w:rsid w:val="4B0C4EAC"/>
    <w:rsid w:val="4B120C4B"/>
    <w:rsid w:val="4B681583"/>
    <w:rsid w:val="4BCC5690"/>
    <w:rsid w:val="4BDC75B8"/>
    <w:rsid w:val="4C4C33AB"/>
    <w:rsid w:val="4C77048D"/>
    <w:rsid w:val="4C7F5FC8"/>
    <w:rsid w:val="4C87540F"/>
    <w:rsid w:val="4D2A1B46"/>
    <w:rsid w:val="4D4E4645"/>
    <w:rsid w:val="4D5E12A1"/>
    <w:rsid w:val="4D8F4E8B"/>
    <w:rsid w:val="4DBB5811"/>
    <w:rsid w:val="4DCE6665"/>
    <w:rsid w:val="4E494638"/>
    <w:rsid w:val="4E5B6952"/>
    <w:rsid w:val="4E6B0B13"/>
    <w:rsid w:val="4E741683"/>
    <w:rsid w:val="4E910618"/>
    <w:rsid w:val="4ECD4B49"/>
    <w:rsid w:val="4ED24C66"/>
    <w:rsid w:val="4F3A03D5"/>
    <w:rsid w:val="4F484E88"/>
    <w:rsid w:val="4F530603"/>
    <w:rsid w:val="4F662654"/>
    <w:rsid w:val="4FDF0473"/>
    <w:rsid w:val="50081CC9"/>
    <w:rsid w:val="506A4ECF"/>
    <w:rsid w:val="50741B61"/>
    <w:rsid w:val="50F26AD7"/>
    <w:rsid w:val="50F83833"/>
    <w:rsid w:val="516B448D"/>
    <w:rsid w:val="51813D85"/>
    <w:rsid w:val="51977E02"/>
    <w:rsid w:val="51A208C2"/>
    <w:rsid w:val="51BC08FD"/>
    <w:rsid w:val="51C57D9B"/>
    <w:rsid w:val="521A1A78"/>
    <w:rsid w:val="524F7250"/>
    <w:rsid w:val="52835652"/>
    <w:rsid w:val="52CC37B8"/>
    <w:rsid w:val="52D8304F"/>
    <w:rsid w:val="53446379"/>
    <w:rsid w:val="538A34DA"/>
    <w:rsid w:val="53E6704F"/>
    <w:rsid w:val="53EA0385"/>
    <w:rsid w:val="53F352E9"/>
    <w:rsid w:val="53F727D2"/>
    <w:rsid w:val="540A5265"/>
    <w:rsid w:val="54410EC7"/>
    <w:rsid w:val="544A339B"/>
    <w:rsid w:val="548D62D9"/>
    <w:rsid w:val="54A67464"/>
    <w:rsid w:val="55637BA0"/>
    <w:rsid w:val="558C32B3"/>
    <w:rsid w:val="55A14B6B"/>
    <w:rsid w:val="55AC27BB"/>
    <w:rsid w:val="55BF6EB9"/>
    <w:rsid w:val="55D40A43"/>
    <w:rsid w:val="55EA5FA3"/>
    <w:rsid w:val="55EC4509"/>
    <w:rsid w:val="55FF3B0B"/>
    <w:rsid w:val="562D1312"/>
    <w:rsid w:val="563E6705"/>
    <w:rsid w:val="56605C0D"/>
    <w:rsid w:val="56B561DB"/>
    <w:rsid w:val="56E17F73"/>
    <w:rsid w:val="56E25E0A"/>
    <w:rsid w:val="56E508AC"/>
    <w:rsid w:val="573A66AC"/>
    <w:rsid w:val="578E6747"/>
    <w:rsid w:val="57D76860"/>
    <w:rsid w:val="58065BD8"/>
    <w:rsid w:val="58320C57"/>
    <w:rsid w:val="58942FBE"/>
    <w:rsid w:val="58A7049D"/>
    <w:rsid w:val="593B40CF"/>
    <w:rsid w:val="59BC2C6C"/>
    <w:rsid w:val="5A0A6ACC"/>
    <w:rsid w:val="5A163B12"/>
    <w:rsid w:val="5A6B655E"/>
    <w:rsid w:val="5A735ED2"/>
    <w:rsid w:val="5AA744EA"/>
    <w:rsid w:val="5AB44154"/>
    <w:rsid w:val="5AD919C3"/>
    <w:rsid w:val="5AFB45D4"/>
    <w:rsid w:val="5B294F8E"/>
    <w:rsid w:val="5B871E96"/>
    <w:rsid w:val="5B932D7D"/>
    <w:rsid w:val="5BD26852"/>
    <w:rsid w:val="5BED4139"/>
    <w:rsid w:val="5C1F5F23"/>
    <w:rsid w:val="5C7D791C"/>
    <w:rsid w:val="5CFA1762"/>
    <w:rsid w:val="5D042C87"/>
    <w:rsid w:val="5DB11178"/>
    <w:rsid w:val="5E2F6982"/>
    <w:rsid w:val="5E9E5071"/>
    <w:rsid w:val="5FCB6A8E"/>
    <w:rsid w:val="60026590"/>
    <w:rsid w:val="60337FF4"/>
    <w:rsid w:val="603B2567"/>
    <w:rsid w:val="60756F41"/>
    <w:rsid w:val="608F1AC1"/>
    <w:rsid w:val="608F7BB0"/>
    <w:rsid w:val="60A776BE"/>
    <w:rsid w:val="60E42F7F"/>
    <w:rsid w:val="612C7E8A"/>
    <w:rsid w:val="6133591E"/>
    <w:rsid w:val="616F60AC"/>
    <w:rsid w:val="61723EAB"/>
    <w:rsid w:val="61943B05"/>
    <w:rsid w:val="61A873E8"/>
    <w:rsid w:val="61BE6EE8"/>
    <w:rsid w:val="622B66A7"/>
    <w:rsid w:val="627B5314"/>
    <w:rsid w:val="6291238C"/>
    <w:rsid w:val="62B16BBE"/>
    <w:rsid w:val="62DF2923"/>
    <w:rsid w:val="63BF61F6"/>
    <w:rsid w:val="63D83C4D"/>
    <w:rsid w:val="642524FD"/>
    <w:rsid w:val="644E025E"/>
    <w:rsid w:val="649310FF"/>
    <w:rsid w:val="649C7D27"/>
    <w:rsid w:val="64A62473"/>
    <w:rsid w:val="64AB576C"/>
    <w:rsid w:val="64FB0F93"/>
    <w:rsid w:val="65AD5EC6"/>
    <w:rsid w:val="65C33F10"/>
    <w:rsid w:val="65CD29F4"/>
    <w:rsid w:val="65D412DE"/>
    <w:rsid w:val="660758C0"/>
    <w:rsid w:val="66141B92"/>
    <w:rsid w:val="663629BF"/>
    <w:rsid w:val="6639593F"/>
    <w:rsid w:val="66714455"/>
    <w:rsid w:val="6685358B"/>
    <w:rsid w:val="66894119"/>
    <w:rsid w:val="66930C02"/>
    <w:rsid w:val="66F61DA0"/>
    <w:rsid w:val="67012BE5"/>
    <w:rsid w:val="670C2A50"/>
    <w:rsid w:val="679B7968"/>
    <w:rsid w:val="67B80612"/>
    <w:rsid w:val="67C63F62"/>
    <w:rsid w:val="67CE0908"/>
    <w:rsid w:val="68376625"/>
    <w:rsid w:val="685D2DD5"/>
    <w:rsid w:val="68605CCF"/>
    <w:rsid w:val="68C660B3"/>
    <w:rsid w:val="68EC6BCD"/>
    <w:rsid w:val="696F556A"/>
    <w:rsid w:val="69E40BB3"/>
    <w:rsid w:val="6A0F3DD8"/>
    <w:rsid w:val="6A3127BA"/>
    <w:rsid w:val="6A3318A7"/>
    <w:rsid w:val="6AA52718"/>
    <w:rsid w:val="6AD55DE7"/>
    <w:rsid w:val="6AE47331"/>
    <w:rsid w:val="6B103098"/>
    <w:rsid w:val="6B5415A7"/>
    <w:rsid w:val="6B733C89"/>
    <w:rsid w:val="6B815014"/>
    <w:rsid w:val="6B9A5430"/>
    <w:rsid w:val="6BE2023C"/>
    <w:rsid w:val="6C390D93"/>
    <w:rsid w:val="6C5C55B0"/>
    <w:rsid w:val="6C866D4D"/>
    <w:rsid w:val="6CA04BA2"/>
    <w:rsid w:val="6CA65E87"/>
    <w:rsid w:val="6CAD0D8B"/>
    <w:rsid w:val="6CBD4CD6"/>
    <w:rsid w:val="6D75051B"/>
    <w:rsid w:val="6D7E59ED"/>
    <w:rsid w:val="6D96361B"/>
    <w:rsid w:val="6DAF0E7B"/>
    <w:rsid w:val="6DF47575"/>
    <w:rsid w:val="6E203D78"/>
    <w:rsid w:val="6E4D62AB"/>
    <w:rsid w:val="6E7351CC"/>
    <w:rsid w:val="6E8A2052"/>
    <w:rsid w:val="6E99310A"/>
    <w:rsid w:val="6EF05D89"/>
    <w:rsid w:val="6F077525"/>
    <w:rsid w:val="6F9F30B0"/>
    <w:rsid w:val="6FE41EAB"/>
    <w:rsid w:val="70A4791E"/>
    <w:rsid w:val="70D736E4"/>
    <w:rsid w:val="7185359C"/>
    <w:rsid w:val="71857F3D"/>
    <w:rsid w:val="71C23AE6"/>
    <w:rsid w:val="71CD7FCC"/>
    <w:rsid w:val="728F5E9C"/>
    <w:rsid w:val="72C50341"/>
    <w:rsid w:val="730735B3"/>
    <w:rsid w:val="732628E3"/>
    <w:rsid w:val="733A3562"/>
    <w:rsid w:val="73784618"/>
    <w:rsid w:val="73845BDB"/>
    <w:rsid w:val="73B42067"/>
    <w:rsid w:val="73F25620"/>
    <w:rsid w:val="748E4D9F"/>
    <w:rsid w:val="74C834CC"/>
    <w:rsid w:val="74ED13E5"/>
    <w:rsid w:val="74F261BD"/>
    <w:rsid w:val="75215CB1"/>
    <w:rsid w:val="75557DCD"/>
    <w:rsid w:val="75A30103"/>
    <w:rsid w:val="75F71366"/>
    <w:rsid w:val="771A3591"/>
    <w:rsid w:val="773D1AF2"/>
    <w:rsid w:val="77B25643"/>
    <w:rsid w:val="787C3C6A"/>
    <w:rsid w:val="78810C15"/>
    <w:rsid w:val="789102F6"/>
    <w:rsid w:val="78E119B2"/>
    <w:rsid w:val="799F5697"/>
    <w:rsid w:val="79B57143"/>
    <w:rsid w:val="79EA280A"/>
    <w:rsid w:val="7A384934"/>
    <w:rsid w:val="7A5C393B"/>
    <w:rsid w:val="7B30295E"/>
    <w:rsid w:val="7B3E100A"/>
    <w:rsid w:val="7B4210B1"/>
    <w:rsid w:val="7C3960EF"/>
    <w:rsid w:val="7C7E20FF"/>
    <w:rsid w:val="7CD200F7"/>
    <w:rsid w:val="7D3D571D"/>
    <w:rsid w:val="7D9F6497"/>
    <w:rsid w:val="7D9F6D68"/>
    <w:rsid w:val="7DFB7D41"/>
    <w:rsid w:val="7E473189"/>
    <w:rsid w:val="7E491356"/>
    <w:rsid w:val="7E531FC9"/>
    <w:rsid w:val="7EB73853"/>
    <w:rsid w:val="7EC4632E"/>
    <w:rsid w:val="7F220116"/>
    <w:rsid w:val="7F2C2539"/>
    <w:rsid w:val="7F2F6CC1"/>
    <w:rsid w:val="7F7A396A"/>
    <w:rsid w:val="7F846625"/>
    <w:rsid w:val="7FDC2FF7"/>
    <w:rsid w:val="7FF84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2" w:semiHidden="0" w:name="heading 3"/>
    <w:lsdException w:qFormat="1" w:unhideWhenUsed="0" w:uiPriority="3" w:semiHidden="0" w:name="heading 4"/>
    <w:lsdException w:qFormat="1" w:uiPriority="9" w:semiHidden="0" w:name="heading 5"/>
    <w:lsdException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qFormat="1" w:uiPriority="99"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qFormat="1" w:unhideWhenUsed="0" w:uiPriority="99"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80" w:lineRule="exact"/>
      <w:ind w:firstLine="420" w:firstLineChars="200"/>
      <w:jc w:val="both"/>
    </w:pPr>
    <w:rPr>
      <w:rFonts w:eastAsia="仿宋_GB2312" w:asciiTheme="minorAscii" w:hAnsiTheme="minorAscii" w:cstheme="minorBidi"/>
      <w:kern w:val="2"/>
      <w:sz w:val="32"/>
      <w:szCs w:val="21"/>
      <w:lang w:val="en-US" w:eastAsia="zh-CN" w:bidi="ar-SA"/>
    </w:rPr>
  </w:style>
  <w:style w:type="paragraph" w:styleId="4">
    <w:name w:val="heading 1"/>
    <w:basedOn w:val="1"/>
    <w:next w:val="1"/>
    <w:link w:val="34"/>
    <w:qFormat/>
    <w:uiPriority w:val="0"/>
    <w:pPr>
      <w:numPr>
        <w:ilvl w:val="0"/>
        <w:numId w:val="1"/>
      </w:numPr>
      <w:spacing w:before="120" w:after="60"/>
      <w:ind w:left="0" w:firstLine="200"/>
      <w:jc w:val="left"/>
      <w:outlineLvl w:val="0"/>
    </w:pPr>
    <w:rPr>
      <w:rFonts w:eastAsia="黑体"/>
      <w:bCs/>
      <w:kern w:val="44"/>
      <w:sz w:val="32"/>
      <w:szCs w:val="44"/>
    </w:rPr>
  </w:style>
  <w:style w:type="paragraph" w:styleId="5">
    <w:name w:val="heading 2"/>
    <w:basedOn w:val="1"/>
    <w:next w:val="1"/>
    <w:link w:val="35"/>
    <w:qFormat/>
    <w:uiPriority w:val="1"/>
    <w:pPr>
      <w:keepNext/>
      <w:keepLines/>
      <w:numPr>
        <w:ilvl w:val="1"/>
        <w:numId w:val="1"/>
      </w:numPr>
      <w:spacing w:before="120" w:after="60"/>
      <w:ind w:firstLine="0" w:firstLineChars="0"/>
      <w:outlineLvl w:val="1"/>
    </w:pPr>
    <w:rPr>
      <w:rFonts w:asciiTheme="minorHAnsi" w:hAnsiTheme="minorHAnsi" w:cstheme="majorBidi"/>
      <w:b/>
      <w:bCs/>
      <w:szCs w:val="32"/>
    </w:rPr>
  </w:style>
  <w:style w:type="paragraph" w:styleId="6">
    <w:name w:val="heading 3"/>
    <w:basedOn w:val="1"/>
    <w:next w:val="1"/>
    <w:link w:val="33"/>
    <w:qFormat/>
    <w:uiPriority w:val="2"/>
    <w:pPr>
      <w:keepNext/>
      <w:keepLines/>
      <w:numPr>
        <w:ilvl w:val="2"/>
        <w:numId w:val="1"/>
      </w:numPr>
      <w:spacing w:before="120" w:after="60" w:line="500" w:lineRule="exact"/>
      <w:ind w:left="0" w:firstLine="420" w:firstLineChars="200"/>
      <w:outlineLvl w:val="2"/>
    </w:pPr>
    <w:rPr>
      <w:rFonts w:eastAsia="仿宋_GB2312"/>
      <w:b/>
      <w:bCs/>
      <w:sz w:val="28"/>
      <w:szCs w:val="32"/>
    </w:rPr>
  </w:style>
  <w:style w:type="paragraph" w:styleId="7">
    <w:name w:val="heading 4"/>
    <w:basedOn w:val="8"/>
    <w:next w:val="1"/>
    <w:link w:val="36"/>
    <w:qFormat/>
    <w:uiPriority w:val="3"/>
    <w:pPr>
      <w:keepNext/>
      <w:keepLines/>
      <w:numPr>
        <w:ilvl w:val="3"/>
        <w:numId w:val="1"/>
      </w:numPr>
      <w:spacing w:before="120" w:after="60"/>
      <w:ind w:left="0" w:firstLine="200"/>
      <w:outlineLvl w:val="3"/>
    </w:pPr>
    <w:rPr>
      <w:rFonts w:cstheme="majorBidi"/>
      <w:b/>
      <w:bCs/>
    </w:rPr>
  </w:style>
  <w:style w:type="paragraph" w:styleId="9">
    <w:name w:val="heading 5"/>
    <w:basedOn w:val="8"/>
    <w:next w:val="8"/>
    <w:link w:val="37"/>
    <w:unhideWhenUsed/>
    <w:qFormat/>
    <w:uiPriority w:val="9"/>
    <w:pPr>
      <w:keepNext/>
      <w:keepLines/>
      <w:numPr>
        <w:ilvl w:val="4"/>
        <w:numId w:val="1"/>
      </w:numPr>
      <w:spacing w:before="120" w:after="60"/>
      <w:ind w:firstLine="0" w:firstLineChars="0"/>
      <w:outlineLvl w:val="4"/>
    </w:pPr>
    <w:rPr>
      <w:b/>
      <w:bCs/>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仿宋_GB2312" w:hAnsi="仿宋_GB2312" w:eastAsia="仿宋_GB2312" w:cs="仿宋_GB2312"/>
      <w:sz w:val="32"/>
      <w:szCs w:val="32"/>
      <w:lang w:val="zh-CN" w:bidi="zh-CN"/>
    </w:rPr>
  </w:style>
  <w:style w:type="paragraph" w:styleId="3">
    <w:name w:val="Normal Indent"/>
    <w:basedOn w:val="1"/>
    <w:next w:val="2"/>
    <w:qFormat/>
    <w:uiPriority w:val="0"/>
    <w:pPr>
      <w:ind w:firstLine="420"/>
    </w:pPr>
    <w:rPr>
      <w:sz w:val="14"/>
    </w:rPr>
  </w:style>
  <w:style w:type="paragraph" w:customStyle="1" w:styleId="8">
    <w:name w:val="闻政正文"/>
    <w:basedOn w:val="1"/>
    <w:link w:val="45"/>
    <w:qFormat/>
    <w:uiPriority w:val="3"/>
    <w:pPr>
      <w:spacing w:line="500" w:lineRule="exact"/>
      <w:ind w:firstLine="200" w:firstLineChars="200"/>
    </w:pPr>
    <w:rPr>
      <w:rFonts w:ascii="Times New Roman" w:hAnsi="Times New Roman" w:eastAsia="仿宋_GB2312" w:cs="Times New Roman"/>
      <w:kern w:val="0"/>
      <w:sz w:val="28"/>
      <w:szCs w:val="28"/>
      <w:lang w:val="zh-CN"/>
    </w:rPr>
  </w:style>
  <w:style w:type="paragraph" w:styleId="10">
    <w:name w:val="caption"/>
    <w:basedOn w:val="1"/>
    <w:next w:val="1"/>
    <w:unhideWhenUsed/>
    <w:qFormat/>
    <w:uiPriority w:val="35"/>
    <w:rPr>
      <w:rFonts w:eastAsia="黑体" w:asciiTheme="majorHAnsi" w:hAnsiTheme="majorHAnsi" w:cstheme="majorBidi"/>
      <w:sz w:val="20"/>
      <w:szCs w:val="20"/>
    </w:rPr>
  </w:style>
  <w:style w:type="paragraph" w:styleId="11">
    <w:name w:val="annotation text"/>
    <w:basedOn w:val="1"/>
    <w:link w:val="67"/>
    <w:unhideWhenUsed/>
    <w:qFormat/>
    <w:uiPriority w:val="99"/>
    <w:pPr>
      <w:jc w:val="left"/>
    </w:pPr>
  </w:style>
  <w:style w:type="paragraph" w:styleId="12">
    <w:name w:val="Body Text Indent"/>
    <w:basedOn w:val="1"/>
    <w:next w:val="1"/>
    <w:semiHidden/>
    <w:unhideWhenUsed/>
    <w:qFormat/>
    <w:uiPriority w:val="99"/>
    <w:pPr>
      <w:spacing w:after="120" w:afterLines="0" w:afterAutospacing="0"/>
      <w:ind w:left="420" w:leftChars="200"/>
    </w:pPr>
  </w:style>
  <w:style w:type="paragraph" w:styleId="13">
    <w:name w:val="toc 3"/>
    <w:basedOn w:val="1"/>
    <w:next w:val="1"/>
    <w:unhideWhenUsed/>
    <w:qFormat/>
    <w:uiPriority w:val="39"/>
    <w:pPr>
      <w:ind w:left="840" w:leftChars="400"/>
    </w:pPr>
  </w:style>
  <w:style w:type="paragraph" w:styleId="14">
    <w:name w:val="endnote text"/>
    <w:basedOn w:val="1"/>
    <w:link w:val="91"/>
    <w:semiHidden/>
    <w:unhideWhenUsed/>
    <w:qFormat/>
    <w:uiPriority w:val="99"/>
    <w:pPr>
      <w:snapToGrid w:val="0"/>
      <w:jc w:val="left"/>
    </w:pPr>
  </w:style>
  <w:style w:type="paragraph" w:styleId="15">
    <w:name w:val="Balloon Text"/>
    <w:basedOn w:val="1"/>
    <w:link w:val="39"/>
    <w:semiHidden/>
    <w:unhideWhenUsed/>
    <w:qFormat/>
    <w:uiPriority w:val="99"/>
    <w:rPr>
      <w:sz w:val="18"/>
      <w:szCs w:val="18"/>
    </w:rPr>
  </w:style>
  <w:style w:type="paragraph" w:styleId="16">
    <w:name w:val="footer"/>
    <w:basedOn w:val="1"/>
    <w:link w:val="40"/>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17">
    <w:name w:val="header"/>
    <w:basedOn w:val="1"/>
    <w:link w:val="6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8"/>
    <w:next w:val="8"/>
    <w:unhideWhenUsed/>
    <w:qFormat/>
    <w:uiPriority w:val="39"/>
    <w:pPr>
      <w:tabs>
        <w:tab w:val="right" w:leader="dot" w:pos="8296"/>
      </w:tabs>
      <w:spacing w:line="460" w:lineRule="exact"/>
      <w:ind w:firstLine="0" w:firstLineChars="0"/>
    </w:pPr>
    <w:rPr>
      <w:b/>
    </w:rPr>
  </w:style>
  <w:style w:type="paragraph" w:styleId="19">
    <w:name w:val="footnote text"/>
    <w:basedOn w:val="1"/>
    <w:link w:val="59"/>
    <w:qFormat/>
    <w:uiPriority w:val="0"/>
    <w:pPr>
      <w:snapToGrid w:val="0"/>
      <w:jc w:val="left"/>
    </w:pPr>
    <w:rPr>
      <w:rFonts w:ascii="Times New Roman" w:hAnsi="Times New Roman" w:eastAsia="仿宋_GB2312"/>
      <w:sz w:val="18"/>
      <w:szCs w:val="18"/>
    </w:rPr>
  </w:style>
  <w:style w:type="paragraph" w:styleId="20">
    <w:name w:val="toc 2"/>
    <w:basedOn w:val="8"/>
    <w:next w:val="8"/>
    <w:unhideWhenUsed/>
    <w:qFormat/>
    <w:uiPriority w:val="39"/>
    <w:pPr>
      <w:tabs>
        <w:tab w:val="right" w:leader="dot" w:pos="8296"/>
      </w:tabs>
      <w:spacing w:line="460" w:lineRule="exact"/>
      <w:ind w:left="200" w:leftChars="200" w:firstLine="0" w:firstLineChars="0"/>
    </w:pPr>
  </w:style>
  <w:style w:type="paragraph" w:styleId="21">
    <w:name w:val="Title"/>
    <w:basedOn w:val="1"/>
    <w:next w:val="1"/>
    <w:qFormat/>
    <w:uiPriority w:val="10"/>
    <w:pPr>
      <w:spacing w:before="240" w:after="60"/>
      <w:jc w:val="left"/>
      <w:outlineLvl w:val="0"/>
    </w:pPr>
    <w:rPr>
      <w:rFonts w:ascii="等线 Light" w:hAnsi="等线 Light" w:eastAsia="仿宋"/>
      <w:b/>
      <w:bCs/>
      <w:szCs w:val="32"/>
    </w:rPr>
  </w:style>
  <w:style w:type="paragraph" w:styleId="22">
    <w:name w:val="annotation subject"/>
    <w:basedOn w:val="11"/>
    <w:next w:val="11"/>
    <w:link w:val="68"/>
    <w:semiHidden/>
    <w:unhideWhenUsed/>
    <w:qFormat/>
    <w:uiPriority w:val="99"/>
    <w:rPr>
      <w:b/>
      <w:bCs/>
    </w:rPr>
  </w:style>
  <w:style w:type="paragraph" w:styleId="23">
    <w:name w:val="Body Text First Indent"/>
    <w:basedOn w:val="2"/>
    <w:next w:val="24"/>
    <w:qFormat/>
    <w:uiPriority w:val="99"/>
    <w:pPr>
      <w:spacing w:line="360" w:lineRule="auto"/>
      <w:ind w:firstLine="420" w:firstLineChars="100"/>
      <w:jc w:val="left"/>
    </w:pPr>
    <w:rPr>
      <w:b/>
      <w:sz w:val="32"/>
    </w:rPr>
  </w:style>
  <w:style w:type="paragraph" w:styleId="24">
    <w:name w:val="Body Text First Indent 2"/>
    <w:basedOn w:val="12"/>
    <w:next w:val="23"/>
    <w:semiHidden/>
    <w:unhideWhenUsed/>
    <w:qFormat/>
    <w:uiPriority w:val="99"/>
    <w:pPr>
      <w:ind w:firstLine="420" w:firstLineChars="200"/>
    </w:pPr>
  </w:style>
  <w:style w:type="table" w:styleId="26">
    <w:name w:val="Table Grid"/>
    <w:basedOn w:val="25"/>
    <w:qFormat/>
    <w:uiPriority w:val="99"/>
    <w:pPr>
      <w:spacing w:line="300" w:lineRule="exact"/>
      <w:jc w:val="center"/>
    </w:pPr>
    <w:rPr>
      <w:rFonts w:eastAsia="仿宋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character" w:styleId="28">
    <w:name w:val="endnote reference"/>
    <w:basedOn w:val="27"/>
    <w:semiHidden/>
    <w:unhideWhenUsed/>
    <w:qFormat/>
    <w:uiPriority w:val="99"/>
    <w:rPr>
      <w:vertAlign w:val="superscript"/>
    </w:rPr>
  </w:style>
  <w:style w:type="character" w:styleId="29">
    <w:name w:val="page number"/>
    <w:unhideWhenUsed/>
    <w:qFormat/>
    <w:uiPriority w:val="99"/>
  </w:style>
  <w:style w:type="character" w:styleId="30">
    <w:name w:val="Hyperlink"/>
    <w:basedOn w:val="27"/>
    <w:unhideWhenUsed/>
    <w:qFormat/>
    <w:uiPriority w:val="99"/>
    <w:rPr>
      <w:color w:val="0563C1" w:themeColor="hyperlink"/>
      <w:u w:val="single"/>
      <w14:textFill>
        <w14:solidFill>
          <w14:schemeClr w14:val="hlink"/>
        </w14:solidFill>
      </w14:textFill>
    </w:rPr>
  </w:style>
  <w:style w:type="character" w:styleId="31">
    <w:name w:val="annotation reference"/>
    <w:basedOn w:val="27"/>
    <w:semiHidden/>
    <w:unhideWhenUsed/>
    <w:qFormat/>
    <w:uiPriority w:val="99"/>
    <w:rPr>
      <w:sz w:val="21"/>
      <w:szCs w:val="21"/>
    </w:rPr>
  </w:style>
  <w:style w:type="character" w:styleId="32">
    <w:name w:val="footnote reference"/>
    <w:qFormat/>
    <w:uiPriority w:val="0"/>
    <w:rPr>
      <w:vertAlign w:val="superscript"/>
    </w:rPr>
  </w:style>
  <w:style w:type="character" w:customStyle="1" w:styleId="33">
    <w:name w:val="标题 3 字符"/>
    <w:basedOn w:val="27"/>
    <w:link w:val="6"/>
    <w:qFormat/>
    <w:uiPriority w:val="2"/>
    <w:rPr>
      <w:rFonts w:eastAsia="仿宋_GB2312" w:cs="Times New Roman" w:asciiTheme="minorHAnsi" w:hAnsiTheme="minorHAnsi"/>
      <w:b/>
      <w:bCs/>
      <w:kern w:val="0"/>
      <w:sz w:val="28"/>
      <w:szCs w:val="32"/>
      <w:lang w:val="zh-CN" w:eastAsia="zh-CN"/>
    </w:rPr>
  </w:style>
  <w:style w:type="character" w:customStyle="1" w:styleId="34">
    <w:name w:val="标题 1 字符"/>
    <w:basedOn w:val="27"/>
    <w:link w:val="4"/>
    <w:qFormat/>
    <w:uiPriority w:val="0"/>
    <w:rPr>
      <w:rFonts w:ascii="Times New Roman" w:hAnsi="Times New Roman" w:eastAsia="黑体" w:cs="Times New Roman"/>
      <w:bCs/>
      <w:kern w:val="44"/>
      <w:sz w:val="32"/>
      <w:szCs w:val="44"/>
      <w:lang w:val="zh-CN" w:eastAsia="zh-CN"/>
    </w:rPr>
  </w:style>
  <w:style w:type="character" w:customStyle="1" w:styleId="35">
    <w:name w:val="标题 2 字符"/>
    <w:basedOn w:val="27"/>
    <w:link w:val="5"/>
    <w:qFormat/>
    <w:uiPriority w:val="1"/>
    <w:rPr>
      <w:rFonts w:eastAsia="仿宋_GB2312" w:asciiTheme="minorHAnsi" w:hAnsiTheme="minorHAnsi" w:cstheme="majorBidi"/>
      <w:b/>
      <w:bCs/>
      <w:kern w:val="0"/>
      <w:sz w:val="28"/>
      <w:szCs w:val="32"/>
      <w:lang w:val="zh-CN" w:eastAsia="zh-CN"/>
    </w:rPr>
  </w:style>
  <w:style w:type="character" w:customStyle="1" w:styleId="36">
    <w:name w:val="标题 4 字符"/>
    <w:basedOn w:val="27"/>
    <w:link w:val="7"/>
    <w:qFormat/>
    <w:uiPriority w:val="3"/>
    <w:rPr>
      <w:rFonts w:ascii="Times New Roman" w:hAnsi="Times New Roman" w:eastAsia="仿宋_GB2312" w:cstheme="majorBidi"/>
      <w:b/>
      <w:bCs/>
      <w:kern w:val="0"/>
      <w:sz w:val="28"/>
      <w:szCs w:val="28"/>
      <w:lang w:val="zh-CN" w:eastAsia="zh-CN"/>
    </w:rPr>
  </w:style>
  <w:style w:type="character" w:customStyle="1" w:styleId="37">
    <w:name w:val="标题 5 字符"/>
    <w:basedOn w:val="27"/>
    <w:link w:val="9"/>
    <w:qFormat/>
    <w:uiPriority w:val="9"/>
    <w:rPr>
      <w:rFonts w:ascii="Times New Roman" w:hAnsi="Times New Roman" w:eastAsia="仿宋_GB2312" w:cs="Times New Roman"/>
      <w:b/>
      <w:bCs/>
      <w:kern w:val="0"/>
      <w:sz w:val="28"/>
      <w:szCs w:val="28"/>
      <w:lang w:val="zh-CN" w:eastAsia="zh-CN"/>
    </w:rPr>
  </w:style>
  <w:style w:type="paragraph" w:customStyle="1" w:styleId="38">
    <w:name w:val="TOC 标题1"/>
    <w:basedOn w:val="4"/>
    <w:next w:val="1"/>
    <w:unhideWhenUsed/>
    <w:qFormat/>
    <w:uiPriority w:val="39"/>
    <w:pPr>
      <w:widowControl/>
      <w:numPr>
        <w:numId w:val="0"/>
      </w:numPr>
      <w:spacing w:before="240" w:after="0" w:line="259" w:lineRule="auto"/>
      <w:outlineLvl w:val="9"/>
    </w:pPr>
    <w:rPr>
      <w:rFonts w:asciiTheme="majorHAnsi" w:hAnsiTheme="majorHAnsi" w:eastAsiaTheme="majorEastAsia" w:cstheme="majorBidi"/>
      <w:b/>
      <w:bCs w:val="0"/>
      <w:color w:val="2F5597" w:themeColor="accent1" w:themeShade="BF"/>
      <w:kern w:val="0"/>
      <w:szCs w:val="32"/>
    </w:rPr>
  </w:style>
  <w:style w:type="character" w:customStyle="1" w:styleId="39">
    <w:name w:val="批注框文本 字符"/>
    <w:basedOn w:val="27"/>
    <w:link w:val="15"/>
    <w:semiHidden/>
    <w:qFormat/>
    <w:uiPriority w:val="99"/>
    <w:rPr>
      <w:sz w:val="18"/>
      <w:szCs w:val="18"/>
    </w:rPr>
  </w:style>
  <w:style w:type="character" w:customStyle="1" w:styleId="40">
    <w:name w:val="页脚 字符"/>
    <w:basedOn w:val="27"/>
    <w:link w:val="16"/>
    <w:qFormat/>
    <w:uiPriority w:val="99"/>
    <w:rPr>
      <w:rFonts w:ascii="Calibri" w:hAnsi="Calibri" w:eastAsia="宋体" w:cs="Times New Roman"/>
      <w:sz w:val="18"/>
      <w:szCs w:val="18"/>
    </w:rPr>
  </w:style>
  <w:style w:type="paragraph" w:customStyle="1" w:styleId="41">
    <w:name w:val="闻政封面标题"/>
    <w:basedOn w:val="1"/>
    <w:next w:val="42"/>
    <w:qFormat/>
    <w:uiPriority w:val="0"/>
    <w:pPr>
      <w:spacing w:before="480" w:after="360"/>
      <w:jc w:val="center"/>
    </w:pPr>
    <w:rPr>
      <w:rFonts w:ascii="Times New Roman" w:hAnsi="Times New Roman" w:eastAsia="黑体" w:cs="Times New Roman"/>
      <w:b/>
      <w:snapToGrid w:val="0"/>
      <w:sz w:val="32"/>
      <w:szCs w:val="24"/>
    </w:rPr>
  </w:style>
  <w:style w:type="paragraph" w:customStyle="1" w:styleId="42">
    <w:name w:val="闻政封面项目信息"/>
    <w:basedOn w:val="1"/>
    <w:next w:val="43"/>
    <w:qFormat/>
    <w:uiPriority w:val="0"/>
    <w:pPr>
      <w:spacing w:before="120"/>
      <w:ind w:left="800" w:leftChars="800"/>
      <w:jc w:val="left"/>
    </w:pPr>
    <w:rPr>
      <w:rFonts w:ascii="Times New Roman" w:hAnsi="Times New Roman" w:eastAsia="黑体" w:cs="Times New Roman"/>
      <w:kern w:val="0"/>
      <w:sz w:val="28"/>
      <w:szCs w:val="28"/>
      <w:lang w:val="zh-CN"/>
    </w:rPr>
  </w:style>
  <w:style w:type="paragraph" w:customStyle="1" w:styleId="43">
    <w:name w:val="闻政封面完成时间"/>
    <w:basedOn w:val="42"/>
    <w:qFormat/>
    <w:uiPriority w:val="0"/>
    <w:pPr>
      <w:ind w:left="0" w:leftChars="0"/>
      <w:jc w:val="center"/>
    </w:pPr>
    <w:rPr>
      <w:b/>
    </w:rPr>
  </w:style>
  <w:style w:type="paragraph" w:customStyle="1" w:styleId="44">
    <w:name w:val="闻政页码"/>
    <w:qFormat/>
    <w:uiPriority w:val="6"/>
    <w:pPr>
      <w:jc w:val="center"/>
    </w:pPr>
    <w:rPr>
      <w:rFonts w:ascii="Times New Roman" w:hAnsi="Times New Roman" w:eastAsia="Times New Roman" w:cs="Times New Roman"/>
      <w:sz w:val="21"/>
      <w:szCs w:val="28"/>
      <w:lang w:val="en-US" w:eastAsia="zh-CN" w:bidi="ar-SA"/>
    </w:rPr>
  </w:style>
  <w:style w:type="character" w:customStyle="1" w:styleId="45">
    <w:name w:val="闻政正文 Char"/>
    <w:link w:val="8"/>
    <w:qFormat/>
    <w:uiPriority w:val="3"/>
    <w:rPr>
      <w:rFonts w:ascii="Times New Roman" w:hAnsi="Times New Roman" w:eastAsia="仿宋_GB2312" w:cs="Times New Roman"/>
      <w:kern w:val="0"/>
      <w:sz w:val="28"/>
      <w:szCs w:val="28"/>
      <w:lang w:val="zh-CN" w:eastAsia="zh-CN"/>
    </w:rPr>
  </w:style>
  <w:style w:type="paragraph" w:customStyle="1" w:styleId="46">
    <w:name w:val="闻政摘要标题"/>
    <w:basedOn w:val="1"/>
    <w:qFormat/>
    <w:uiPriority w:val="2"/>
    <w:pPr>
      <w:spacing w:before="480" w:after="360"/>
      <w:jc w:val="center"/>
      <w:outlineLvl w:val="0"/>
    </w:pPr>
    <w:rPr>
      <w:rFonts w:ascii="Times New Roman" w:hAnsi="Times New Roman" w:eastAsia="黑体" w:cs="Times New Roman"/>
      <w:b/>
      <w:snapToGrid w:val="0"/>
      <w:sz w:val="32"/>
      <w:szCs w:val="24"/>
    </w:rPr>
  </w:style>
  <w:style w:type="paragraph" w:customStyle="1" w:styleId="47">
    <w:name w:val="闻政图（表）注"/>
    <w:basedOn w:val="1"/>
    <w:link w:val="48"/>
    <w:qFormat/>
    <w:uiPriority w:val="5"/>
    <w:pPr>
      <w:spacing w:before="120"/>
    </w:pPr>
    <w:rPr>
      <w:rFonts w:ascii="Times New Roman" w:hAnsi="Times New Roman" w:eastAsia="仿宋_GB2312" w:cs="Arial"/>
      <w:kern w:val="0"/>
    </w:rPr>
  </w:style>
  <w:style w:type="character" w:customStyle="1" w:styleId="48">
    <w:name w:val="闻政图（表）注 Char"/>
    <w:link w:val="47"/>
    <w:qFormat/>
    <w:uiPriority w:val="5"/>
    <w:rPr>
      <w:rFonts w:ascii="Times New Roman" w:hAnsi="Times New Roman" w:eastAsia="仿宋_GB2312" w:cs="Arial"/>
      <w:kern w:val="0"/>
    </w:rPr>
  </w:style>
  <w:style w:type="paragraph" w:customStyle="1" w:styleId="49">
    <w:name w:val="闻政图表名"/>
    <w:basedOn w:val="1"/>
    <w:link w:val="50"/>
    <w:qFormat/>
    <w:uiPriority w:val="4"/>
    <w:pPr>
      <w:spacing w:before="60" w:after="60"/>
      <w:jc w:val="center"/>
    </w:pPr>
    <w:rPr>
      <w:rFonts w:ascii="Times New Roman" w:hAnsi="Times New Roman" w:eastAsia="仿宋_GB2312" w:cs="Times New Roman"/>
      <w:b/>
      <w:kern w:val="0"/>
      <w:sz w:val="24"/>
      <w:szCs w:val="28"/>
    </w:rPr>
  </w:style>
  <w:style w:type="character" w:customStyle="1" w:styleId="50">
    <w:name w:val="闻政图表名 字符"/>
    <w:link w:val="49"/>
    <w:qFormat/>
    <w:uiPriority w:val="4"/>
    <w:rPr>
      <w:rFonts w:ascii="Times New Roman" w:hAnsi="Times New Roman" w:eastAsia="仿宋_GB2312" w:cs="Times New Roman"/>
      <w:b/>
      <w:kern w:val="0"/>
      <w:sz w:val="24"/>
      <w:szCs w:val="28"/>
    </w:rPr>
  </w:style>
  <w:style w:type="paragraph" w:customStyle="1" w:styleId="51">
    <w:name w:val="闻政备注类"/>
    <w:basedOn w:val="8"/>
    <w:qFormat/>
    <w:uiPriority w:val="5"/>
    <w:pPr>
      <w:spacing w:line="240" w:lineRule="auto"/>
      <w:jc w:val="left"/>
    </w:pPr>
    <w:rPr>
      <w:rFonts w:cs="宋体"/>
      <w:sz w:val="21"/>
    </w:rPr>
  </w:style>
  <w:style w:type="paragraph" w:customStyle="1" w:styleId="52">
    <w:name w:val="闻政附件标题"/>
    <w:basedOn w:val="8"/>
    <w:qFormat/>
    <w:uiPriority w:val="6"/>
    <w:pPr>
      <w:numPr>
        <w:ilvl w:val="5"/>
        <w:numId w:val="1"/>
      </w:numPr>
      <w:spacing w:before="120" w:after="60" w:line="240" w:lineRule="auto"/>
      <w:ind w:firstLineChars="0"/>
      <w:outlineLvl w:val="0"/>
    </w:pPr>
    <w:rPr>
      <w:rFonts w:eastAsia="黑体"/>
      <w:b/>
      <w:sz w:val="32"/>
    </w:rPr>
  </w:style>
  <w:style w:type="paragraph" w:customStyle="1" w:styleId="53">
    <w:name w:val="闻政附件正文"/>
    <w:basedOn w:val="8"/>
    <w:qFormat/>
    <w:uiPriority w:val="6"/>
    <w:rPr>
      <w:sz w:val="24"/>
    </w:rPr>
  </w:style>
  <w:style w:type="paragraph" w:customStyle="1" w:styleId="54">
    <w:name w:val="闻政附件报告名"/>
    <w:basedOn w:val="8"/>
    <w:qFormat/>
    <w:uiPriority w:val="9"/>
    <w:pPr>
      <w:spacing w:before="120" w:after="60"/>
      <w:ind w:firstLine="0" w:firstLineChars="0"/>
      <w:jc w:val="center"/>
    </w:pPr>
    <w:rPr>
      <w:b/>
    </w:rPr>
  </w:style>
  <w:style w:type="paragraph" w:customStyle="1" w:styleId="55">
    <w:name w:val="闻政附件一级标题"/>
    <w:basedOn w:val="54"/>
    <w:next w:val="53"/>
    <w:qFormat/>
    <w:uiPriority w:val="6"/>
    <w:pPr>
      <w:ind w:firstLine="200" w:firstLineChars="200"/>
      <w:jc w:val="left"/>
    </w:pPr>
    <w:rPr>
      <w:rFonts w:cs="宋体"/>
    </w:rPr>
  </w:style>
  <w:style w:type="paragraph" w:customStyle="1" w:styleId="56">
    <w:name w:val="闻政附件二级标题"/>
    <w:basedOn w:val="55"/>
    <w:qFormat/>
    <w:uiPriority w:val="8"/>
    <w:rPr>
      <w:rFonts w:ascii="宋体" w:hAnsi="宋体" w:eastAsia="宋体"/>
    </w:rPr>
  </w:style>
  <w:style w:type="paragraph" w:customStyle="1" w:styleId="57">
    <w:name w:val="闻政附件三级标题"/>
    <w:basedOn w:val="56"/>
    <w:qFormat/>
    <w:uiPriority w:val="8"/>
    <w:rPr>
      <w:rFonts w:ascii="Times New Roman" w:hAnsi="Times New Roman" w:eastAsia="仿宋_GB2312"/>
    </w:rPr>
  </w:style>
  <w:style w:type="paragraph" w:customStyle="1" w:styleId="58">
    <w:name w:val="闻政附件四级标题"/>
    <w:basedOn w:val="57"/>
    <w:qFormat/>
    <w:uiPriority w:val="9"/>
    <w:pPr>
      <w:spacing w:before="0" w:after="0"/>
    </w:pPr>
  </w:style>
  <w:style w:type="character" w:customStyle="1" w:styleId="59">
    <w:name w:val="脚注文本 字符"/>
    <w:basedOn w:val="27"/>
    <w:link w:val="19"/>
    <w:qFormat/>
    <w:uiPriority w:val="0"/>
    <w:rPr>
      <w:rFonts w:ascii="Times New Roman" w:hAnsi="Times New Roman" w:eastAsia="仿宋_GB2312"/>
      <w:sz w:val="18"/>
      <w:szCs w:val="18"/>
    </w:rPr>
  </w:style>
  <w:style w:type="paragraph" w:customStyle="1" w:styleId="60">
    <w:name w:val="闻政脚注"/>
    <w:basedOn w:val="8"/>
    <w:link w:val="89"/>
    <w:qFormat/>
    <w:uiPriority w:val="9"/>
    <w:pPr>
      <w:spacing w:line="400" w:lineRule="exact"/>
      <w:ind w:firstLine="0" w:firstLineChars="0"/>
    </w:pPr>
    <w:rPr>
      <w:sz w:val="18"/>
    </w:rPr>
  </w:style>
  <w:style w:type="paragraph" w:customStyle="1" w:styleId="61">
    <w:name w:val="闻政目录标题"/>
    <w:basedOn w:val="41"/>
    <w:qFormat/>
    <w:uiPriority w:val="1"/>
  </w:style>
  <w:style w:type="character" w:customStyle="1" w:styleId="62">
    <w:name w:val="页眉 字符"/>
    <w:basedOn w:val="27"/>
    <w:link w:val="17"/>
    <w:qFormat/>
    <w:uiPriority w:val="99"/>
    <w:rPr>
      <w:sz w:val="18"/>
      <w:szCs w:val="18"/>
    </w:rPr>
  </w:style>
  <w:style w:type="table" w:customStyle="1" w:styleId="63">
    <w:name w:val="网格型浅色1"/>
    <w:basedOn w:val="25"/>
    <w:qFormat/>
    <w:uiPriority w:val="40"/>
    <w:tblPr>
      <w:tblBorders>
        <w:top w:val="single" w:color="80C588" w:themeColor="background1" w:themeShade="BF" w:sz="4" w:space="0"/>
        <w:left w:val="single" w:color="80C588" w:themeColor="background1" w:themeShade="BF" w:sz="4" w:space="0"/>
        <w:bottom w:val="single" w:color="80C588" w:themeColor="background1" w:themeShade="BF" w:sz="4" w:space="0"/>
        <w:right w:val="single" w:color="80C588" w:themeColor="background1" w:themeShade="BF" w:sz="4" w:space="0"/>
        <w:insideH w:val="single" w:color="80C588" w:themeColor="background1" w:themeShade="BF" w:sz="4" w:space="0"/>
        <w:insideV w:val="single" w:color="80C588" w:themeColor="background1" w:themeShade="BF" w:sz="4" w:space="0"/>
      </w:tblBorders>
    </w:tblPr>
  </w:style>
  <w:style w:type="table" w:customStyle="1" w:styleId="64">
    <w:name w:val="无格式表格 11"/>
    <w:basedOn w:val="25"/>
    <w:qFormat/>
    <w:uiPriority w:val="41"/>
    <w:tblPr>
      <w:tblBorders>
        <w:top w:val="single" w:color="80C588" w:themeColor="background1" w:themeShade="BF" w:sz="4" w:space="0"/>
        <w:left w:val="single" w:color="80C588" w:themeColor="background1" w:themeShade="BF" w:sz="4" w:space="0"/>
        <w:bottom w:val="single" w:color="80C588" w:themeColor="background1" w:themeShade="BF" w:sz="4" w:space="0"/>
        <w:right w:val="single" w:color="80C588" w:themeColor="background1" w:themeShade="BF" w:sz="4" w:space="0"/>
        <w:insideH w:val="single" w:color="80C588" w:themeColor="background1" w:themeShade="BF" w:sz="4" w:space="0"/>
        <w:insideV w:val="single" w:color="80C588" w:themeColor="background1" w:themeShade="BF" w:sz="4" w:space="0"/>
      </w:tblBorders>
    </w:tblPr>
    <w:tblStylePr w:type="firstRow">
      <w:rPr>
        <w:b/>
        <w:bCs/>
      </w:rPr>
    </w:tblStylePr>
    <w:tblStylePr w:type="lastRow">
      <w:rPr>
        <w:b/>
        <w:bCs/>
      </w:rPr>
      <w:tcPr>
        <w:tcBorders>
          <w:top w:val="double" w:color="80C588" w:themeColor="background1" w:themeShade="BF" w:sz="4" w:space="0"/>
        </w:tcBorders>
      </w:tcPr>
    </w:tblStylePr>
    <w:tblStylePr w:type="firstCol">
      <w:rPr>
        <w:b/>
        <w:bCs/>
      </w:rPr>
    </w:tblStylePr>
    <w:tblStylePr w:type="lastCol">
      <w:rPr>
        <w:b/>
        <w:bCs/>
      </w:rPr>
    </w:tblStylePr>
    <w:tblStylePr w:type="band1Vert">
      <w:tcPr>
        <w:shd w:val="clear" w:color="auto" w:fill="BCE1C0" w:themeFill="background1" w:themeFillShade="F2"/>
      </w:tcPr>
    </w:tblStylePr>
    <w:tblStylePr w:type="band1Horz">
      <w:tcPr>
        <w:shd w:val="clear" w:color="auto" w:fill="BCE1C0" w:themeFill="background1" w:themeFillShade="F2"/>
      </w:tcPr>
    </w:tblStylePr>
  </w:style>
  <w:style w:type="paragraph" w:customStyle="1" w:styleId="65">
    <w:name w:val="闻政表文字"/>
    <w:basedOn w:val="8"/>
    <w:link w:val="66"/>
    <w:qFormat/>
    <w:uiPriority w:val="5"/>
    <w:pPr>
      <w:widowControl/>
      <w:spacing w:line="320" w:lineRule="exact"/>
      <w:ind w:firstLine="0" w:firstLineChars="0"/>
      <w:jc w:val="center"/>
    </w:pPr>
    <w:rPr>
      <w:rFonts w:cs="宋体"/>
      <w:bCs/>
      <w:color w:val="000000"/>
      <w:sz w:val="22"/>
      <w:szCs w:val="22"/>
    </w:rPr>
  </w:style>
  <w:style w:type="character" w:customStyle="1" w:styleId="66">
    <w:name w:val="闻政表文字 字符"/>
    <w:basedOn w:val="45"/>
    <w:link w:val="65"/>
    <w:qFormat/>
    <w:uiPriority w:val="5"/>
    <w:rPr>
      <w:rFonts w:ascii="Times New Roman" w:hAnsi="Times New Roman" w:eastAsia="仿宋_GB2312" w:cs="宋体"/>
      <w:bCs/>
      <w:color w:val="000000"/>
      <w:kern w:val="0"/>
      <w:sz w:val="22"/>
      <w:szCs w:val="22"/>
      <w:lang w:val="zh-CN" w:eastAsia="zh-CN"/>
    </w:rPr>
  </w:style>
  <w:style w:type="character" w:customStyle="1" w:styleId="67">
    <w:name w:val="批注文字 字符"/>
    <w:basedOn w:val="27"/>
    <w:link w:val="11"/>
    <w:qFormat/>
    <w:uiPriority w:val="99"/>
  </w:style>
  <w:style w:type="character" w:customStyle="1" w:styleId="68">
    <w:name w:val="批注主题 字符"/>
    <w:basedOn w:val="67"/>
    <w:link w:val="22"/>
    <w:semiHidden/>
    <w:qFormat/>
    <w:uiPriority w:val="99"/>
    <w:rPr>
      <w:b/>
      <w:bCs/>
    </w:rPr>
  </w:style>
  <w:style w:type="paragraph" w:customStyle="1" w:styleId="69">
    <w:name w:val="p0"/>
    <w:basedOn w:val="1"/>
    <w:qFormat/>
    <w:uiPriority w:val="0"/>
    <w:rPr>
      <w:rFonts w:ascii="Calibri" w:hAnsi="Calibri"/>
    </w:rPr>
  </w:style>
  <w:style w:type="paragraph" w:customStyle="1" w:styleId="70">
    <w:name w:val="报告正文"/>
    <w:basedOn w:val="1"/>
    <w:qFormat/>
    <w:uiPriority w:val="0"/>
    <w:rPr>
      <w:rFonts w:ascii="Times New Roman" w:hAnsi="Times New Roman"/>
    </w:rPr>
  </w:style>
  <w:style w:type="character" w:customStyle="1" w:styleId="71">
    <w:name w:val="font41"/>
    <w:qFormat/>
    <w:uiPriority w:val="0"/>
    <w:rPr>
      <w:rFonts w:hint="eastAsia" w:ascii="仿宋_GB2312" w:eastAsia="仿宋_GB2312" w:cs="仿宋_GB2312"/>
      <w:color w:val="000000"/>
      <w:sz w:val="22"/>
      <w:szCs w:val="22"/>
      <w:u w:val="none"/>
    </w:rPr>
  </w:style>
  <w:style w:type="paragraph" w:customStyle="1" w:styleId="72">
    <w:name w:val="正文格式"/>
    <w:basedOn w:val="1"/>
    <w:qFormat/>
    <w:uiPriority w:val="0"/>
    <w:pPr>
      <w:spacing w:line="264" w:lineRule="auto"/>
      <w:ind w:firstLine="200" w:firstLineChars="200"/>
    </w:pPr>
    <w:rPr>
      <w:rFonts w:ascii="Times New Roman" w:hAnsi="Times New Roman" w:eastAsia="宋体"/>
      <w:sz w:val="22"/>
      <w:szCs w:val="28"/>
    </w:rPr>
  </w:style>
  <w:style w:type="character" w:customStyle="1" w:styleId="73">
    <w:name w:val="font31"/>
    <w:basedOn w:val="27"/>
    <w:qFormat/>
    <w:uiPriority w:val="0"/>
    <w:rPr>
      <w:rFonts w:ascii="仿宋_GB2312" w:eastAsia="仿宋_GB2312" w:cs="仿宋_GB2312"/>
      <w:b/>
      <w:bCs/>
      <w:color w:val="000000"/>
      <w:sz w:val="22"/>
      <w:szCs w:val="22"/>
      <w:u w:val="none"/>
    </w:rPr>
  </w:style>
  <w:style w:type="character" w:customStyle="1" w:styleId="74">
    <w:name w:val="font11"/>
    <w:basedOn w:val="27"/>
    <w:qFormat/>
    <w:uiPriority w:val="0"/>
    <w:rPr>
      <w:rFonts w:hint="eastAsia" w:ascii="仿宋_GB2312" w:eastAsia="仿宋_GB2312" w:cs="仿宋_GB2312"/>
      <w:color w:val="000000"/>
      <w:sz w:val="22"/>
      <w:szCs w:val="22"/>
      <w:u w:val="none"/>
    </w:rPr>
  </w:style>
  <w:style w:type="character" w:customStyle="1" w:styleId="75">
    <w:name w:val="font51"/>
    <w:basedOn w:val="27"/>
    <w:qFormat/>
    <w:uiPriority w:val="0"/>
    <w:rPr>
      <w:rFonts w:hint="default" w:ascii="Times New Roman" w:hAnsi="Times New Roman" w:cs="Times New Roman"/>
      <w:color w:val="000000"/>
      <w:sz w:val="22"/>
      <w:szCs w:val="22"/>
      <w:u w:val="none"/>
    </w:rPr>
  </w:style>
  <w:style w:type="character" w:customStyle="1" w:styleId="76">
    <w:name w:val="font81"/>
    <w:basedOn w:val="27"/>
    <w:qFormat/>
    <w:uiPriority w:val="0"/>
    <w:rPr>
      <w:rFonts w:ascii="仿宋_GB2312" w:eastAsia="仿宋_GB2312" w:cs="仿宋_GB2312"/>
      <w:b/>
      <w:bCs/>
      <w:color w:val="000000"/>
      <w:sz w:val="22"/>
      <w:szCs w:val="22"/>
      <w:u w:val="none"/>
    </w:rPr>
  </w:style>
  <w:style w:type="character" w:customStyle="1" w:styleId="77">
    <w:name w:val="font91"/>
    <w:basedOn w:val="27"/>
    <w:qFormat/>
    <w:uiPriority w:val="0"/>
    <w:rPr>
      <w:rFonts w:hint="eastAsia" w:ascii="仿宋_GB2312" w:eastAsia="仿宋_GB2312" w:cs="仿宋_GB2312"/>
      <w:b/>
      <w:bCs/>
      <w:color w:val="000000"/>
      <w:sz w:val="22"/>
      <w:szCs w:val="22"/>
      <w:u w:val="none"/>
    </w:rPr>
  </w:style>
  <w:style w:type="character" w:customStyle="1" w:styleId="78">
    <w:name w:val="font101"/>
    <w:basedOn w:val="27"/>
    <w:qFormat/>
    <w:uiPriority w:val="0"/>
    <w:rPr>
      <w:rFonts w:hint="eastAsia" w:ascii="仿宋_GB2312" w:eastAsia="仿宋_GB2312" w:cs="仿宋_GB2312"/>
      <w:color w:val="000000"/>
      <w:sz w:val="22"/>
      <w:szCs w:val="22"/>
      <w:u w:val="none"/>
    </w:rPr>
  </w:style>
  <w:style w:type="character" w:customStyle="1" w:styleId="79">
    <w:name w:val="font112"/>
    <w:basedOn w:val="27"/>
    <w:qFormat/>
    <w:uiPriority w:val="0"/>
    <w:rPr>
      <w:rFonts w:hint="eastAsia" w:ascii="仿宋_GB2312" w:eastAsia="仿宋_GB2312" w:cs="仿宋_GB2312"/>
      <w:color w:val="000000"/>
      <w:sz w:val="22"/>
      <w:szCs w:val="22"/>
      <w:u w:val="none"/>
    </w:rPr>
  </w:style>
  <w:style w:type="character" w:customStyle="1" w:styleId="80">
    <w:name w:val="font21"/>
    <w:basedOn w:val="27"/>
    <w:qFormat/>
    <w:uiPriority w:val="0"/>
    <w:rPr>
      <w:rFonts w:ascii="仿宋_GB2312" w:eastAsia="仿宋_GB2312" w:cs="仿宋_GB2312"/>
      <w:b/>
      <w:bCs/>
      <w:color w:val="000000"/>
      <w:sz w:val="22"/>
      <w:szCs w:val="22"/>
      <w:u w:val="none"/>
    </w:rPr>
  </w:style>
  <w:style w:type="character" w:customStyle="1" w:styleId="81">
    <w:name w:val="font01"/>
    <w:basedOn w:val="27"/>
    <w:qFormat/>
    <w:uiPriority w:val="0"/>
    <w:rPr>
      <w:rFonts w:ascii="仿宋_GB2312" w:eastAsia="仿宋_GB2312" w:cs="仿宋_GB2312"/>
      <w:b/>
      <w:bCs/>
      <w:color w:val="000000"/>
      <w:sz w:val="22"/>
      <w:szCs w:val="22"/>
      <w:u w:val="none"/>
    </w:rPr>
  </w:style>
  <w:style w:type="paragraph" w:customStyle="1" w:styleId="82">
    <w:name w:val="六级标题"/>
    <w:basedOn w:val="83"/>
    <w:next w:val="72"/>
    <w:qFormat/>
    <w:uiPriority w:val="0"/>
    <w:pPr>
      <w:spacing w:before="50" w:after="50"/>
      <w:outlineLvl w:val="5"/>
    </w:pPr>
    <w:rPr>
      <w:rFonts w:hAnsi="Times New Roman"/>
    </w:rPr>
  </w:style>
  <w:style w:type="paragraph" w:customStyle="1" w:styleId="83">
    <w:name w:val="五级标题"/>
    <w:basedOn w:val="84"/>
    <w:next w:val="72"/>
    <w:qFormat/>
    <w:uiPriority w:val="0"/>
    <w:pPr>
      <w:numPr>
        <w:ilvl w:val="4"/>
      </w:numPr>
      <w:outlineLvl w:val="4"/>
    </w:pPr>
    <w:rPr>
      <w:rFonts w:hAnsi="宋体"/>
    </w:rPr>
  </w:style>
  <w:style w:type="paragraph" w:customStyle="1" w:styleId="84">
    <w:name w:val="四级标题"/>
    <w:basedOn w:val="85"/>
    <w:next w:val="72"/>
    <w:qFormat/>
    <w:uiPriority w:val="0"/>
    <w:pPr>
      <w:numPr>
        <w:ilvl w:val="3"/>
      </w:numPr>
      <w:outlineLvl w:val="3"/>
    </w:pPr>
    <w:rPr>
      <w:sz w:val="22"/>
    </w:rPr>
  </w:style>
  <w:style w:type="paragraph" w:customStyle="1" w:styleId="85">
    <w:name w:val="三级标题"/>
    <w:basedOn w:val="86"/>
    <w:next w:val="72"/>
    <w:qFormat/>
    <w:uiPriority w:val="0"/>
    <w:pPr>
      <w:numPr>
        <w:ilvl w:val="2"/>
      </w:numPr>
      <w:outlineLvl w:val="2"/>
    </w:pPr>
    <w:rPr>
      <w:lang w:val="zh-CN"/>
    </w:rPr>
  </w:style>
  <w:style w:type="paragraph" w:customStyle="1" w:styleId="86">
    <w:name w:val="二级标题"/>
    <w:basedOn w:val="87"/>
    <w:next w:val="72"/>
    <w:qFormat/>
    <w:uiPriority w:val="0"/>
    <w:pPr>
      <w:numPr>
        <w:ilvl w:val="1"/>
      </w:numPr>
      <w:spacing w:before="156" w:after="156"/>
      <w:jc w:val="left"/>
      <w:outlineLvl w:val="1"/>
    </w:pPr>
  </w:style>
  <w:style w:type="paragraph" w:customStyle="1" w:styleId="87">
    <w:name w:val="一级标题"/>
    <w:basedOn w:val="72"/>
    <w:next w:val="72"/>
    <w:qFormat/>
    <w:uiPriority w:val="0"/>
    <w:pPr>
      <w:numPr>
        <w:ilvl w:val="0"/>
        <w:numId w:val="2"/>
      </w:numPr>
      <w:spacing w:before="50" w:beforeLines="50" w:after="50" w:afterLines="50" w:line="240" w:lineRule="auto"/>
      <w:ind w:firstLineChars="0"/>
      <w:jc w:val="center"/>
      <w:outlineLvl w:val="0"/>
    </w:pPr>
    <w:rPr>
      <w:rFonts w:cs="Times New Roman"/>
      <w:b/>
      <w:sz w:val="24"/>
    </w:rPr>
  </w:style>
  <w:style w:type="character" w:customStyle="1" w:styleId="88">
    <w:name w:val="font61"/>
    <w:basedOn w:val="27"/>
    <w:qFormat/>
    <w:uiPriority w:val="0"/>
    <w:rPr>
      <w:rFonts w:hint="eastAsia" w:ascii="仿宋_GB2312" w:eastAsia="仿宋_GB2312" w:cs="仿宋_GB2312"/>
      <w:color w:val="000000"/>
      <w:sz w:val="22"/>
      <w:szCs w:val="22"/>
      <w:u w:val="none"/>
    </w:rPr>
  </w:style>
  <w:style w:type="character" w:customStyle="1" w:styleId="89">
    <w:name w:val="闻政脚注 Char"/>
    <w:link w:val="60"/>
    <w:qFormat/>
    <w:uiPriority w:val="9"/>
    <w:rPr>
      <w:sz w:val="18"/>
    </w:rPr>
  </w:style>
  <w:style w:type="paragraph" w:customStyle="1" w:styleId="90">
    <w:name w:val="修订1"/>
    <w:hidden/>
    <w:unhideWhenUsed/>
    <w:qFormat/>
    <w:uiPriority w:val="99"/>
    <w:rPr>
      <w:rFonts w:asciiTheme="minorHAnsi" w:hAnsiTheme="minorHAnsi" w:eastAsiaTheme="minorEastAsia" w:cstheme="minorBidi"/>
      <w:kern w:val="2"/>
      <w:sz w:val="21"/>
      <w:szCs w:val="21"/>
      <w:lang w:val="en-US" w:eastAsia="zh-CN" w:bidi="ar-SA"/>
    </w:rPr>
  </w:style>
  <w:style w:type="character" w:customStyle="1" w:styleId="91">
    <w:name w:val="尾注文本 字符"/>
    <w:basedOn w:val="27"/>
    <w:link w:val="14"/>
    <w:semiHidden/>
    <w:qFormat/>
    <w:uiPriority w:val="99"/>
    <w:rPr>
      <w:rFonts w:asciiTheme="minorHAnsi" w:hAnsiTheme="minorHAnsi" w:eastAsiaTheme="minorEastAsia" w:cstheme="minorBidi"/>
      <w:kern w:val="2"/>
      <w:sz w:val="21"/>
      <w:szCs w:val="21"/>
    </w:rPr>
  </w:style>
  <w:style w:type="paragraph" w:customStyle="1" w:styleId="92">
    <w:name w:val="修订2"/>
    <w:hidden/>
    <w:unhideWhenUsed/>
    <w:qFormat/>
    <w:uiPriority w:val="99"/>
    <w:rPr>
      <w:rFonts w:asciiTheme="minorHAnsi" w:hAnsiTheme="minorHAnsi" w:eastAsiaTheme="minorEastAsia" w:cstheme="minorBidi"/>
      <w:kern w:val="2"/>
      <w:sz w:val="21"/>
      <w:szCs w:val="21"/>
      <w:lang w:val="en-US" w:eastAsia="zh-CN" w:bidi="ar-SA"/>
    </w:rPr>
  </w:style>
  <w:style w:type="paragraph" w:customStyle="1" w:styleId="93">
    <w:name w:val="Revision"/>
    <w:hidden/>
    <w:semiHidden/>
    <w:qFormat/>
    <w:uiPriority w:val="99"/>
    <w:rPr>
      <w:rFonts w:asciiTheme="minorHAnsi" w:hAnsiTheme="minorHAnsi" w:eastAsiaTheme="minorEastAsia" w:cstheme="minorBidi"/>
      <w:kern w:val="2"/>
      <w:sz w:val="21"/>
      <w:szCs w:val="21"/>
      <w:lang w:val="en-US" w:eastAsia="zh-CN" w:bidi="ar-SA"/>
    </w:rPr>
  </w:style>
  <w:style w:type="paragraph" w:customStyle="1" w:styleId="94">
    <w:name w:val="列出段落1"/>
    <w:basedOn w:val="1"/>
    <w:qFormat/>
    <w:uiPriority w:val="99"/>
    <w:pPr>
      <w:ind w:firstLine="420"/>
    </w:pPr>
    <w:rPr>
      <w:rFonts w:ascii="Calibri" w:hAnsi="Calibri" w:cs="黑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5614\Documents\Tencent%20Files\656147200\FileRecv\MobileFile\04-&#38395;&#25919;-&#26684;&#24335;&#27169;&#26495;-20190219-&#26356;&#26032;-v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2FF8C-C958-461E-82C3-6D57C4E01190}">
  <ds:schemaRefs/>
</ds:datastoreItem>
</file>

<file path=docProps/app.xml><?xml version="1.0" encoding="utf-8"?>
<Properties xmlns="http://schemas.openxmlformats.org/officeDocument/2006/extended-properties" xmlns:vt="http://schemas.openxmlformats.org/officeDocument/2006/docPropsVTypes">
  <Template>04-闻政-格式模板-20190219-更新-v3.dotm</Template>
  <Pages>12</Pages>
  <Words>4556</Words>
  <Characters>4791</Characters>
  <Lines>293</Lines>
  <Paragraphs>82</Paragraphs>
  <TotalTime>13</TotalTime>
  <ScaleCrop>false</ScaleCrop>
  <LinksUpToDate>false</LinksUpToDate>
  <CharactersWithSpaces>4799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2021-06-17T05:24:00Z</dcterms:created>
  <dc:creator>ps</dc:creator>
  <cp:lastModifiedBy>TiAmo</cp:lastModifiedBy>
  <cp:lastPrinted>2022-07-01T03:17:00Z</cp:lastPrinted>
  <dcterms:modified xsi:type="dcterms:W3CDTF">2022-12-14T03:14:07Z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AEE0AEC7F31E4E578835664090819B5C</vt:lpwstr>
  </property>
</Properties>
</file>