
<file path=[Content_Types].xml><?xml version="1.0" encoding="utf-8"?>
<Types xmlns="http://schemas.openxmlformats.org/package/2006/content-types">
  <Default Extension="xml" ContentType="application/xml"/>
  <Default Extension="xlsx" ContentType="application/vnd.openxmlformats-officedocument.spreadsheetml.sheet"/>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4"/>
        <w:jc w:val="both"/>
        <w:rPr>
          <w:rFonts w:eastAsia="宋体"/>
          <w:color w:val="auto"/>
        </w:rPr>
      </w:pPr>
    </w:p>
    <w:p>
      <w:pPr>
        <w:pStyle w:val="44"/>
        <w:jc w:val="both"/>
        <w:rPr>
          <w:rFonts w:eastAsia="宋体"/>
          <w:color w:val="auto"/>
        </w:rPr>
      </w:pPr>
    </w:p>
    <w:p>
      <w:pPr>
        <w:spacing w:line="700" w:lineRule="exact"/>
        <w:jc w:val="center"/>
        <w:rPr>
          <w:rFonts w:hint="eastAsia" w:ascii="方正小标宋简体" w:hAnsi="方正小标宋简体" w:eastAsia="方正小标宋简体" w:cs="方正小标宋简体"/>
          <w:sz w:val="48"/>
          <w:szCs w:val="48"/>
        </w:rPr>
      </w:pPr>
    </w:p>
    <w:p>
      <w:pPr>
        <w:spacing w:line="700" w:lineRule="exact"/>
        <w:jc w:val="center"/>
        <w:rPr>
          <w:rFonts w:hint="eastAsia" w:ascii="方正小标宋简体" w:hAnsi="方正小标宋简体" w:eastAsia="方正小标宋简体" w:cs="方正小标宋简体"/>
          <w:sz w:val="48"/>
          <w:szCs w:val="48"/>
        </w:rPr>
      </w:pPr>
    </w:p>
    <w:p>
      <w:pPr>
        <w:spacing w:line="700" w:lineRule="exact"/>
        <w:jc w:val="center"/>
        <w:rPr>
          <w:rFonts w:hint="eastAsia" w:ascii="方正小标宋简体" w:hAnsi="方正小标宋简体" w:eastAsia="方正小标宋简体" w:cs="方正小标宋简体"/>
          <w:sz w:val="44"/>
          <w:szCs w:val="44"/>
          <w:lang w:eastAsia="zh-CN"/>
        </w:rPr>
      </w:pPr>
      <w:r>
        <w:rPr>
          <w:rFonts w:hint="eastAsia" w:ascii="方正小标宋简体" w:hAnsi="方正小标宋简体" w:eastAsia="方正小标宋简体" w:cs="方正小标宋简体"/>
          <w:sz w:val="44"/>
          <w:szCs w:val="44"/>
        </w:rPr>
        <w:t>菏泽市</w:t>
      </w:r>
      <w:r>
        <w:rPr>
          <w:rFonts w:hint="eastAsia" w:ascii="方正小标宋简体" w:hAnsi="方正小标宋简体" w:eastAsia="方正小标宋简体" w:cs="方正小标宋简体"/>
          <w:sz w:val="44"/>
          <w:szCs w:val="44"/>
          <w:lang w:eastAsia="zh-CN"/>
        </w:rPr>
        <w:t>非道路移动机械环保编码登记</w:t>
      </w:r>
    </w:p>
    <w:p>
      <w:pPr>
        <w:spacing w:line="70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eastAsia="zh-CN"/>
        </w:rPr>
        <w:t>政府采购项目</w:t>
      </w:r>
      <w:r>
        <w:rPr>
          <w:rFonts w:hint="eastAsia" w:ascii="方正小标宋简体" w:hAnsi="方正小标宋简体" w:eastAsia="方正小标宋简体" w:cs="方正小标宋简体"/>
          <w:sz w:val="44"/>
          <w:szCs w:val="44"/>
        </w:rPr>
        <w:t>绩效评价报告</w:t>
      </w:r>
    </w:p>
    <w:p>
      <w:pPr>
        <w:pStyle w:val="44"/>
        <w:keepNext w:val="0"/>
        <w:keepLines w:val="0"/>
        <w:pageBreakBefore w:val="0"/>
        <w:kinsoku/>
        <w:wordWrap/>
        <w:overflowPunct/>
        <w:topLinePunct w:val="0"/>
        <w:autoSpaceDE/>
        <w:autoSpaceDN/>
        <w:bidi w:val="0"/>
        <w:adjustRightInd/>
        <w:snapToGrid/>
        <w:spacing w:line="240" w:lineRule="auto"/>
        <w:textAlignment w:val="auto"/>
        <w:rPr>
          <w:rFonts w:eastAsia="宋体"/>
          <w:color w:val="auto"/>
        </w:rPr>
      </w:pPr>
    </w:p>
    <w:p>
      <w:pPr>
        <w:pStyle w:val="44"/>
        <w:keepNext w:val="0"/>
        <w:keepLines w:val="0"/>
        <w:pageBreakBefore w:val="0"/>
        <w:kinsoku/>
        <w:wordWrap/>
        <w:overflowPunct/>
        <w:topLinePunct w:val="0"/>
        <w:autoSpaceDE/>
        <w:autoSpaceDN/>
        <w:bidi w:val="0"/>
        <w:adjustRightInd/>
        <w:snapToGrid/>
        <w:spacing w:line="240" w:lineRule="auto"/>
        <w:jc w:val="both"/>
        <w:textAlignment w:val="auto"/>
        <w:rPr>
          <w:rFonts w:eastAsia="宋体"/>
          <w:color w:val="auto"/>
        </w:rPr>
      </w:pPr>
    </w:p>
    <w:p>
      <w:pPr>
        <w:pStyle w:val="44"/>
        <w:rPr>
          <w:rFonts w:eastAsia="宋体"/>
          <w:color w:val="auto"/>
        </w:rPr>
      </w:pPr>
    </w:p>
    <w:p>
      <w:pPr>
        <w:pStyle w:val="44"/>
        <w:rPr>
          <w:rFonts w:eastAsia="宋体"/>
          <w:color w:val="auto"/>
        </w:rPr>
      </w:pPr>
    </w:p>
    <w:p>
      <w:pPr>
        <w:pStyle w:val="44"/>
        <w:rPr>
          <w:rFonts w:eastAsia="宋体"/>
          <w:color w:val="auto"/>
        </w:rPr>
      </w:pPr>
    </w:p>
    <w:p>
      <w:pPr>
        <w:pStyle w:val="44"/>
        <w:rPr>
          <w:rFonts w:eastAsia="宋体"/>
          <w:color w:val="auto"/>
        </w:rPr>
      </w:pPr>
    </w:p>
    <w:p>
      <w:pPr>
        <w:pStyle w:val="44"/>
        <w:rPr>
          <w:rFonts w:eastAsia="宋体"/>
          <w:color w:val="auto"/>
        </w:rPr>
      </w:pPr>
    </w:p>
    <w:p>
      <w:pPr>
        <w:pStyle w:val="44"/>
        <w:rPr>
          <w:rFonts w:eastAsia="宋体"/>
          <w:color w:val="auto"/>
        </w:rPr>
      </w:pPr>
    </w:p>
    <w:p>
      <w:pPr>
        <w:pStyle w:val="44"/>
        <w:jc w:val="both"/>
        <w:rPr>
          <w:rFonts w:eastAsia="宋体"/>
          <w:color w:val="auto"/>
        </w:rPr>
      </w:pPr>
    </w:p>
    <w:p>
      <w:pPr>
        <w:pStyle w:val="44"/>
        <w:rPr>
          <w:rFonts w:eastAsia="宋体"/>
          <w:color w:val="auto"/>
        </w:rPr>
      </w:pPr>
    </w:p>
    <w:p>
      <w:pPr>
        <w:pStyle w:val="44"/>
        <w:rPr>
          <w:rFonts w:eastAsia="宋体"/>
          <w:color w:val="auto"/>
        </w:rPr>
      </w:pPr>
    </w:p>
    <w:p>
      <w:pPr>
        <w:pStyle w:val="44"/>
        <w:rPr>
          <w:rFonts w:eastAsia="宋体"/>
          <w:color w:val="auto"/>
        </w:rPr>
      </w:pPr>
    </w:p>
    <w:p>
      <w:pPr>
        <w:pStyle w:val="44"/>
        <w:rPr>
          <w:rFonts w:eastAsia="宋体"/>
          <w:color w:val="auto"/>
        </w:rPr>
      </w:pPr>
    </w:p>
    <w:p>
      <w:pPr>
        <w:pStyle w:val="44"/>
        <w:rPr>
          <w:rFonts w:eastAsia="宋体"/>
          <w:color w:val="auto"/>
        </w:rPr>
      </w:pPr>
    </w:p>
    <w:p>
      <w:pPr>
        <w:pStyle w:val="44"/>
        <w:rPr>
          <w:rFonts w:eastAsia="宋体"/>
          <w:color w:val="auto"/>
        </w:rPr>
      </w:pPr>
    </w:p>
    <w:p>
      <w:pPr>
        <w:pStyle w:val="42"/>
        <w:ind w:left="2877" w:leftChars="608" w:hanging="1600" w:hangingChars="500"/>
        <w:rPr>
          <w:rFonts w:hint="eastAsia" w:ascii="方正小标宋简体" w:hAnsi="方正小标宋简体" w:eastAsia="方正小标宋简体" w:cs="方正小标宋简体"/>
          <w:b w:val="0"/>
          <w:bCs w:val="0"/>
          <w:color w:val="auto"/>
          <w:sz w:val="32"/>
          <w:szCs w:val="32"/>
          <w:lang w:eastAsia="zh-CN"/>
        </w:rPr>
      </w:pPr>
    </w:p>
    <w:p>
      <w:pPr>
        <w:pStyle w:val="44"/>
        <w:jc w:val="both"/>
        <w:rPr>
          <w:rFonts w:hint="eastAsia" w:ascii="方正小标宋简体" w:hAnsi="方正小标宋简体" w:eastAsia="方正小标宋简体" w:cs="方正小标宋简体"/>
          <w:b w:val="0"/>
          <w:bCs w:val="0"/>
          <w:color w:val="auto"/>
          <w:sz w:val="32"/>
          <w:szCs w:val="32"/>
        </w:rPr>
      </w:pPr>
    </w:p>
    <w:p>
      <w:pPr>
        <w:pStyle w:val="44"/>
        <w:jc w:val="both"/>
        <w:rPr>
          <w:rFonts w:hint="eastAsia" w:ascii="方正小标宋简体" w:hAnsi="方正小标宋简体" w:eastAsia="方正小标宋简体" w:cs="方正小标宋简体"/>
          <w:b w:val="0"/>
          <w:bCs w:val="0"/>
          <w:color w:val="auto"/>
          <w:sz w:val="32"/>
          <w:szCs w:val="32"/>
        </w:rPr>
      </w:pPr>
    </w:p>
    <w:p>
      <w:pPr>
        <w:pStyle w:val="44"/>
        <w:jc w:val="both"/>
        <w:rPr>
          <w:rFonts w:hint="eastAsia" w:ascii="方正小标宋简体" w:hAnsi="方正小标宋简体" w:eastAsia="方正小标宋简体" w:cs="方正小标宋简体"/>
          <w:b w:val="0"/>
          <w:bCs w:val="0"/>
          <w:color w:val="auto"/>
          <w:sz w:val="32"/>
          <w:szCs w:val="32"/>
        </w:rPr>
      </w:pPr>
    </w:p>
    <w:p>
      <w:pPr>
        <w:pStyle w:val="44"/>
        <w:jc w:val="both"/>
        <w:rPr>
          <w:rFonts w:hint="eastAsia" w:ascii="方正小标宋简体" w:hAnsi="方正小标宋简体" w:eastAsia="方正小标宋简体" w:cs="方正小标宋简体"/>
          <w:b w:val="0"/>
          <w:bCs w:val="0"/>
          <w:color w:val="auto"/>
          <w:sz w:val="32"/>
          <w:szCs w:val="32"/>
        </w:rPr>
      </w:pPr>
    </w:p>
    <w:p>
      <w:pPr>
        <w:pStyle w:val="42"/>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方正小标宋简体" w:hAnsi="方正小标宋简体" w:eastAsia="方正小标宋简体" w:cs="方正小标宋简体"/>
          <w:b w:val="0"/>
          <w:bCs w:val="0"/>
          <w:color w:val="auto"/>
          <w:sz w:val="32"/>
          <w:szCs w:val="32"/>
          <w:lang w:eastAsia="zh-CN"/>
        </w:rPr>
      </w:pPr>
      <w:r>
        <w:rPr>
          <w:rFonts w:hint="eastAsia" w:ascii="方正小标宋简体" w:hAnsi="方正小标宋简体" w:eastAsia="方正小标宋简体" w:cs="方正小标宋简体"/>
          <w:b w:val="0"/>
          <w:bCs w:val="0"/>
          <w:color w:val="auto"/>
          <w:sz w:val="32"/>
          <w:szCs w:val="32"/>
          <w:lang w:val="en-US" w:eastAsia="zh-CN"/>
        </w:rPr>
        <w:t>2022</w:t>
      </w:r>
      <w:r>
        <w:rPr>
          <w:rFonts w:hint="eastAsia" w:ascii="方正小标宋简体" w:hAnsi="方正小标宋简体" w:eastAsia="方正小标宋简体" w:cs="方正小标宋简体"/>
          <w:b w:val="0"/>
          <w:bCs w:val="0"/>
          <w:color w:val="auto"/>
          <w:sz w:val="32"/>
          <w:szCs w:val="32"/>
          <w:lang w:eastAsia="zh-CN"/>
        </w:rPr>
        <w:t>年</w:t>
      </w:r>
      <w:r>
        <w:rPr>
          <w:rFonts w:hint="eastAsia" w:ascii="方正小标宋简体" w:hAnsi="方正小标宋简体" w:eastAsia="方正小标宋简体" w:cs="方正小标宋简体"/>
          <w:b w:val="0"/>
          <w:bCs w:val="0"/>
          <w:color w:val="auto"/>
          <w:sz w:val="32"/>
          <w:szCs w:val="32"/>
          <w:lang w:val="en-US" w:eastAsia="zh-CN"/>
        </w:rPr>
        <w:t>10</w:t>
      </w:r>
      <w:r>
        <w:rPr>
          <w:rFonts w:hint="eastAsia" w:ascii="方正小标宋简体" w:hAnsi="方正小标宋简体" w:eastAsia="方正小标宋简体" w:cs="方正小标宋简体"/>
          <w:b w:val="0"/>
          <w:bCs w:val="0"/>
          <w:color w:val="auto"/>
          <w:sz w:val="32"/>
          <w:szCs w:val="32"/>
          <w:lang w:eastAsia="zh-CN"/>
        </w:rPr>
        <w:t>月</w:t>
      </w:r>
    </w:p>
    <w:p>
      <w:pPr>
        <w:spacing w:line="600" w:lineRule="exact"/>
        <w:jc w:val="both"/>
        <w:rPr>
          <w:rFonts w:ascii="Times New Roman" w:hAnsi="Times New Roman" w:eastAsia="方正小标宋简体" w:cs="Times New Roman"/>
          <w:color w:val="auto"/>
          <w:sz w:val="36"/>
          <w:szCs w:val="36"/>
        </w:rPr>
      </w:pPr>
    </w:p>
    <w:p>
      <w:pPr>
        <w:spacing w:line="600" w:lineRule="exact"/>
        <w:jc w:val="both"/>
        <w:rPr>
          <w:rFonts w:ascii="Times New Roman" w:hAnsi="Times New Roman" w:eastAsia="方正小标宋简体" w:cs="Times New Roman"/>
          <w:color w:val="auto"/>
          <w:sz w:val="36"/>
          <w:szCs w:val="36"/>
        </w:rPr>
        <w:sectPr>
          <w:headerReference r:id="rId3" w:type="default"/>
          <w:headerReference r:id="rId4" w:type="even"/>
          <w:pgSz w:w="11906" w:h="16838"/>
          <w:pgMar w:top="2098" w:right="1474" w:bottom="1984" w:left="1587" w:header="851" w:footer="992" w:gutter="0"/>
          <w:pgNumType w:fmt="numberInDash"/>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700" w:lineRule="exact"/>
        <w:jc w:val="center"/>
        <w:textAlignment w:val="auto"/>
        <w:rPr>
          <w:rFonts w:ascii="Times New Roman" w:hAnsi="Times New Roman" w:eastAsia="方正小标宋简体" w:cs="Times New Roman"/>
          <w:color w:val="auto"/>
          <w:sz w:val="44"/>
          <w:szCs w:val="44"/>
        </w:rPr>
      </w:pPr>
      <w:r>
        <w:rPr>
          <w:rFonts w:ascii="Times New Roman" w:hAnsi="Times New Roman" w:eastAsia="方正小标宋简体" w:cs="Times New Roman"/>
          <w:color w:val="auto"/>
          <w:sz w:val="44"/>
          <w:szCs w:val="44"/>
        </w:rPr>
        <w:t>目 录</w:t>
      </w:r>
    </w:p>
    <w:p>
      <w:pPr>
        <w:pStyle w:val="18"/>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color w:val="auto"/>
        </w:rPr>
        <w:fldChar w:fldCharType="begin"/>
      </w:r>
      <w:r>
        <w:rPr>
          <w:color w:val="auto"/>
        </w:rPr>
        <w:instrText xml:space="preserve"> TOC \o "1-2" \h \z \u </w:instrText>
      </w:r>
      <w:r>
        <w:rPr>
          <w:color w:val="auto"/>
        </w:rPr>
        <w:fldChar w:fldCharType="separate"/>
      </w: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_Toc23554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一、项目基本情况</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_Toc23554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2</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_Toc1237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（一）</w:t>
      </w:r>
      <w:r>
        <w:rPr>
          <w:rFonts w:hint="eastAsia" w:ascii="宋体" w:hAnsi="宋体" w:eastAsia="宋体" w:cs="宋体"/>
          <w:b w:val="0"/>
          <w:bCs/>
          <w:sz w:val="24"/>
          <w:szCs w:val="24"/>
        </w:rPr>
        <w:t>项目</w:t>
      </w:r>
      <w:r>
        <w:rPr>
          <w:rFonts w:hint="eastAsia" w:ascii="宋体" w:hAnsi="宋体" w:eastAsia="宋体" w:cs="宋体"/>
          <w:b w:val="0"/>
          <w:bCs/>
          <w:sz w:val="24"/>
          <w:szCs w:val="24"/>
          <w:lang w:eastAsia="zh-CN"/>
        </w:rPr>
        <w:t>立项</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_Toc1237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2</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_Toc11003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（二）项目预算及投入情况</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_Toc11003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3</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_Toc11481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（三）项目计划及实施情况</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_Toc11481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3</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_Toc1982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（四）项目组织管理</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_Toc1982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4</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18"/>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_Toc23877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二、项目绩效目标</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_Toc23877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5</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18"/>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_Toc21247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三、评价基本情况</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_Toc21247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5</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_Toc21523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（一）评价目的</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_Toc21523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5</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_Toc6785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（二）评价对象与范围</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_Toc6785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6</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_Toc22756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（三）评价依据</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_Toc22756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6</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_Toc23718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（四）评价原则、评价方法</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_Toc23718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7</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_Toc30927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（五）绩效评价指标体系</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_Toc30927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7</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_Toc16760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（六）评价人员组成</w:t>
      </w:r>
      <w:bookmarkStart w:id="34" w:name="_GoBack"/>
      <w:bookmarkEnd w:id="34"/>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_Toc16760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7</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_Toc5566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val="en-US" w:eastAsia="zh-CN"/>
        </w:rPr>
        <w:t>（七）绩效评价工作过</w:t>
      </w:r>
      <w:r>
        <w:rPr>
          <w:rFonts w:hint="eastAsia" w:ascii="宋体" w:hAnsi="宋体" w:eastAsia="宋体" w:cs="宋体"/>
          <w:b w:val="0"/>
          <w:bCs/>
          <w:sz w:val="24"/>
          <w:szCs w:val="24"/>
          <w:lang w:eastAsia="zh-CN"/>
        </w:rPr>
        <w:t>程</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_Toc5566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8</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18"/>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_Toc15646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四、评价结论及分析</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_Toc15646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8</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_Toc3478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（一）评价结论</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_Toc3478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8</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_Toc28377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val="en-US" w:eastAsia="zh-CN"/>
        </w:rPr>
        <w:t>（二）非现场绩效评价情况分析</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_Toc28377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8</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_Toc8125 </w:instrText>
      </w:r>
      <w:r>
        <w:rPr>
          <w:rFonts w:hint="eastAsia" w:ascii="宋体" w:hAnsi="宋体" w:eastAsia="宋体" w:cs="宋体"/>
          <w:b w:val="0"/>
          <w:bCs/>
          <w:sz w:val="24"/>
          <w:szCs w:val="24"/>
        </w:rPr>
        <w:fldChar w:fldCharType="separate"/>
      </w:r>
      <w:r>
        <w:rPr>
          <w:rFonts w:hint="eastAsia" w:ascii="宋体" w:hAnsi="宋体" w:eastAsia="宋体" w:cs="宋体"/>
          <w:b w:val="0"/>
          <w:bCs/>
          <w:kern w:val="2"/>
          <w:sz w:val="24"/>
          <w:szCs w:val="24"/>
          <w:lang w:val="en-US" w:eastAsia="zh-CN" w:bidi="ar-SA"/>
        </w:rPr>
        <w:t>（三）现场绩效评价情况分析</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_Toc8125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8</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18"/>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_Toc26873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五、绩效评价指标分析</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_Toc26873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9</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_Toc11198 </w:instrText>
      </w:r>
      <w:r>
        <w:rPr>
          <w:rFonts w:hint="eastAsia" w:ascii="宋体" w:hAnsi="宋体" w:eastAsia="宋体" w:cs="宋体"/>
          <w:b w:val="0"/>
          <w:bCs/>
          <w:sz w:val="24"/>
          <w:szCs w:val="24"/>
        </w:rPr>
        <w:fldChar w:fldCharType="separate"/>
      </w:r>
      <w:r>
        <w:rPr>
          <w:rFonts w:hint="eastAsia" w:ascii="宋体" w:hAnsi="宋体" w:eastAsia="宋体" w:cs="宋体"/>
          <w:b w:val="0"/>
          <w:bCs/>
          <w:kern w:val="2"/>
          <w:sz w:val="24"/>
          <w:szCs w:val="24"/>
          <w:lang w:val="en-US" w:eastAsia="zh-CN" w:bidi="ar-SA"/>
        </w:rPr>
        <w:t>（一）决策情况</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_Toc11198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9</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_Toc12652 </w:instrText>
      </w:r>
      <w:r>
        <w:rPr>
          <w:rFonts w:hint="eastAsia" w:ascii="宋体" w:hAnsi="宋体" w:eastAsia="宋体" w:cs="宋体"/>
          <w:b w:val="0"/>
          <w:bCs/>
          <w:sz w:val="24"/>
          <w:szCs w:val="24"/>
        </w:rPr>
        <w:fldChar w:fldCharType="separate"/>
      </w:r>
      <w:r>
        <w:rPr>
          <w:rFonts w:hint="eastAsia" w:ascii="宋体" w:hAnsi="宋体" w:eastAsia="宋体" w:cs="宋体"/>
          <w:b w:val="0"/>
          <w:bCs/>
          <w:kern w:val="2"/>
          <w:sz w:val="24"/>
          <w:szCs w:val="24"/>
          <w:lang w:val="en-US" w:eastAsia="zh-CN" w:bidi="ar-SA"/>
        </w:rPr>
        <w:t>（二）过程情况</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_Toc12652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9</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_Toc31260 </w:instrText>
      </w:r>
      <w:r>
        <w:rPr>
          <w:rFonts w:hint="eastAsia" w:ascii="宋体" w:hAnsi="宋体" w:eastAsia="宋体" w:cs="宋体"/>
          <w:b w:val="0"/>
          <w:bCs/>
          <w:sz w:val="24"/>
          <w:szCs w:val="24"/>
        </w:rPr>
        <w:fldChar w:fldCharType="separate"/>
      </w:r>
      <w:r>
        <w:rPr>
          <w:rFonts w:hint="eastAsia" w:ascii="宋体" w:hAnsi="宋体" w:eastAsia="宋体" w:cs="宋体"/>
          <w:b w:val="0"/>
          <w:bCs/>
          <w:kern w:val="2"/>
          <w:sz w:val="24"/>
          <w:szCs w:val="24"/>
          <w:lang w:val="en-US" w:eastAsia="zh-CN" w:bidi="ar-SA"/>
        </w:rPr>
        <w:t>（三）产出情况</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_Toc31260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9</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20"/>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_Toc2004 </w:instrText>
      </w:r>
      <w:r>
        <w:rPr>
          <w:rFonts w:hint="eastAsia" w:ascii="宋体" w:hAnsi="宋体" w:eastAsia="宋体" w:cs="宋体"/>
          <w:b w:val="0"/>
          <w:bCs/>
          <w:sz w:val="24"/>
          <w:szCs w:val="24"/>
        </w:rPr>
        <w:fldChar w:fldCharType="separate"/>
      </w:r>
      <w:r>
        <w:rPr>
          <w:rFonts w:hint="eastAsia" w:ascii="宋体" w:hAnsi="宋体" w:eastAsia="宋体" w:cs="宋体"/>
          <w:b w:val="0"/>
          <w:bCs/>
          <w:kern w:val="2"/>
          <w:sz w:val="24"/>
          <w:szCs w:val="24"/>
          <w:lang w:val="en-US" w:eastAsia="zh-CN" w:bidi="ar-SA"/>
        </w:rPr>
        <w:t>（四）效益情况</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_Toc2004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10</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18"/>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_Toc2182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六、成效和主要经验做法</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_Toc2182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10</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18"/>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rPr>
          <w:rFonts w:hint="eastAsia" w:ascii="宋体" w:hAnsi="宋体" w:eastAsia="宋体" w:cs="宋体"/>
          <w:b w:val="0"/>
          <w:bCs/>
          <w:sz w:val="24"/>
          <w:szCs w:val="24"/>
        </w:rPr>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_Toc9547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七、</w:t>
      </w:r>
      <w:r>
        <w:rPr>
          <w:rFonts w:hint="eastAsia" w:ascii="宋体" w:hAnsi="宋体" w:eastAsia="宋体" w:cs="宋体"/>
          <w:b w:val="0"/>
          <w:bCs/>
          <w:sz w:val="24"/>
          <w:szCs w:val="24"/>
        </w:rPr>
        <w:t>存在的问题及原因分析</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_Toc9547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11</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18"/>
        <w:keepNext w:val="0"/>
        <w:keepLines w:val="0"/>
        <w:pageBreakBefore w:val="0"/>
        <w:widowControl w:val="0"/>
        <w:tabs>
          <w:tab w:val="right" w:leader="dot" w:pos="8306"/>
          <w:tab w:val="clear" w:pos="8296"/>
        </w:tabs>
        <w:kinsoku/>
        <w:wordWrap/>
        <w:overflowPunct/>
        <w:topLinePunct w:val="0"/>
        <w:autoSpaceDE/>
        <w:autoSpaceDN/>
        <w:bidi w:val="0"/>
        <w:adjustRightInd/>
        <w:snapToGrid/>
        <w:spacing w:line="440" w:lineRule="exact"/>
        <w:textAlignment w:val="auto"/>
      </w:pPr>
      <w:r>
        <w:rPr>
          <w:rFonts w:hint="eastAsia" w:ascii="宋体" w:hAnsi="宋体" w:eastAsia="宋体" w:cs="宋体"/>
          <w:b w:val="0"/>
          <w:bCs/>
          <w:color w:val="auto"/>
          <w:sz w:val="24"/>
          <w:szCs w:val="24"/>
        </w:rPr>
        <w:fldChar w:fldCharType="begin"/>
      </w:r>
      <w:r>
        <w:rPr>
          <w:rFonts w:hint="eastAsia" w:ascii="宋体" w:hAnsi="宋体" w:eastAsia="宋体" w:cs="宋体"/>
          <w:b w:val="0"/>
          <w:bCs/>
          <w:sz w:val="24"/>
          <w:szCs w:val="24"/>
        </w:rPr>
        <w:instrText xml:space="preserve"> HYPERLINK \l _Toc23837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lang w:eastAsia="zh-CN"/>
        </w:rPr>
        <w:t>八、整改建议</w:t>
      </w:r>
      <w:r>
        <w:rPr>
          <w:rFonts w:hint="eastAsia" w:ascii="宋体" w:hAnsi="宋体" w:eastAsia="宋体" w:cs="宋体"/>
          <w:b w:val="0"/>
          <w:bCs/>
          <w:sz w:val="24"/>
          <w:szCs w:val="24"/>
        </w:rPr>
        <w:tab/>
      </w:r>
      <w:r>
        <w:rPr>
          <w:rFonts w:hint="eastAsia" w:ascii="宋体" w:hAnsi="宋体" w:eastAsia="宋体" w:cs="宋体"/>
          <w:b w:val="0"/>
          <w:bCs/>
          <w:sz w:val="24"/>
          <w:szCs w:val="24"/>
        </w:rPr>
        <w:fldChar w:fldCharType="begin"/>
      </w:r>
      <w:r>
        <w:rPr>
          <w:rFonts w:hint="eastAsia" w:ascii="宋体" w:hAnsi="宋体" w:eastAsia="宋体" w:cs="宋体"/>
          <w:b w:val="0"/>
          <w:bCs/>
          <w:sz w:val="24"/>
          <w:szCs w:val="24"/>
        </w:rPr>
        <w:instrText xml:space="preserve"> PAGEREF _Toc23837 \h </w:instrText>
      </w:r>
      <w:r>
        <w:rPr>
          <w:rFonts w:hint="eastAsia" w:ascii="宋体" w:hAnsi="宋体" w:eastAsia="宋体" w:cs="宋体"/>
          <w:b w:val="0"/>
          <w:bCs/>
          <w:sz w:val="24"/>
          <w:szCs w:val="24"/>
        </w:rPr>
        <w:fldChar w:fldCharType="separate"/>
      </w:r>
      <w:r>
        <w:rPr>
          <w:rFonts w:hint="eastAsia" w:ascii="宋体" w:hAnsi="宋体" w:eastAsia="宋体" w:cs="宋体"/>
          <w:b w:val="0"/>
          <w:bCs/>
          <w:sz w:val="24"/>
          <w:szCs w:val="24"/>
        </w:rPr>
        <w:t>14</w:t>
      </w:r>
      <w:r>
        <w:rPr>
          <w:rFonts w:hint="eastAsia" w:ascii="宋体" w:hAnsi="宋体" w:eastAsia="宋体" w:cs="宋体"/>
          <w:b w:val="0"/>
          <w:bCs/>
          <w:sz w:val="24"/>
          <w:szCs w:val="24"/>
        </w:rPr>
        <w:fldChar w:fldCharType="end"/>
      </w:r>
      <w:r>
        <w:rPr>
          <w:rFonts w:hint="eastAsia" w:ascii="宋体" w:hAnsi="宋体" w:eastAsia="宋体" w:cs="宋体"/>
          <w:b w:val="0"/>
          <w:bCs/>
          <w:color w:val="auto"/>
          <w:sz w:val="24"/>
          <w:szCs w:val="24"/>
        </w:rPr>
        <w:fldChar w:fldCharType="end"/>
      </w:r>
    </w:p>
    <w:p>
      <w:pPr>
        <w:pStyle w:val="8"/>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textAlignment w:val="auto"/>
        <w:rPr>
          <w:rFonts w:hint="eastAsia" w:ascii="Times New Roman" w:hAnsi="Times New Roman" w:eastAsia="方正小标宋简体" w:cs="Times New Roman"/>
          <w:color w:val="auto"/>
          <w:sz w:val="44"/>
          <w:szCs w:val="44"/>
        </w:rPr>
        <w:sectPr>
          <w:footerReference r:id="rId5" w:type="default"/>
          <w:pgSz w:w="11906" w:h="16838"/>
          <w:pgMar w:top="2154" w:right="1474" w:bottom="1984" w:left="1587" w:header="851" w:footer="992" w:gutter="0"/>
          <w:pgNumType w:fmt="numberInDash" w:start="1"/>
          <w:cols w:space="425" w:num="1"/>
          <w:docGrid w:type="lines" w:linePitch="312" w:charSpace="0"/>
        </w:sectPr>
      </w:pPr>
      <w:r>
        <w:rPr>
          <w:color w:val="auto"/>
        </w:rPr>
        <w:fldChar w:fldCharType="end"/>
      </w:r>
      <w:bookmarkStart w:id="0" w:name="_Toc413586939"/>
    </w:p>
    <w:bookmarkEnd w:id="0"/>
    <w:p>
      <w:pPr>
        <w:keepNext w:val="0"/>
        <w:keepLines w:val="0"/>
        <w:pageBreakBefore w:val="0"/>
        <w:widowControl w:val="0"/>
        <w:kinsoku/>
        <w:wordWrap/>
        <w:overflowPunct/>
        <w:topLinePunct w:val="0"/>
        <w:autoSpaceDE/>
        <w:autoSpaceDN/>
        <w:bidi w:val="0"/>
        <w:adjustRightInd/>
        <w:snapToGrid/>
        <w:spacing w:line="700" w:lineRule="exact"/>
        <w:jc w:val="center"/>
        <w:textAlignment w:val="auto"/>
        <w:rPr>
          <w:rFonts w:hint="eastAsia" w:eastAsia="方正小标宋简体"/>
          <w:lang w:eastAsia="zh-CN"/>
        </w:rPr>
      </w:pPr>
      <w:r>
        <w:rPr>
          <w:rFonts w:ascii="Times New Roman" w:hAnsi="Times New Roman" w:eastAsia="方正小标宋简体" w:cs="Times New Roman"/>
          <w:color w:val="auto"/>
          <w:sz w:val="44"/>
          <w:szCs w:val="44"/>
        </w:rPr>
        <w:t>正文</w:t>
      </w:r>
      <w:r>
        <w:rPr>
          <w:rFonts w:hint="eastAsia" w:ascii="Times New Roman" w:hAnsi="Times New Roman" w:eastAsia="方正小标宋简体" w:cs="Times New Roman"/>
          <w:color w:val="auto"/>
          <w:sz w:val="44"/>
          <w:szCs w:val="44"/>
          <w:lang w:eastAsia="zh-CN"/>
        </w:rPr>
        <w:t>部分</w:t>
      </w:r>
    </w:p>
    <w:p>
      <w:pPr>
        <w:pStyle w:val="4"/>
        <w:keepNext w:val="0"/>
        <w:keepLines w:val="0"/>
        <w:pageBreakBefore w:val="0"/>
        <w:widowControl w:val="0"/>
        <w:numPr>
          <w:ilvl w:val="0"/>
          <w:numId w:val="0"/>
        </w:numPr>
        <w:kinsoku/>
        <w:wordWrap/>
        <w:overflowPunct/>
        <w:topLinePunct w:val="0"/>
        <w:autoSpaceDE/>
        <w:autoSpaceDN/>
        <w:bidi w:val="0"/>
        <w:adjustRightInd/>
        <w:snapToGrid/>
        <w:spacing w:before="0" w:after="0" w:line="700" w:lineRule="exact"/>
        <w:ind w:left="0" w:leftChars="0" w:firstLine="640" w:firstLineChars="200"/>
        <w:textAlignment w:val="auto"/>
        <w:rPr>
          <w:rFonts w:hint="eastAsia"/>
          <w:color w:val="auto"/>
          <w:lang w:eastAsia="zh-CN"/>
        </w:rPr>
      </w:pPr>
      <w:bookmarkStart w:id="1" w:name="_Toc23554"/>
      <w:r>
        <w:rPr>
          <w:rFonts w:hint="eastAsia"/>
          <w:color w:val="auto"/>
          <w:lang w:eastAsia="zh-CN"/>
        </w:rPr>
        <w:t>一、项目基本情况</w:t>
      </w:r>
      <w:bookmarkEnd w:id="1"/>
    </w:p>
    <w:p>
      <w:pPr>
        <w:pStyle w:val="5"/>
        <w:pageBreakBefore w:val="0"/>
        <w:widowControl w:val="0"/>
        <w:numPr>
          <w:ilvl w:val="1"/>
          <w:numId w:val="0"/>
        </w:numPr>
        <w:kinsoku/>
        <w:wordWrap/>
        <w:overflowPunct/>
        <w:topLinePunct w:val="0"/>
        <w:autoSpaceDE/>
        <w:autoSpaceDN/>
        <w:bidi w:val="0"/>
        <w:adjustRightInd/>
        <w:snapToGrid/>
        <w:spacing w:before="0" w:after="0" w:line="580" w:lineRule="exact"/>
        <w:ind w:left="630" w:leftChars="0"/>
        <w:textAlignment w:val="auto"/>
        <w:rPr>
          <w:rFonts w:hint="eastAsia" w:ascii="楷体_GB2312" w:hAnsi="楷体_GB2312" w:eastAsia="楷体_GB2312" w:cs="楷体_GB2312"/>
          <w:b w:val="0"/>
          <w:bCs w:val="0"/>
          <w:color w:val="auto"/>
          <w:sz w:val="32"/>
        </w:rPr>
      </w:pPr>
      <w:bookmarkStart w:id="2" w:name="_Toc1237"/>
      <w:r>
        <w:rPr>
          <w:rFonts w:hint="eastAsia" w:ascii="楷体_GB2312" w:hAnsi="楷体_GB2312" w:eastAsia="楷体_GB2312" w:cs="楷体_GB2312"/>
          <w:b w:val="0"/>
          <w:bCs w:val="0"/>
          <w:color w:val="auto"/>
          <w:sz w:val="32"/>
          <w:lang w:eastAsia="zh-CN"/>
        </w:rPr>
        <w:t>（一）</w:t>
      </w:r>
      <w:r>
        <w:rPr>
          <w:rFonts w:hint="eastAsia" w:ascii="楷体_GB2312" w:hAnsi="楷体_GB2312" w:eastAsia="楷体_GB2312" w:cs="楷体_GB2312"/>
          <w:b w:val="0"/>
          <w:bCs w:val="0"/>
          <w:color w:val="auto"/>
          <w:sz w:val="32"/>
        </w:rPr>
        <w:t>项目</w:t>
      </w:r>
      <w:r>
        <w:rPr>
          <w:rFonts w:hint="eastAsia" w:ascii="楷体_GB2312" w:hAnsi="楷体_GB2312" w:eastAsia="楷体_GB2312" w:cs="楷体_GB2312"/>
          <w:b w:val="0"/>
          <w:bCs w:val="0"/>
          <w:color w:val="auto"/>
          <w:sz w:val="32"/>
          <w:lang w:eastAsia="zh-CN"/>
        </w:rPr>
        <w:t>立项</w:t>
      </w:r>
      <w:bookmarkEnd w:id="2"/>
    </w:p>
    <w:p>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b w:val="0"/>
          <w:bCs w:val="0"/>
          <w:kern w:val="2"/>
          <w:sz w:val="32"/>
          <w:szCs w:val="32"/>
          <w:lang w:val="en-US" w:eastAsia="zh-CN" w:bidi="zh-CN"/>
        </w:rPr>
      </w:pPr>
      <w:r>
        <w:rPr>
          <w:rFonts w:hint="eastAsia" w:ascii="仿宋_GB2312" w:hAnsi="仿宋_GB2312" w:eastAsia="仿宋_GB2312" w:cs="仿宋_GB2312"/>
          <w:b w:val="0"/>
          <w:bCs w:val="0"/>
          <w:kern w:val="2"/>
          <w:sz w:val="32"/>
          <w:szCs w:val="32"/>
          <w:lang w:val="en-US" w:eastAsia="zh-CN" w:bidi="zh-CN"/>
        </w:rPr>
        <w:t>1.项目环境和条件</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菏泽市生态环境局根据《山东省非道路移动机械排气污染防治规定》(省政府第327号令)文件要求，在2019年7月份开展了第一轮摸底排查和编码登记工作。菏泽市生态环境局通过招投标确定第三方服务对菏泽市非道路移动机械信息核实、环保号码喷绘工作和环保信息采集卡印制信息提供服务，登记喷码数量1.5万台，生成环保号码1.5万个。</w:t>
      </w:r>
    </w:p>
    <w:p>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2021年通过摸底排查，菏泽市各类非道路移动机械预计保有量3万台左右，按照《山东省非道路移动机械排气污染专项整治方案》（鲁环字〔2021〕205号）工作要求，菏泽市生态环境局2021年开展了第二轮非道路移动机械环保编码登记项目，持续推进编码登记工作。</w:t>
      </w:r>
    </w:p>
    <w:p>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lang w:val="en-US" w:eastAsia="zh-CN" w:bidi="zh-CN"/>
        </w:rPr>
      </w:pPr>
      <w:r>
        <w:rPr>
          <w:rFonts w:hint="eastAsia" w:ascii="仿宋_GB2312" w:hAnsi="仿宋_GB2312" w:eastAsia="仿宋_GB2312" w:cs="仿宋_GB2312"/>
          <w:kern w:val="2"/>
          <w:sz w:val="32"/>
          <w:szCs w:val="32"/>
          <w:lang w:val="en-US" w:eastAsia="zh-CN" w:bidi="zh-CN"/>
        </w:rPr>
        <w:t>2.实施目标或意义</w:t>
      </w:r>
    </w:p>
    <w:p>
      <w:pPr>
        <w:pStyle w:val="2"/>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highlight w:val="none"/>
          <w:lang w:val="en-US" w:eastAsia="zh-CN" w:bidi="ar-SA"/>
        </w:rPr>
        <w:t>开展非道路移动机械摸底调查和编码登记，划定非道路移动机械排放控制区，严格管控高排放非道路移动机械，加快低碳排放阶段的非道路移动机械和柴油机的淘汰进程，减少移动源污染物排放。</w:t>
      </w:r>
    </w:p>
    <w:p>
      <w:pPr>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sz w:val="32"/>
          <w:szCs w:val="32"/>
          <w:lang w:val="en-US" w:eastAsia="zh-CN"/>
        </w:rPr>
        <w:t>3.项目立项依据</w:t>
      </w:r>
    </w:p>
    <w:p>
      <w:pPr>
        <w:pStyle w:val="2"/>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kern w:val="2"/>
          <w:sz w:val="32"/>
          <w:szCs w:val="32"/>
          <w:lang w:eastAsia="zh-CN"/>
        </w:rPr>
      </w:pPr>
      <w:r>
        <w:rPr>
          <w:rFonts w:hint="eastAsia" w:ascii="仿宋_GB2312" w:hAnsi="仿宋_GB2312" w:eastAsia="仿宋_GB2312" w:cs="仿宋_GB2312"/>
          <w:kern w:val="2"/>
          <w:sz w:val="32"/>
          <w:szCs w:val="32"/>
          <w:lang w:eastAsia="zh-CN"/>
        </w:rPr>
        <w:t>项目立项依据主要是</w:t>
      </w:r>
      <w:r>
        <w:rPr>
          <w:rFonts w:hint="eastAsia" w:ascii="仿宋_GB2312" w:hAnsi="仿宋_GB2312" w:eastAsia="仿宋_GB2312" w:cs="仿宋_GB2312"/>
          <w:kern w:val="2"/>
          <w:sz w:val="32"/>
          <w:szCs w:val="32"/>
          <w:highlight w:val="none"/>
          <w:lang w:val="en-US" w:eastAsia="zh-CN" w:bidi="ar-SA"/>
        </w:rPr>
        <w:t>《山东省非道路移动机械排气污染专项整治方案》（鲁环字〔2021〕205号）</w:t>
      </w:r>
      <w:r>
        <w:rPr>
          <w:rFonts w:hint="eastAsia" w:ascii="仿宋_GB2312" w:hAnsi="仿宋_GB2312" w:eastAsia="仿宋_GB2312" w:cs="仿宋_GB2312"/>
          <w:kern w:val="2"/>
          <w:sz w:val="32"/>
          <w:szCs w:val="32"/>
          <w:lang w:eastAsia="zh-CN"/>
        </w:rPr>
        <w:t>等文件制度。</w:t>
      </w:r>
    </w:p>
    <w:p>
      <w:pPr>
        <w:pStyle w:val="5"/>
        <w:pageBreakBefore w:val="0"/>
        <w:widowControl w:val="0"/>
        <w:numPr>
          <w:ilvl w:val="1"/>
          <w:numId w:val="0"/>
        </w:numPr>
        <w:kinsoku/>
        <w:wordWrap/>
        <w:overflowPunct/>
        <w:topLinePunct w:val="0"/>
        <w:autoSpaceDE/>
        <w:autoSpaceDN/>
        <w:bidi w:val="0"/>
        <w:adjustRightInd/>
        <w:snapToGrid/>
        <w:spacing w:before="0" w:after="0" w:line="580" w:lineRule="exact"/>
        <w:ind w:left="630" w:leftChars="0"/>
        <w:textAlignment w:val="auto"/>
        <w:rPr>
          <w:rFonts w:hint="eastAsia" w:ascii="楷体_GB2312" w:hAnsi="楷体_GB2312" w:eastAsia="楷体_GB2312" w:cs="楷体_GB2312"/>
          <w:b w:val="0"/>
          <w:bCs w:val="0"/>
          <w:color w:val="auto"/>
          <w:sz w:val="32"/>
          <w:lang w:eastAsia="zh-CN"/>
        </w:rPr>
      </w:pPr>
      <w:bookmarkStart w:id="3" w:name="_Toc11003"/>
      <w:bookmarkStart w:id="4" w:name="_Toc79063262"/>
      <w:bookmarkStart w:id="5" w:name="_Toc151"/>
      <w:r>
        <w:rPr>
          <w:rFonts w:hint="eastAsia" w:ascii="楷体_GB2312" w:hAnsi="楷体_GB2312" w:eastAsia="楷体_GB2312" w:cs="楷体_GB2312"/>
          <w:b w:val="0"/>
          <w:bCs w:val="0"/>
          <w:color w:val="auto"/>
          <w:sz w:val="32"/>
          <w:lang w:eastAsia="zh-CN"/>
        </w:rPr>
        <w:t>（二）项目预算及投入情况</w:t>
      </w:r>
      <w:bookmarkEnd w:id="3"/>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lang w:val="en-US" w:eastAsia="zh-CN" w:bidi="zh-CN"/>
        </w:rPr>
      </w:pPr>
      <w:r>
        <w:rPr>
          <w:rFonts w:hint="eastAsia" w:ascii="仿宋_GB2312" w:hAnsi="仿宋_GB2312" w:eastAsia="仿宋_GB2312" w:cs="仿宋_GB2312"/>
          <w:kern w:val="2"/>
          <w:sz w:val="32"/>
          <w:szCs w:val="32"/>
          <w:lang w:val="en-US" w:eastAsia="zh-CN" w:bidi="zh-CN"/>
        </w:rPr>
        <w:t>2021年菏泽市预计登记喷码数量约2万台(包含保有量未喷码 1.5万台、后续年度菏泽市新增各类机械和外地来菏作业的非道路移动机械)，按2019年中标单价95元/台计算，本次预算资金190余万元(根据实际喷码数量结算)。</w:t>
      </w:r>
    </w:p>
    <w:p>
      <w:pPr>
        <w:pStyle w:val="23"/>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jc w:val="both"/>
        <w:textAlignment w:val="auto"/>
        <w:rPr>
          <w:rFonts w:hint="eastAsia" w:ascii="仿宋_GB2312" w:hAnsi="仿宋_GB2312" w:eastAsia="仿宋_GB2312" w:cs="仿宋_GB2312"/>
          <w:b w:val="0"/>
          <w:kern w:val="2"/>
          <w:sz w:val="32"/>
          <w:szCs w:val="32"/>
          <w:lang w:val="en-US" w:eastAsia="zh-CN" w:bidi="ar-SA"/>
        </w:rPr>
      </w:pPr>
      <w:r>
        <w:rPr>
          <w:rFonts w:hint="eastAsia" w:ascii="仿宋_GB2312" w:hAnsi="仿宋_GB2312" w:eastAsia="仿宋_GB2312" w:cs="仿宋_GB2312"/>
          <w:b w:val="0"/>
          <w:kern w:val="2"/>
          <w:sz w:val="32"/>
          <w:szCs w:val="32"/>
          <w:lang w:val="en-US" w:eastAsia="zh-CN" w:bidi="ar-SA"/>
        </w:rPr>
        <w:t>菏泽市非道路移动机械环保编码登记项目采用竞争性磋商的方式进行采购，目前项目正在实施中，具体投资情况见下表。</w:t>
      </w:r>
    </w:p>
    <w:p>
      <w:pPr>
        <w:bidi w:val="0"/>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表1-1  项目投资表</w:t>
      </w:r>
    </w:p>
    <w:tbl>
      <w:tblPr>
        <w:tblStyle w:val="26"/>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7"/>
        <w:gridCol w:w="1950"/>
        <w:gridCol w:w="1184"/>
        <w:gridCol w:w="1466"/>
        <w:gridCol w:w="29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77"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黑体" w:hAnsi="黑体" w:eastAsia="黑体" w:cs="黑体"/>
                <w:kern w:val="2"/>
                <w:sz w:val="18"/>
                <w:szCs w:val="18"/>
                <w:lang w:val="en-US" w:eastAsia="zh-CN"/>
              </w:rPr>
            </w:pPr>
            <w:r>
              <w:rPr>
                <w:rFonts w:hint="eastAsia" w:ascii="黑体" w:hAnsi="黑体" w:eastAsia="黑体" w:cs="黑体"/>
                <w:kern w:val="2"/>
                <w:sz w:val="18"/>
                <w:szCs w:val="18"/>
                <w:lang w:val="en-US" w:eastAsia="zh-CN"/>
              </w:rPr>
              <w:t>包段</w:t>
            </w:r>
          </w:p>
        </w:tc>
        <w:tc>
          <w:tcPr>
            <w:tcW w:w="1950"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黑体" w:hAnsi="黑体" w:eastAsia="黑体" w:cs="黑体"/>
                <w:kern w:val="2"/>
                <w:sz w:val="18"/>
                <w:szCs w:val="18"/>
                <w:lang w:val="en-US" w:eastAsia="zh-CN"/>
              </w:rPr>
            </w:pPr>
            <w:r>
              <w:rPr>
                <w:rFonts w:hint="eastAsia" w:ascii="黑体" w:hAnsi="黑体" w:eastAsia="黑体" w:cs="黑体"/>
                <w:kern w:val="2"/>
                <w:sz w:val="18"/>
                <w:szCs w:val="18"/>
                <w:lang w:val="en-US" w:eastAsia="zh-CN"/>
              </w:rPr>
              <w:t>区域</w:t>
            </w:r>
          </w:p>
        </w:tc>
        <w:tc>
          <w:tcPr>
            <w:tcW w:w="1184"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黑体" w:hAnsi="黑体" w:eastAsia="黑体" w:cs="黑体"/>
                <w:kern w:val="2"/>
                <w:sz w:val="18"/>
                <w:szCs w:val="18"/>
                <w:lang w:val="en-US" w:eastAsia="zh-CN"/>
              </w:rPr>
            </w:pPr>
            <w:r>
              <w:rPr>
                <w:rFonts w:hint="eastAsia" w:ascii="黑体" w:hAnsi="黑体" w:eastAsia="黑体" w:cs="黑体"/>
                <w:kern w:val="2"/>
                <w:sz w:val="18"/>
                <w:szCs w:val="18"/>
                <w:lang w:val="en-US" w:eastAsia="zh-CN"/>
              </w:rPr>
              <w:t>限额</w:t>
            </w:r>
          </w:p>
        </w:tc>
        <w:tc>
          <w:tcPr>
            <w:tcW w:w="1466"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黑体" w:hAnsi="黑体" w:eastAsia="黑体" w:cs="黑体"/>
                <w:kern w:val="2"/>
                <w:sz w:val="18"/>
                <w:szCs w:val="18"/>
                <w:lang w:val="en-US" w:eastAsia="zh-CN"/>
              </w:rPr>
            </w:pPr>
            <w:r>
              <w:rPr>
                <w:rFonts w:hint="eastAsia" w:ascii="黑体" w:hAnsi="黑体" w:eastAsia="黑体" w:cs="黑体"/>
                <w:kern w:val="2"/>
                <w:sz w:val="18"/>
                <w:szCs w:val="18"/>
                <w:lang w:val="en-US" w:eastAsia="zh-CN"/>
              </w:rPr>
              <w:t>中标金额</w:t>
            </w:r>
          </w:p>
        </w:tc>
        <w:tc>
          <w:tcPr>
            <w:tcW w:w="2945"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黑体" w:hAnsi="黑体" w:eastAsia="黑体" w:cs="黑体"/>
                <w:kern w:val="2"/>
                <w:sz w:val="18"/>
                <w:szCs w:val="18"/>
                <w:lang w:val="en-US" w:eastAsia="zh-CN"/>
              </w:rPr>
            </w:pPr>
            <w:r>
              <w:rPr>
                <w:rFonts w:hint="eastAsia" w:ascii="黑体" w:hAnsi="黑体" w:eastAsia="黑体" w:cs="黑体"/>
                <w:kern w:val="2"/>
                <w:sz w:val="18"/>
                <w:szCs w:val="18"/>
                <w:lang w:val="en-US" w:eastAsia="zh-CN"/>
              </w:rPr>
              <w:t>中标公司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77" w:type="dxa"/>
            <w:vMerge w:val="restart"/>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A</w:t>
            </w:r>
          </w:p>
        </w:tc>
        <w:tc>
          <w:tcPr>
            <w:tcW w:w="1950"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曹县</w:t>
            </w:r>
          </w:p>
        </w:tc>
        <w:tc>
          <w:tcPr>
            <w:tcW w:w="1184" w:type="dxa"/>
            <w:vMerge w:val="restart"/>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95元/套</w:t>
            </w:r>
          </w:p>
        </w:tc>
        <w:tc>
          <w:tcPr>
            <w:tcW w:w="1466" w:type="dxa"/>
            <w:vMerge w:val="restart"/>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92元/套</w:t>
            </w:r>
          </w:p>
        </w:tc>
        <w:tc>
          <w:tcPr>
            <w:tcW w:w="2945" w:type="dxa"/>
            <w:vMerge w:val="restart"/>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菏泽市润泽添蓝机动车检测有限公司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77"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1950"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单县</w:t>
            </w:r>
          </w:p>
        </w:tc>
        <w:tc>
          <w:tcPr>
            <w:tcW w:w="1184"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1466"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2945"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77"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1950"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成武县</w:t>
            </w:r>
          </w:p>
        </w:tc>
        <w:tc>
          <w:tcPr>
            <w:tcW w:w="1184"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1466"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2945"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77"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1950"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高新技术产业开发区</w:t>
            </w:r>
          </w:p>
        </w:tc>
        <w:tc>
          <w:tcPr>
            <w:tcW w:w="1184"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1466"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2945"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77"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1950"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经济开发区</w:t>
            </w:r>
          </w:p>
        </w:tc>
        <w:tc>
          <w:tcPr>
            <w:tcW w:w="1184"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1466"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c>
          <w:tcPr>
            <w:tcW w:w="2945" w:type="dxa"/>
            <w:vMerge w:val="continue"/>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77"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B</w:t>
            </w:r>
          </w:p>
        </w:tc>
        <w:tc>
          <w:tcPr>
            <w:tcW w:w="1950"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牡丹区</w:t>
            </w:r>
          </w:p>
        </w:tc>
        <w:tc>
          <w:tcPr>
            <w:tcW w:w="1184"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95元/套</w:t>
            </w:r>
          </w:p>
        </w:tc>
        <w:tc>
          <w:tcPr>
            <w:tcW w:w="1466"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90元/套</w:t>
            </w:r>
          </w:p>
        </w:tc>
        <w:tc>
          <w:tcPr>
            <w:tcW w:w="2945" w:type="dxa"/>
            <w:vAlign w:val="center"/>
          </w:tcPr>
          <w:p>
            <w:pPr>
              <w:pStyle w:val="2"/>
              <w:keepNext w:val="0"/>
              <w:keepLines w:val="0"/>
              <w:pageBreakBefore w:val="0"/>
              <w:widowControl w:val="0"/>
              <w:kinsoku/>
              <w:wordWrap/>
              <w:overflowPunct/>
              <w:topLinePunct w:val="0"/>
              <w:autoSpaceDE/>
              <w:autoSpaceDN/>
              <w:bidi w:val="0"/>
              <w:adjustRightInd/>
              <w:snapToGrid/>
              <w:spacing w:line="300" w:lineRule="exact"/>
              <w:ind w:firstLine="0" w:firstLineChars="0"/>
              <w:jc w:val="center"/>
              <w:textAlignment w:val="auto"/>
              <w:outlineLvl w:val="2"/>
              <w:rPr>
                <w:rFonts w:hint="eastAsia" w:ascii="仿宋_GB2312" w:hAnsi="仿宋_GB2312" w:eastAsia="仿宋_GB2312" w:cs="仿宋_GB2312"/>
                <w:kern w:val="2"/>
                <w:sz w:val="18"/>
                <w:szCs w:val="18"/>
                <w:lang w:val="en-US" w:eastAsia="zh-CN"/>
              </w:rPr>
            </w:pPr>
            <w:r>
              <w:rPr>
                <w:rFonts w:hint="eastAsia" w:ascii="仿宋_GB2312" w:hAnsi="仿宋_GB2312" w:eastAsia="仿宋_GB2312" w:cs="仿宋_GB2312"/>
                <w:kern w:val="2"/>
                <w:sz w:val="18"/>
                <w:szCs w:val="18"/>
                <w:lang w:val="en-US" w:eastAsia="zh-CN"/>
              </w:rPr>
              <w:t>菏泽市华捷检测服务有限公司</w:t>
            </w:r>
          </w:p>
        </w:tc>
      </w:tr>
    </w:tbl>
    <w:p>
      <w:pPr>
        <w:pStyle w:val="5"/>
        <w:pageBreakBefore w:val="0"/>
        <w:widowControl w:val="0"/>
        <w:numPr>
          <w:ilvl w:val="1"/>
          <w:numId w:val="0"/>
        </w:numPr>
        <w:kinsoku/>
        <w:wordWrap/>
        <w:overflowPunct/>
        <w:topLinePunct w:val="0"/>
        <w:autoSpaceDE/>
        <w:autoSpaceDN/>
        <w:bidi w:val="0"/>
        <w:adjustRightInd/>
        <w:snapToGrid/>
        <w:spacing w:before="0" w:after="0" w:line="580" w:lineRule="exact"/>
        <w:ind w:left="630" w:leftChars="0"/>
        <w:jc w:val="both"/>
        <w:textAlignment w:val="auto"/>
        <w:rPr>
          <w:rFonts w:hint="eastAsia" w:ascii="楷体_GB2312" w:hAnsi="楷体_GB2312" w:eastAsia="楷体_GB2312" w:cs="楷体_GB2312"/>
          <w:b w:val="0"/>
          <w:bCs w:val="0"/>
          <w:color w:val="auto"/>
          <w:sz w:val="32"/>
          <w:lang w:eastAsia="zh-CN"/>
        </w:rPr>
      </w:pPr>
      <w:bookmarkStart w:id="6" w:name="_Toc11481"/>
      <w:r>
        <w:rPr>
          <w:rFonts w:hint="eastAsia" w:ascii="楷体_GB2312" w:hAnsi="楷体_GB2312" w:eastAsia="楷体_GB2312" w:cs="楷体_GB2312"/>
          <w:b w:val="0"/>
          <w:bCs w:val="0"/>
          <w:color w:val="auto"/>
          <w:sz w:val="32"/>
          <w:lang w:eastAsia="zh-CN"/>
        </w:rPr>
        <w:t>（三）项目计划及实施情况</w:t>
      </w:r>
      <w:bookmarkEnd w:id="6"/>
    </w:p>
    <w:p>
      <w:pPr>
        <w:pStyle w:val="3"/>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根据《关于申请菏泽市非道路移动机械环保编码登记项目资金的报告》（菏环呈〔2021〕37号），菏泽市预计登记喷码数量为2万台。通过现场调研，项目从2021年12月31日合同签订之日起至2022年8月30日，非道路移动机械环保编码已喷绘数量为9138台。各区县已喷绘数量见下图1-1。</w:t>
      </w:r>
    </w:p>
    <w:p>
      <w:pPr>
        <w:pStyle w:val="3"/>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kern w:val="2"/>
          <w:sz w:val="32"/>
          <w:szCs w:val="32"/>
          <w:highlight w:val="none"/>
          <w:lang w:val="en-US" w:eastAsia="zh-CN" w:bidi="ar-SA"/>
        </w:rPr>
      </w:pPr>
    </w:p>
    <w:p>
      <w:pPr>
        <w:pStyle w:val="3"/>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hint="eastAsia" w:ascii="仿宋" w:hAnsi="仿宋" w:eastAsia="仿宋" w:cs="仿宋"/>
          <w:kern w:val="2"/>
          <w:sz w:val="32"/>
          <w:szCs w:val="32"/>
          <w:highlight w:val="none"/>
          <w:lang w:val="en-US" w:eastAsia="zh-CN" w:bidi="ar-SA"/>
        </w:rPr>
      </w:pPr>
    </w:p>
    <w:p>
      <w:pPr>
        <w:pStyle w:val="3"/>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kern w:val="2"/>
          <w:sz w:val="32"/>
          <w:szCs w:val="32"/>
          <w:highlight w:val="none"/>
          <w:lang w:val="en-US" w:eastAsia="zh-CN" w:bidi="ar-SA"/>
        </w:rPr>
      </w:pPr>
      <w:r>
        <w:rPr>
          <w:rFonts w:hint="default" w:ascii="仿宋_GB2312" w:eastAsia="仿宋_GB2312" w:cs="Times New Roman"/>
          <w:kern w:val="2"/>
          <w:sz w:val="32"/>
          <w:szCs w:val="32"/>
          <w:highlight w:val="none"/>
          <w:lang w:val="en-US" w:eastAsia="zh-CN" w:bidi="ar-SA"/>
        </w:rPr>
        <w:drawing>
          <wp:anchor distT="0" distB="0" distL="114300" distR="114300" simplePos="0" relativeHeight="251660288" behindDoc="0" locked="0" layoutInCell="1" allowOverlap="1">
            <wp:simplePos x="0" y="0"/>
            <wp:positionH relativeFrom="column">
              <wp:posOffset>259080</wp:posOffset>
            </wp:positionH>
            <wp:positionV relativeFrom="paragraph">
              <wp:posOffset>233045</wp:posOffset>
            </wp:positionV>
            <wp:extent cx="5080000" cy="3390265"/>
            <wp:effectExtent l="4445" t="4445" r="20955" b="15240"/>
            <wp:wrapNone/>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pPr>
        <w:pStyle w:val="3"/>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hint="eastAsia" w:ascii="仿宋" w:hAnsi="仿宋" w:eastAsia="仿宋" w:cs="仿宋"/>
          <w:kern w:val="2"/>
          <w:sz w:val="32"/>
          <w:szCs w:val="32"/>
          <w:highlight w:val="none"/>
          <w:lang w:val="en-US" w:eastAsia="zh-CN" w:bidi="ar-SA"/>
        </w:rPr>
      </w:pPr>
    </w:p>
    <w:p>
      <w:pPr>
        <w:pStyle w:val="2"/>
        <w:keepNext w:val="0"/>
        <w:keepLines w:val="0"/>
        <w:pageBreakBefore w:val="0"/>
        <w:widowControl w:val="0"/>
        <w:kinsoku/>
        <w:wordWrap/>
        <w:overflowPunct/>
        <w:topLinePunct w:val="0"/>
        <w:autoSpaceDE/>
        <w:autoSpaceDN/>
        <w:bidi w:val="0"/>
        <w:adjustRightInd/>
        <w:snapToGrid/>
        <w:spacing w:line="580" w:lineRule="exact"/>
        <w:ind w:firstLine="643" w:firstLineChars="200"/>
        <w:textAlignment w:val="auto"/>
        <w:rPr>
          <w:rFonts w:hint="eastAsia"/>
          <w:b/>
          <w:bCs/>
          <w:kern w:val="2"/>
          <w:sz w:val="32"/>
          <w:szCs w:val="32"/>
          <w:lang w:val="en-US" w:eastAsia="zh-CN"/>
        </w:rPr>
      </w:pPr>
    </w:p>
    <w:p>
      <w:pPr>
        <w:pStyle w:val="2"/>
        <w:keepNext w:val="0"/>
        <w:keepLines w:val="0"/>
        <w:pageBreakBefore w:val="0"/>
        <w:widowControl w:val="0"/>
        <w:kinsoku/>
        <w:wordWrap/>
        <w:overflowPunct/>
        <w:topLinePunct w:val="0"/>
        <w:autoSpaceDE/>
        <w:autoSpaceDN/>
        <w:bidi w:val="0"/>
        <w:adjustRightInd/>
        <w:snapToGrid/>
        <w:spacing w:line="580" w:lineRule="exact"/>
        <w:ind w:firstLine="643" w:firstLineChars="200"/>
        <w:textAlignment w:val="auto"/>
        <w:rPr>
          <w:rFonts w:hint="eastAsia"/>
          <w:b/>
          <w:bCs/>
          <w:kern w:val="2"/>
          <w:sz w:val="32"/>
          <w:szCs w:val="32"/>
          <w:lang w:val="en-US" w:eastAsia="zh-CN"/>
        </w:rPr>
      </w:pPr>
    </w:p>
    <w:p>
      <w:pPr>
        <w:pStyle w:val="2"/>
        <w:keepNext w:val="0"/>
        <w:keepLines w:val="0"/>
        <w:pageBreakBefore w:val="0"/>
        <w:widowControl w:val="0"/>
        <w:kinsoku/>
        <w:wordWrap/>
        <w:overflowPunct/>
        <w:topLinePunct w:val="0"/>
        <w:autoSpaceDE/>
        <w:autoSpaceDN/>
        <w:bidi w:val="0"/>
        <w:adjustRightInd/>
        <w:snapToGrid/>
        <w:spacing w:line="580" w:lineRule="exact"/>
        <w:ind w:firstLine="643" w:firstLineChars="200"/>
        <w:textAlignment w:val="auto"/>
        <w:rPr>
          <w:rFonts w:hint="eastAsia"/>
          <w:b/>
          <w:bCs/>
          <w:kern w:val="2"/>
          <w:sz w:val="32"/>
          <w:szCs w:val="32"/>
          <w:lang w:val="en-US" w:eastAsia="zh-CN"/>
        </w:rPr>
      </w:pPr>
    </w:p>
    <w:p>
      <w:pPr>
        <w:pStyle w:val="2"/>
        <w:keepNext w:val="0"/>
        <w:keepLines w:val="0"/>
        <w:pageBreakBefore w:val="0"/>
        <w:widowControl w:val="0"/>
        <w:kinsoku/>
        <w:wordWrap/>
        <w:overflowPunct/>
        <w:topLinePunct w:val="0"/>
        <w:autoSpaceDE/>
        <w:autoSpaceDN/>
        <w:bidi w:val="0"/>
        <w:adjustRightInd/>
        <w:snapToGrid/>
        <w:spacing w:line="580" w:lineRule="exact"/>
        <w:ind w:firstLine="643" w:firstLineChars="200"/>
        <w:textAlignment w:val="auto"/>
        <w:rPr>
          <w:rFonts w:hint="eastAsia"/>
          <w:b/>
          <w:bCs/>
          <w:kern w:val="2"/>
          <w:sz w:val="32"/>
          <w:szCs w:val="32"/>
          <w:lang w:val="en-US" w:eastAsia="zh-CN"/>
        </w:rPr>
      </w:pPr>
    </w:p>
    <w:p>
      <w:pPr>
        <w:pStyle w:val="2"/>
        <w:keepNext w:val="0"/>
        <w:keepLines w:val="0"/>
        <w:pageBreakBefore w:val="0"/>
        <w:widowControl w:val="0"/>
        <w:kinsoku/>
        <w:wordWrap/>
        <w:overflowPunct/>
        <w:topLinePunct w:val="0"/>
        <w:autoSpaceDE/>
        <w:autoSpaceDN/>
        <w:bidi w:val="0"/>
        <w:adjustRightInd/>
        <w:snapToGrid/>
        <w:spacing w:line="580" w:lineRule="exact"/>
        <w:ind w:firstLine="643" w:firstLineChars="200"/>
        <w:textAlignment w:val="auto"/>
        <w:rPr>
          <w:rFonts w:hint="eastAsia"/>
          <w:b/>
          <w:bCs/>
          <w:kern w:val="2"/>
          <w:sz w:val="32"/>
          <w:szCs w:val="32"/>
          <w:lang w:val="en-US" w:eastAsia="zh-CN"/>
        </w:rPr>
      </w:pPr>
    </w:p>
    <w:p>
      <w:pPr>
        <w:pStyle w:val="2"/>
        <w:keepNext w:val="0"/>
        <w:keepLines w:val="0"/>
        <w:pageBreakBefore w:val="0"/>
        <w:widowControl w:val="0"/>
        <w:kinsoku/>
        <w:wordWrap/>
        <w:overflowPunct/>
        <w:topLinePunct w:val="0"/>
        <w:autoSpaceDE/>
        <w:autoSpaceDN/>
        <w:bidi w:val="0"/>
        <w:adjustRightInd/>
        <w:snapToGrid/>
        <w:spacing w:line="580" w:lineRule="exact"/>
        <w:ind w:firstLine="643" w:firstLineChars="200"/>
        <w:textAlignment w:val="auto"/>
        <w:rPr>
          <w:rFonts w:hint="eastAsia"/>
          <w:b/>
          <w:bCs/>
          <w:kern w:val="2"/>
          <w:sz w:val="32"/>
          <w:szCs w:val="32"/>
          <w:lang w:val="en-US" w:eastAsia="zh-CN"/>
        </w:rPr>
      </w:pPr>
    </w:p>
    <w:p>
      <w:pPr>
        <w:pStyle w:val="2"/>
        <w:keepNext w:val="0"/>
        <w:keepLines w:val="0"/>
        <w:pageBreakBefore w:val="0"/>
        <w:widowControl w:val="0"/>
        <w:kinsoku/>
        <w:wordWrap/>
        <w:overflowPunct/>
        <w:topLinePunct w:val="0"/>
        <w:autoSpaceDE/>
        <w:autoSpaceDN/>
        <w:bidi w:val="0"/>
        <w:adjustRightInd/>
        <w:snapToGrid/>
        <w:spacing w:line="580" w:lineRule="exact"/>
        <w:ind w:firstLine="643" w:firstLineChars="200"/>
        <w:textAlignment w:val="auto"/>
        <w:rPr>
          <w:rFonts w:hint="eastAsia"/>
          <w:b/>
          <w:bCs/>
          <w:kern w:val="2"/>
          <w:sz w:val="32"/>
          <w:szCs w:val="32"/>
          <w:lang w:val="en-US" w:eastAsia="zh-CN"/>
        </w:rPr>
      </w:pPr>
    </w:p>
    <w:p>
      <w:pPr>
        <w:pStyle w:val="2"/>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b/>
          <w:bCs/>
          <w:kern w:val="2"/>
          <w:sz w:val="32"/>
          <w:szCs w:val="32"/>
          <w:lang w:val="en-US" w:eastAsia="zh-CN"/>
        </w:rPr>
      </w:pPr>
    </w:p>
    <w:p>
      <w:pPr>
        <w:bidi w:val="0"/>
        <w:jc w:val="center"/>
        <w:rPr>
          <w:rFonts w:hint="eastAsia" w:ascii="黑体" w:hAnsi="黑体" w:eastAsia="黑体" w:cs="黑体"/>
          <w:sz w:val="24"/>
          <w:szCs w:val="24"/>
          <w:lang w:val="en-US" w:eastAsia="zh-CN"/>
        </w:rPr>
      </w:pP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楷体" w:hAnsi="楷体" w:eastAsia="楷体" w:cs="楷体"/>
          <w:color w:val="auto"/>
          <w:sz w:val="32"/>
          <w:lang w:eastAsia="zh-CN"/>
        </w:rPr>
      </w:pPr>
      <w:r>
        <w:rPr>
          <w:rFonts w:hint="eastAsia" w:ascii="黑体" w:hAnsi="黑体" w:eastAsia="黑体" w:cs="黑体"/>
          <w:sz w:val="24"/>
          <w:szCs w:val="24"/>
          <w:lang w:val="en-US" w:eastAsia="zh-CN"/>
        </w:rPr>
        <w:t>图1-1  各区县已喷码统计图</w:t>
      </w:r>
    </w:p>
    <w:p>
      <w:pPr>
        <w:pStyle w:val="5"/>
        <w:pageBreakBefore w:val="0"/>
        <w:widowControl w:val="0"/>
        <w:numPr>
          <w:ilvl w:val="1"/>
          <w:numId w:val="0"/>
        </w:numPr>
        <w:kinsoku/>
        <w:wordWrap/>
        <w:overflowPunct/>
        <w:autoSpaceDE/>
        <w:autoSpaceDN/>
        <w:bidi w:val="0"/>
        <w:spacing w:before="0" w:after="0" w:line="580" w:lineRule="exact"/>
        <w:ind w:left="630" w:leftChars="0"/>
        <w:textAlignment w:val="auto"/>
        <w:rPr>
          <w:rFonts w:hint="eastAsia" w:ascii="楷体_GB2312" w:hAnsi="楷体_GB2312" w:eastAsia="楷体_GB2312" w:cs="楷体_GB2312"/>
          <w:b w:val="0"/>
          <w:bCs w:val="0"/>
          <w:color w:val="auto"/>
          <w:sz w:val="32"/>
          <w:lang w:eastAsia="zh-CN"/>
        </w:rPr>
      </w:pPr>
      <w:bookmarkStart w:id="7" w:name="_Toc1982"/>
      <w:r>
        <w:rPr>
          <w:rFonts w:hint="eastAsia" w:ascii="楷体_GB2312" w:hAnsi="楷体_GB2312" w:eastAsia="楷体_GB2312" w:cs="楷体_GB2312"/>
          <w:b w:val="0"/>
          <w:bCs w:val="0"/>
          <w:color w:val="auto"/>
          <w:sz w:val="32"/>
          <w:lang w:eastAsia="zh-CN"/>
        </w:rPr>
        <w:t>（四）项目组织管理</w:t>
      </w:r>
      <w:bookmarkEnd w:id="7"/>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lang w:val="en-US" w:eastAsia="zh-CN" w:bidi="zh-CN"/>
        </w:rPr>
      </w:pPr>
      <w:r>
        <w:rPr>
          <w:rFonts w:hint="eastAsia" w:ascii="仿宋_GB2312" w:hAnsi="仿宋_GB2312" w:eastAsia="仿宋_GB2312" w:cs="仿宋_GB2312"/>
          <w:kern w:val="2"/>
          <w:sz w:val="32"/>
          <w:szCs w:val="32"/>
          <w:lang w:val="en-US" w:eastAsia="zh-CN" w:bidi="zh-CN"/>
        </w:rPr>
        <w:t>项目实施主管部门为菏泽市生态环境局，负责组织项目第三方政府采购、预算申请、项目监督及履约验收。具体实施部门为菏泽市润泽添蓝机动车检测有限公司、菏泽华捷检测服务有限公司，负责项目的现场信息审核及环保编码喷绘工作。</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kern w:val="2"/>
          <w:sz w:val="32"/>
          <w:szCs w:val="32"/>
          <w:lang w:val="en-US" w:eastAsia="zh-CN" w:bidi="ar-SA"/>
        </w:rPr>
        <w:t>非道路移动机械所有人或使用人通过手机应用程序(APP)填报等方式登记机械信息，各区县环保部门在</w:t>
      </w:r>
      <w:r>
        <w:rPr>
          <w:rFonts w:hint="eastAsia" w:ascii="仿宋_GB2312" w:hAnsi="仿宋_GB2312" w:eastAsia="仿宋_GB2312" w:cs="仿宋_GB2312"/>
          <w:kern w:val="2"/>
          <w:sz w:val="32"/>
          <w:szCs w:val="32"/>
          <w:highlight w:val="none"/>
          <w:lang w:val="en-US" w:eastAsia="zh-CN" w:bidi="ar-SA"/>
        </w:rPr>
        <w:t>“山东省机动车环保达标及非道路移动机械监管系统”对申报信息</w:t>
      </w:r>
      <w:r>
        <w:rPr>
          <w:rFonts w:hint="eastAsia" w:ascii="仿宋_GB2312" w:hAnsi="仿宋_GB2312" w:eastAsia="仿宋_GB2312" w:cs="仿宋_GB2312"/>
          <w:kern w:val="2"/>
          <w:sz w:val="32"/>
          <w:szCs w:val="32"/>
          <w:lang w:val="en-US" w:eastAsia="zh-CN" w:bidi="ar-SA"/>
        </w:rPr>
        <w:t>进行审核，对审核通过的非道路移动机械按照统一编码规则发放非道路移动机械环保标牌，中标单位选择喷涂方式进行固定。具体项目实施流程见下图1-2。</w:t>
      </w:r>
    </w:p>
    <w:p>
      <w:pPr>
        <w:pStyle w:val="11"/>
        <w:jc w:val="center"/>
      </w:pPr>
      <w:r>
        <w:drawing>
          <wp:inline distT="0" distB="0" distL="114300" distR="114300">
            <wp:extent cx="4305300" cy="2934970"/>
            <wp:effectExtent l="0" t="0" r="0" b="177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4305300" cy="2934970"/>
                    </a:xfrm>
                    <a:prstGeom prst="rect">
                      <a:avLst/>
                    </a:prstGeom>
                    <a:noFill/>
                    <a:ln>
                      <a:noFill/>
                    </a:ln>
                  </pic:spPr>
                </pic:pic>
              </a:graphicData>
            </a:graphic>
          </wp:inline>
        </w:drawing>
      </w:r>
    </w:p>
    <w:p>
      <w:pPr>
        <w:pStyle w:val="11"/>
        <w:jc w:val="center"/>
        <w:rPr>
          <w:rFonts w:hint="eastAsia"/>
          <w:lang w:eastAsia="zh-CN"/>
        </w:rPr>
      </w:pPr>
      <w:r>
        <w:rPr>
          <w:rFonts w:hint="eastAsia" w:ascii="黑体" w:hAnsi="黑体" w:eastAsia="黑体" w:cs="黑体"/>
          <w:kern w:val="2"/>
          <w:sz w:val="24"/>
          <w:szCs w:val="24"/>
          <w:lang w:val="en-US" w:eastAsia="zh-CN" w:bidi="ar-SA"/>
        </w:rPr>
        <w:t>图1-2  项目实施流程图</w:t>
      </w:r>
    </w:p>
    <w:p>
      <w:pPr>
        <w:pStyle w:val="4"/>
        <w:keepNext w:val="0"/>
        <w:keepLines w:val="0"/>
        <w:pageBreakBefore w:val="0"/>
        <w:widowControl w:val="0"/>
        <w:numPr>
          <w:ilvl w:val="0"/>
          <w:numId w:val="0"/>
        </w:numPr>
        <w:kinsoku/>
        <w:wordWrap/>
        <w:overflowPunct/>
        <w:topLinePunct w:val="0"/>
        <w:autoSpaceDE/>
        <w:autoSpaceDN/>
        <w:bidi w:val="0"/>
        <w:adjustRightInd/>
        <w:snapToGrid/>
        <w:spacing w:before="0" w:after="0" w:line="700" w:lineRule="exact"/>
        <w:ind w:left="0" w:leftChars="0" w:firstLine="640" w:firstLineChars="200"/>
        <w:textAlignment w:val="auto"/>
        <w:rPr>
          <w:rFonts w:hint="eastAsia"/>
          <w:color w:val="auto"/>
          <w:lang w:eastAsia="zh-CN"/>
        </w:rPr>
      </w:pPr>
      <w:bookmarkStart w:id="8" w:name="_Toc23877"/>
      <w:r>
        <w:rPr>
          <w:rFonts w:hint="eastAsia"/>
          <w:color w:val="auto"/>
          <w:lang w:eastAsia="zh-CN"/>
        </w:rPr>
        <w:t>二、项目绩效目标</w:t>
      </w:r>
      <w:bookmarkEnd w:id="4"/>
      <w:bookmarkEnd w:id="5"/>
      <w:bookmarkEnd w:id="8"/>
    </w:p>
    <w:p>
      <w:pPr>
        <w:pStyle w:val="2"/>
        <w:pageBreakBefore w:val="0"/>
        <w:widowControl w:val="0"/>
        <w:kinsoku/>
        <w:wordWrap/>
        <w:overflowPunct/>
        <w:autoSpaceDE/>
        <w:autoSpaceDN/>
        <w:bidi w:val="0"/>
        <w:spacing w:line="580" w:lineRule="exact"/>
        <w:ind w:firstLine="640" w:firstLineChars="200"/>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lang w:val="en-US" w:eastAsia="zh-CN"/>
        </w:rPr>
        <w:t>持续开展非道路移动机械编码登记以及号码发放工作，完成2万台各类非道路移动环保编码登记，确保环保编码喷绘准确率100%,现场信息审核准确率100%，不定期开展非道路移动机械监管监察，进一步加快低碳排放阶段的非道路移动机械和柴油机的淘汰进程，加强移动管控力度。</w:t>
      </w:r>
    </w:p>
    <w:p>
      <w:pPr>
        <w:pStyle w:val="4"/>
        <w:keepNext w:val="0"/>
        <w:keepLines w:val="0"/>
        <w:pageBreakBefore w:val="0"/>
        <w:widowControl w:val="0"/>
        <w:numPr>
          <w:ilvl w:val="0"/>
          <w:numId w:val="0"/>
        </w:numPr>
        <w:kinsoku/>
        <w:wordWrap/>
        <w:overflowPunct/>
        <w:topLinePunct w:val="0"/>
        <w:autoSpaceDE/>
        <w:autoSpaceDN/>
        <w:bidi w:val="0"/>
        <w:adjustRightInd/>
        <w:snapToGrid/>
        <w:spacing w:before="0" w:after="0" w:line="700" w:lineRule="exact"/>
        <w:ind w:left="0" w:leftChars="0" w:firstLine="640" w:firstLineChars="200"/>
        <w:textAlignment w:val="auto"/>
        <w:rPr>
          <w:rFonts w:hint="eastAsia"/>
          <w:color w:val="auto"/>
          <w:lang w:eastAsia="zh-CN"/>
        </w:rPr>
      </w:pPr>
      <w:bookmarkStart w:id="9" w:name="_Toc21247"/>
      <w:r>
        <w:rPr>
          <w:rFonts w:hint="eastAsia"/>
          <w:color w:val="auto"/>
          <w:lang w:eastAsia="zh-CN"/>
        </w:rPr>
        <w:t>三、评价基本情况</w:t>
      </w:r>
      <w:bookmarkEnd w:id="9"/>
    </w:p>
    <w:p>
      <w:pPr>
        <w:pStyle w:val="5"/>
        <w:pageBreakBefore w:val="0"/>
        <w:widowControl w:val="0"/>
        <w:numPr>
          <w:ilvl w:val="1"/>
          <w:numId w:val="0"/>
        </w:numPr>
        <w:kinsoku/>
        <w:wordWrap/>
        <w:overflowPunct/>
        <w:autoSpaceDE/>
        <w:autoSpaceDN/>
        <w:bidi w:val="0"/>
        <w:spacing w:before="0" w:after="0" w:line="580" w:lineRule="exact"/>
        <w:ind w:left="630" w:leftChars="0"/>
        <w:textAlignment w:val="auto"/>
        <w:rPr>
          <w:rFonts w:hint="eastAsia" w:ascii="楷体_GB2312" w:hAnsi="楷体_GB2312" w:eastAsia="楷体_GB2312" w:cs="楷体_GB2312"/>
          <w:b w:val="0"/>
          <w:bCs w:val="0"/>
          <w:color w:val="auto"/>
          <w:sz w:val="32"/>
          <w:lang w:eastAsia="zh-CN"/>
        </w:rPr>
      </w:pPr>
      <w:bookmarkStart w:id="10" w:name="_Toc21523"/>
      <w:r>
        <w:rPr>
          <w:rFonts w:hint="eastAsia" w:ascii="楷体_GB2312" w:hAnsi="楷体_GB2312" w:eastAsia="楷体_GB2312" w:cs="楷体_GB2312"/>
          <w:b w:val="0"/>
          <w:bCs w:val="0"/>
          <w:color w:val="auto"/>
          <w:sz w:val="32"/>
          <w:lang w:eastAsia="zh-CN"/>
        </w:rPr>
        <w:t>（一）评价目的</w:t>
      </w:r>
      <w:bookmarkEnd w:id="10"/>
    </w:p>
    <w:p>
      <w:pPr>
        <w:pStyle w:val="2"/>
        <w:pageBreakBefore w:val="0"/>
        <w:widowControl w:val="0"/>
        <w:kinsoku/>
        <w:wordWrap/>
        <w:overflowPunct/>
        <w:autoSpaceDE/>
        <w:autoSpaceDN/>
        <w:bidi w:val="0"/>
        <w:spacing w:line="580" w:lineRule="exact"/>
        <w:ind w:firstLine="640" w:firstLineChars="200"/>
        <w:textAlignment w:val="auto"/>
        <w:rPr>
          <w:rFonts w:hint="eastAsia" w:ascii="仿宋_GB2312" w:hAnsi="仿宋_GB2312" w:eastAsia="仿宋_GB2312" w:cs="仿宋_GB2312"/>
          <w:lang w:eastAsia="zh-CN"/>
        </w:rPr>
      </w:pPr>
      <w:r>
        <w:rPr>
          <w:rFonts w:hint="eastAsia" w:ascii="仿宋_GB2312" w:hAnsi="仿宋_GB2312" w:eastAsia="仿宋_GB2312" w:cs="仿宋_GB2312"/>
          <w:kern w:val="2"/>
          <w:sz w:val="32"/>
          <w:szCs w:val="32"/>
          <w:lang w:val="en-US" w:eastAsia="zh-CN"/>
        </w:rPr>
        <w:t>非道路移动机械环保编码登记项目为政府采购项目，考虑项目目前仍处于实施阶段，本次绩效评价重点关注项目的预算编制、招标流程、实施进度、喷码质量。通过现场调研及资料分析，对政府采购活动、项目喷码情况进行全面、客观、科学的评价，为进一步推进非道路移动机械的监控能力，优化政府采购营商环境，实施政府采购监督管理提供依据。</w:t>
      </w:r>
    </w:p>
    <w:p>
      <w:pPr>
        <w:pStyle w:val="5"/>
        <w:pageBreakBefore w:val="0"/>
        <w:widowControl w:val="0"/>
        <w:numPr>
          <w:ilvl w:val="1"/>
          <w:numId w:val="0"/>
        </w:numPr>
        <w:kinsoku/>
        <w:wordWrap/>
        <w:overflowPunct/>
        <w:autoSpaceDE/>
        <w:autoSpaceDN/>
        <w:bidi w:val="0"/>
        <w:spacing w:before="0" w:after="0" w:line="580" w:lineRule="exact"/>
        <w:ind w:left="630" w:leftChars="0"/>
        <w:textAlignment w:val="auto"/>
        <w:rPr>
          <w:rFonts w:hint="eastAsia" w:ascii="楷体_GB2312" w:hAnsi="楷体_GB2312" w:eastAsia="楷体_GB2312" w:cs="楷体_GB2312"/>
          <w:b w:val="0"/>
          <w:bCs w:val="0"/>
          <w:color w:val="auto"/>
          <w:sz w:val="32"/>
          <w:lang w:eastAsia="zh-CN"/>
        </w:rPr>
      </w:pPr>
      <w:bookmarkStart w:id="11" w:name="_Toc6785"/>
      <w:r>
        <w:rPr>
          <w:rFonts w:hint="eastAsia" w:ascii="楷体_GB2312" w:hAnsi="楷体_GB2312" w:eastAsia="楷体_GB2312" w:cs="楷体_GB2312"/>
          <w:b w:val="0"/>
          <w:bCs w:val="0"/>
          <w:color w:val="auto"/>
          <w:sz w:val="32"/>
          <w:lang w:eastAsia="zh-CN"/>
        </w:rPr>
        <w:t>（二）评价对象与范围</w:t>
      </w:r>
      <w:bookmarkEnd w:id="11"/>
    </w:p>
    <w:p>
      <w:pPr>
        <w:spacing w:line="600" w:lineRule="exact"/>
        <w:ind w:firstLine="640" w:firstLineChars="20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绩效评价对象为菏泽市2021年度非道路移动机械环保编码登记政府采购项目整体运行情况。</w:t>
      </w:r>
    </w:p>
    <w:p>
      <w:pPr>
        <w:keepNext w:val="0"/>
        <w:keepLines w:val="0"/>
        <w:pageBreakBefore w:val="0"/>
        <w:widowControl w:val="0"/>
        <w:kinsoku/>
        <w:wordWrap/>
        <w:overflowPunct/>
        <w:autoSpaceDE/>
        <w:autoSpaceDN/>
        <w:bidi w:val="0"/>
        <w:spacing w:afterAutospacing="0"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2"/>
          <w:sz w:val="32"/>
          <w:szCs w:val="32"/>
          <w:lang w:val="en-US" w:eastAsia="zh-CN" w:bidi="ar-SA"/>
        </w:rPr>
        <w:t>绩效评价范围为菏泽市非道路移动机械环保编码登记政府采购过程及项目实施过程。</w:t>
      </w:r>
    </w:p>
    <w:p>
      <w:pPr>
        <w:pStyle w:val="5"/>
        <w:pageBreakBefore w:val="0"/>
        <w:widowControl w:val="0"/>
        <w:numPr>
          <w:ilvl w:val="1"/>
          <w:numId w:val="0"/>
        </w:numPr>
        <w:kinsoku/>
        <w:wordWrap/>
        <w:overflowPunct/>
        <w:autoSpaceDE/>
        <w:autoSpaceDN/>
        <w:bidi w:val="0"/>
        <w:spacing w:before="0" w:after="0" w:line="580" w:lineRule="exact"/>
        <w:ind w:left="630" w:leftChars="0"/>
        <w:textAlignment w:val="auto"/>
        <w:rPr>
          <w:rFonts w:hint="eastAsia" w:ascii="楷体_GB2312" w:hAnsi="楷体_GB2312" w:eastAsia="楷体_GB2312" w:cs="楷体_GB2312"/>
          <w:b w:val="0"/>
          <w:bCs w:val="0"/>
          <w:color w:val="auto"/>
          <w:sz w:val="32"/>
          <w:lang w:eastAsia="zh-CN"/>
        </w:rPr>
      </w:pPr>
      <w:bookmarkStart w:id="12" w:name="_Toc22756"/>
      <w:r>
        <w:rPr>
          <w:rFonts w:hint="eastAsia" w:ascii="楷体_GB2312" w:hAnsi="楷体_GB2312" w:eastAsia="楷体_GB2312" w:cs="楷体_GB2312"/>
          <w:b w:val="0"/>
          <w:bCs w:val="0"/>
          <w:color w:val="auto"/>
          <w:sz w:val="32"/>
          <w:lang w:eastAsia="zh-CN"/>
        </w:rPr>
        <w:t>（三）评价依据</w:t>
      </w:r>
      <w:bookmarkEnd w:id="12"/>
    </w:p>
    <w:p>
      <w:pPr>
        <w:keepNext w:val="0"/>
        <w:keepLines w:val="0"/>
        <w:pageBreakBefore w:val="0"/>
        <w:widowControl w:val="0"/>
        <w:kinsoku/>
        <w:wordWrap/>
        <w:overflowPunct/>
        <w:topLinePunct/>
        <w:autoSpaceDE/>
        <w:autoSpaceDN/>
        <w:bidi w:val="0"/>
        <w:adjustRightInd w:val="0"/>
        <w:snapToGrid w:val="0"/>
        <w:spacing w:afterAutospacing="0" w:line="58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（1）《关于全面推进预算绩效管理的实施意见》（菏发〔2019〕22号）</w:t>
      </w:r>
    </w:p>
    <w:p>
      <w:pPr>
        <w:keepNext w:val="0"/>
        <w:keepLines w:val="0"/>
        <w:pageBreakBefore w:val="0"/>
        <w:widowControl w:val="0"/>
        <w:kinsoku/>
        <w:wordWrap/>
        <w:overflowPunct/>
        <w:topLinePunct/>
        <w:autoSpaceDE/>
        <w:autoSpaceDN/>
        <w:bidi w:val="0"/>
        <w:adjustRightInd w:val="0"/>
        <w:snapToGrid w:val="0"/>
        <w:spacing w:afterAutospacing="0" w:line="58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（2）《中华人民共和国政府采购法》</w:t>
      </w:r>
    </w:p>
    <w:p>
      <w:pPr>
        <w:keepNext w:val="0"/>
        <w:keepLines w:val="0"/>
        <w:pageBreakBefore w:val="0"/>
        <w:widowControl w:val="0"/>
        <w:kinsoku/>
        <w:wordWrap/>
        <w:overflowPunct/>
        <w:topLinePunct/>
        <w:autoSpaceDE/>
        <w:autoSpaceDN/>
        <w:bidi w:val="0"/>
        <w:adjustRightInd w:val="0"/>
        <w:snapToGrid w:val="0"/>
        <w:spacing w:afterAutospacing="0" w:line="58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（3）《政府采购竞争性磋商采购方式管理暂行办法》（财库〔2014〕215号）</w:t>
      </w:r>
    </w:p>
    <w:p>
      <w:pPr>
        <w:keepNext w:val="0"/>
        <w:keepLines w:val="0"/>
        <w:pageBreakBefore w:val="0"/>
        <w:widowControl w:val="0"/>
        <w:kinsoku/>
        <w:wordWrap/>
        <w:overflowPunct/>
        <w:topLinePunct/>
        <w:autoSpaceDE/>
        <w:autoSpaceDN/>
        <w:bidi w:val="0"/>
        <w:adjustRightInd w:val="0"/>
        <w:snapToGrid w:val="0"/>
        <w:spacing w:afterAutospacing="0" w:line="58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（4）《政府采购代理机构管理暂行办法》（财库〔2018〕2号）</w:t>
      </w:r>
    </w:p>
    <w:p>
      <w:pPr>
        <w:keepNext w:val="0"/>
        <w:keepLines w:val="0"/>
        <w:pageBreakBefore w:val="0"/>
        <w:widowControl w:val="0"/>
        <w:kinsoku/>
        <w:wordWrap/>
        <w:overflowPunct/>
        <w:topLinePunct/>
        <w:autoSpaceDE/>
        <w:autoSpaceDN/>
        <w:bidi w:val="0"/>
        <w:adjustRightInd w:val="0"/>
        <w:snapToGrid w:val="0"/>
        <w:spacing w:afterAutospacing="0" w:line="58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（5）《山东省政府购买服务指导性目录（2021年版）的通知》（鲁财采〔2021〕18号）</w:t>
      </w:r>
    </w:p>
    <w:p>
      <w:pPr>
        <w:keepNext w:val="0"/>
        <w:keepLines w:val="0"/>
        <w:pageBreakBefore w:val="0"/>
        <w:widowControl w:val="0"/>
        <w:kinsoku/>
        <w:wordWrap/>
        <w:overflowPunct/>
        <w:topLinePunct/>
        <w:autoSpaceDE/>
        <w:autoSpaceDN/>
        <w:bidi w:val="0"/>
        <w:adjustRightInd w:val="0"/>
        <w:snapToGrid w:val="0"/>
        <w:spacing w:afterAutospacing="0" w:line="58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kern w:val="2"/>
          <w:sz w:val="32"/>
          <w:szCs w:val="32"/>
          <w:lang w:val="en-US" w:eastAsia="zh-CN" w:bidi="ar-SA"/>
        </w:rPr>
        <w:t>（6）《菏泽市市级政府采购项目支出绩效评价暂行办法》（菏财采〔2022〕11号）</w:t>
      </w:r>
    </w:p>
    <w:p>
      <w:pPr>
        <w:pStyle w:val="5"/>
        <w:pageBreakBefore w:val="0"/>
        <w:widowControl w:val="0"/>
        <w:numPr>
          <w:ilvl w:val="1"/>
          <w:numId w:val="0"/>
        </w:numPr>
        <w:kinsoku/>
        <w:wordWrap/>
        <w:overflowPunct/>
        <w:autoSpaceDE/>
        <w:autoSpaceDN/>
        <w:bidi w:val="0"/>
        <w:spacing w:before="0" w:after="0" w:line="580" w:lineRule="exact"/>
        <w:ind w:left="630" w:leftChars="0"/>
        <w:textAlignment w:val="auto"/>
        <w:rPr>
          <w:rFonts w:hint="eastAsia" w:ascii="楷体_GB2312" w:hAnsi="楷体_GB2312" w:eastAsia="楷体_GB2312" w:cs="楷体_GB2312"/>
          <w:b w:val="0"/>
          <w:bCs w:val="0"/>
          <w:color w:val="auto"/>
          <w:sz w:val="32"/>
          <w:lang w:eastAsia="zh-CN"/>
        </w:rPr>
      </w:pPr>
      <w:bookmarkStart w:id="13" w:name="_Toc23718"/>
      <w:r>
        <w:rPr>
          <w:rFonts w:hint="eastAsia" w:ascii="楷体_GB2312" w:hAnsi="楷体_GB2312" w:eastAsia="楷体_GB2312" w:cs="楷体_GB2312"/>
          <w:b w:val="0"/>
          <w:bCs w:val="0"/>
          <w:color w:val="auto"/>
          <w:sz w:val="32"/>
          <w:lang w:eastAsia="zh-CN"/>
        </w:rPr>
        <w:t>（四）评价原则、评价方法</w:t>
      </w:r>
      <w:bookmarkEnd w:id="13"/>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本次绩效评价采用了科学规范、绩效相关等评价原则，</w:t>
      </w:r>
      <w:r>
        <w:rPr>
          <w:rFonts w:hint="eastAsia" w:ascii="仿宋_GB2312" w:hAnsi="仿宋_GB2312" w:eastAsia="仿宋_GB2312" w:cs="仿宋_GB2312"/>
          <w:sz w:val="32"/>
          <w:szCs w:val="32"/>
        </w:rPr>
        <w:t>采用</w:t>
      </w:r>
      <w:r>
        <w:rPr>
          <w:rFonts w:hint="eastAsia" w:ascii="仿宋_GB2312" w:hAnsi="仿宋_GB2312" w:eastAsia="仿宋_GB2312" w:cs="仿宋_GB2312"/>
          <w:sz w:val="32"/>
          <w:szCs w:val="32"/>
          <w:lang w:eastAsia="zh-CN"/>
        </w:rPr>
        <w:t>了</w:t>
      </w:r>
      <w:r>
        <w:rPr>
          <w:rFonts w:hint="eastAsia" w:ascii="仿宋_GB2312" w:hAnsi="仿宋_GB2312" w:eastAsia="仿宋_GB2312" w:cs="仿宋_GB2312"/>
          <w:sz w:val="32"/>
          <w:szCs w:val="32"/>
        </w:rPr>
        <w:t>比较法、公众评判法等</w:t>
      </w:r>
      <w:r>
        <w:rPr>
          <w:rFonts w:hint="eastAsia" w:ascii="仿宋_GB2312" w:hAnsi="仿宋_GB2312" w:eastAsia="仿宋_GB2312" w:cs="仿宋_GB2312"/>
          <w:sz w:val="32"/>
          <w:szCs w:val="32"/>
          <w:lang w:eastAsia="zh-CN"/>
        </w:rPr>
        <w:t>评价</w:t>
      </w:r>
      <w:r>
        <w:rPr>
          <w:rFonts w:hint="eastAsia" w:ascii="仿宋_GB2312" w:hAnsi="仿宋_GB2312" w:eastAsia="仿宋_GB2312" w:cs="仿宋_GB2312"/>
          <w:sz w:val="32"/>
          <w:szCs w:val="32"/>
        </w:rPr>
        <w:t>方法。</w:t>
      </w:r>
    </w:p>
    <w:p>
      <w:pPr>
        <w:pStyle w:val="5"/>
        <w:pageBreakBefore w:val="0"/>
        <w:widowControl w:val="0"/>
        <w:numPr>
          <w:ilvl w:val="1"/>
          <w:numId w:val="0"/>
        </w:numPr>
        <w:kinsoku/>
        <w:wordWrap/>
        <w:overflowPunct/>
        <w:autoSpaceDE/>
        <w:autoSpaceDN/>
        <w:bidi w:val="0"/>
        <w:spacing w:before="0" w:after="0" w:line="580" w:lineRule="exact"/>
        <w:ind w:left="630" w:leftChars="0"/>
        <w:textAlignment w:val="auto"/>
        <w:rPr>
          <w:rFonts w:hint="eastAsia" w:ascii="楷体_GB2312" w:hAnsi="楷体_GB2312" w:eastAsia="楷体_GB2312" w:cs="楷体_GB2312"/>
          <w:b w:val="0"/>
          <w:bCs w:val="0"/>
          <w:color w:val="auto"/>
          <w:sz w:val="32"/>
          <w:lang w:eastAsia="zh-CN"/>
        </w:rPr>
      </w:pPr>
      <w:bookmarkStart w:id="14" w:name="_Toc30927"/>
      <w:r>
        <w:rPr>
          <w:rFonts w:hint="eastAsia" w:ascii="楷体_GB2312" w:hAnsi="楷体_GB2312" w:eastAsia="楷体_GB2312" w:cs="楷体_GB2312"/>
          <w:b w:val="0"/>
          <w:bCs w:val="0"/>
          <w:color w:val="auto"/>
          <w:sz w:val="32"/>
          <w:lang w:eastAsia="zh-CN"/>
        </w:rPr>
        <w:t>（五）绩效评价指标体系</w:t>
      </w:r>
      <w:bookmarkEnd w:id="14"/>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本次指标设计是依据《关于开展2021-2022年度市直部门单位政府采购项目支出绩效自评工作的通知》（菏财采〔2022〕12号）文件中要求的指标设计大纲，结合政府采购项目实际情况，优先选择最具有代表性，最能直接反映的核心指标，如：采购需求完整性、开、评、定标组织合规性、采购文件规范性、采购方式合理性指标。本次绩效评价指标体系设计为“决策”“过程”“产出”和“效益”四大维度，在此维度下依次确定和构建指标。</w:t>
      </w:r>
    </w:p>
    <w:p>
      <w:pPr>
        <w:pageBreakBefore w:val="0"/>
        <w:widowControl w:val="0"/>
        <w:kinsoku/>
        <w:wordWrap/>
        <w:overflowPunct/>
        <w:topLinePunct w:val="0"/>
        <w:autoSpaceDE/>
        <w:autoSpaceDN/>
        <w:bidi w:val="0"/>
        <w:adjustRightInd/>
        <w:snapToGrid/>
        <w:spacing w:afterAutospacing="0" w:line="580" w:lineRule="exact"/>
        <w:ind w:left="0"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本次指标设计是依据《菏泽市市级政府采购项目支出绩效评价暂行办法》（菏财采〔2022〕11号）第十一条：政府采购项目实施期间的评价注重过程。本次绩效评价指标设置权重如下:决策指标权重10%、过程指标权重60%、产出指标权重20%、效益指标权重10%。绩效指标体系框架由4个一级指标、13个二级指标和22个三级指标、25个四级指标组成。</w:t>
      </w:r>
    </w:p>
    <w:p>
      <w:pPr>
        <w:pStyle w:val="5"/>
        <w:pageBreakBefore w:val="0"/>
        <w:widowControl w:val="0"/>
        <w:numPr>
          <w:ilvl w:val="1"/>
          <w:numId w:val="0"/>
        </w:numPr>
        <w:kinsoku/>
        <w:wordWrap/>
        <w:overflowPunct/>
        <w:autoSpaceDE/>
        <w:autoSpaceDN/>
        <w:bidi w:val="0"/>
        <w:spacing w:before="0" w:after="0" w:line="580" w:lineRule="exact"/>
        <w:ind w:left="630" w:leftChars="0"/>
        <w:textAlignment w:val="auto"/>
        <w:rPr>
          <w:rFonts w:hint="eastAsia" w:ascii="楷体_GB2312" w:hAnsi="楷体_GB2312" w:eastAsia="楷体_GB2312" w:cs="楷体_GB2312"/>
          <w:b w:val="0"/>
          <w:bCs w:val="0"/>
          <w:color w:val="auto"/>
          <w:sz w:val="32"/>
          <w:lang w:eastAsia="zh-CN"/>
        </w:rPr>
      </w:pPr>
      <w:bookmarkStart w:id="15" w:name="_Toc16760"/>
      <w:r>
        <w:rPr>
          <w:rFonts w:hint="eastAsia" w:ascii="楷体_GB2312" w:hAnsi="楷体_GB2312" w:eastAsia="楷体_GB2312" w:cs="楷体_GB2312"/>
          <w:b w:val="0"/>
          <w:bCs w:val="0"/>
          <w:color w:val="auto"/>
          <w:sz w:val="32"/>
          <w:lang w:eastAsia="zh-CN"/>
        </w:rPr>
        <w:t>（六）评价人员组成</w:t>
      </w:r>
      <w:bookmarkEnd w:id="15"/>
    </w:p>
    <w:p>
      <w:pPr>
        <w:pageBreakBefore w:val="0"/>
        <w:widowControl w:val="0"/>
        <w:kinsoku/>
        <w:wordWrap/>
        <w:overflowPunct/>
        <w:topLinePunct w:val="0"/>
        <w:autoSpaceDE/>
        <w:autoSpaceDN/>
        <w:bidi w:val="0"/>
        <w:adjustRightInd/>
        <w:snapToGrid/>
        <w:spacing w:afterAutospacing="0" w:line="580" w:lineRule="exact"/>
        <w:ind w:left="0"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为本次绩效评价我司成立了专门的评价组，确定一名负责人，负责绩效评价工作的总体控制，为确保绩效评价工作的客观、公正、严谨，配备了财政、金融等方面人员。</w:t>
      </w:r>
    </w:p>
    <w:p>
      <w:pPr>
        <w:pStyle w:val="5"/>
        <w:pageBreakBefore w:val="0"/>
        <w:widowControl w:val="0"/>
        <w:numPr>
          <w:ilvl w:val="1"/>
          <w:numId w:val="0"/>
        </w:numPr>
        <w:kinsoku/>
        <w:wordWrap/>
        <w:overflowPunct/>
        <w:autoSpaceDE/>
        <w:autoSpaceDN/>
        <w:bidi w:val="0"/>
        <w:spacing w:before="0" w:after="0" w:line="580" w:lineRule="exact"/>
        <w:ind w:left="630" w:leftChars="0"/>
        <w:textAlignment w:val="auto"/>
        <w:rPr>
          <w:rFonts w:hint="eastAsia" w:ascii="楷体_GB2312" w:hAnsi="楷体_GB2312" w:eastAsia="楷体_GB2312" w:cs="楷体_GB2312"/>
          <w:b w:val="0"/>
          <w:bCs w:val="0"/>
          <w:color w:val="auto"/>
          <w:sz w:val="32"/>
          <w:lang w:eastAsia="zh-CN"/>
        </w:rPr>
      </w:pPr>
      <w:bookmarkStart w:id="16" w:name="_Toc5566"/>
      <w:r>
        <w:rPr>
          <w:rFonts w:hint="eastAsia" w:ascii="楷体_GB2312" w:hAnsi="楷体_GB2312" w:eastAsia="楷体_GB2312" w:cs="楷体_GB2312"/>
          <w:b w:val="0"/>
          <w:bCs w:val="0"/>
          <w:color w:val="auto"/>
          <w:sz w:val="32"/>
          <w:lang w:val="en-US" w:eastAsia="zh-CN"/>
        </w:rPr>
        <w:t>（七）绩效评价工作过</w:t>
      </w:r>
      <w:r>
        <w:rPr>
          <w:rFonts w:hint="eastAsia" w:ascii="楷体_GB2312" w:hAnsi="楷体_GB2312" w:eastAsia="楷体_GB2312" w:cs="楷体_GB2312"/>
          <w:b w:val="0"/>
          <w:bCs w:val="0"/>
          <w:color w:val="auto"/>
          <w:sz w:val="32"/>
          <w:lang w:eastAsia="zh-CN"/>
        </w:rPr>
        <w:t>程</w:t>
      </w:r>
      <w:bookmarkEnd w:id="16"/>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default" w:ascii="仿宋_GB2312" w:eastAsia="仿宋_GB2312"/>
          <w:sz w:val="32"/>
          <w:szCs w:val="32"/>
          <w:lang w:val="en-US" w:eastAsia="zh-CN"/>
        </w:rPr>
      </w:pPr>
      <w:r>
        <w:rPr>
          <w:rFonts w:hint="eastAsia" w:ascii="仿宋_GB2312" w:hAnsi="仿宋_GB2312" w:eastAsia="仿宋_GB2312" w:cs="仿宋_GB2312"/>
          <w:kern w:val="2"/>
          <w:sz w:val="32"/>
          <w:szCs w:val="32"/>
          <w:highlight w:val="none"/>
          <w:lang w:val="en-US" w:eastAsia="zh-CN" w:bidi="ar-SA"/>
        </w:rPr>
        <w:t>本次菏泽市2021年度非道路移动机械环保编码登记项目评价工作周期为38个工作日，需在委托方规定时间之内完成。</w:t>
      </w:r>
    </w:p>
    <w:p>
      <w:pPr>
        <w:pStyle w:val="4"/>
        <w:keepNext w:val="0"/>
        <w:keepLines w:val="0"/>
        <w:pageBreakBefore w:val="0"/>
        <w:widowControl w:val="0"/>
        <w:numPr>
          <w:ilvl w:val="0"/>
          <w:numId w:val="0"/>
        </w:numPr>
        <w:kinsoku/>
        <w:wordWrap/>
        <w:overflowPunct/>
        <w:topLinePunct w:val="0"/>
        <w:autoSpaceDE/>
        <w:autoSpaceDN/>
        <w:bidi w:val="0"/>
        <w:adjustRightInd/>
        <w:snapToGrid/>
        <w:spacing w:before="0" w:after="0" w:line="700" w:lineRule="exact"/>
        <w:ind w:left="0" w:leftChars="0" w:firstLine="640" w:firstLineChars="200"/>
        <w:textAlignment w:val="auto"/>
        <w:rPr>
          <w:rFonts w:hint="eastAsia"/>
          <w:color w:val="auto"/>
          <w:lang w:eastAsia="zh-CN"/>
        </w:rPr>
      </w:pPr>
      <w:bookmarkStart w:id="17" w:name="_Toc15646"/>
      <w:r>
        <w:rPr>
          <w:rFonts w:hint="eastAsia"/>
          <w:color w:val="auto"/>
          <w:lang w:eastAsia="zh-CN"/>
        </w:rPr>
        <w:t>四、评价结论及分析</w:t>
      </w:r>
      <w:bookmarkEnd w:id="17"/>
    </w:p>
    <w:p>
      <w:pPr>
        <w:pStyle w:val="5"/>
        <w:pageBreakBefore w:val="0"/>
        <w:widowControl w:val="0"/>
        <w:numPr>
          <w:ilvl w:val="1"/>
          <w:numId w:val="0"/>
        </w:numPr>
        <w:kinsoku/>
        <w:wordWrap/>
        <w:overflowPunct/>
        <w:autoSpaceDE/>
        <w:autoSpaceDN/>
        <w:bidi w:val="0"/>
        <w:spacing w:before="0" w:after="0" w:line="580" w:lineRule="exact"/>
        <w:ind w:left="630" w:leftChars="0"/>
        <w:textAlignment w:val="auto"/>
        <w:rPr>
          <w:rFonts w:hint="eastAsia" w:ascii="楷体_GB2312" w:hAnsi="楷体_GB2312" w:eastAsia="楷体_GB2312" w:cs="楷体_GB2312"/>
          <w:b w:val="0"/>
          <w:bCs w:val="0"/>
          <w:color w:val="auto"/>
          <w:sz w:val="32"/>
          <w:lang w:eastAsia="zh-CN"/>
        </w:rPr>
      </w:pPr>
      <w:bookmarkStart w:id="18" w:name="_Toc14589"/>
      <w:bookmarkStart w:id="19" w:name="_Toc3478"/>
      <w:r>
        <w:rPr>
          <w:rFonts w:hint="eastAsia" w:ascii="楷体_GB2312" w:hAnsi="楷体_GB2312" w:eastAsia="楷体_GB2312" w:cs="楷体_GB2312"/>
          <w:b w:val="0"/>
          <w:bCs w:val="0"/>
          <w:color w:val="auto"/>
          <w:sz w:val="32"/>
          <w:lang w:eastAsia="zh-CN"/>
        </w:rPr>
        <w:t>（一）评价结论</w:t>
      </w:r>
      <w:bookmarkEnd w:id="18"/>
      <w:bookmarkEnd w:id="19"/>
    </w:p>
    <w:p>
      <w:pPr>
        <w:pStyle w:val="8"/>
        <w:pageBreakBefore w:val="0"/>
        <w:widowControl w:val="0"/>
        <w:kinsoku/>
        <w:wordWrap/>
        <w:overflowPunct/>
        <w:autoSpaceDE/>
        <w:autoSpaceDN/>
        <w:bidi w:val="0"/>
        <w:spacing w:line="580" w:lineRule="exact"/>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根据绩效评价组制定的绩效评价指标体系及评分标准，通过资料整理分析、数据采集、现场座谈、线上线下的问卷调查等方式，对菏泽市非道路移动机械环保编码登记政府采购项目进行绩效评价。</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lang w:val="en-US" w:eastAsia="zh-CN" w:bidi="ar-SA"/>
        </w:rPr>
      </w:pPr>
      <w:bookmarkStart w:id="20" w:name="_Toc14884"/>
      <w:r>
        <w:rPr>
          <w:rFonts w:hint="eastAsia" w:ascii="仿宋_GB2312" w:hAnsi="仿宋_GB2312" w:eastAsia="仿宋_GB2312" w:cs="仿宋_GB2312"/>
          <w:kern w:val="2"/>
          <w:sz w:val="32"/>
          <w:szCs w:val="32"/>
          <w:lang w:val="en-US" w:eastAsia="zh-CN" w:bidi="ar-SA"/>
        </w:rPr>
        <w:t>本次绩效评价最终评分结果：总得分</w:t>
      </w:r>
      <w:r>
        <w:rPr>
          <w:rFonts w:hint="eastAsia" w:ascii="仿宋_GB2312" w:hAnsi="仿宋_GB2312" w:eastAsia="仿宋_GB2312" w:cs="仿宋_GB2312"/>
          <w:kern w:val="2"/>
          <w:sz w:val="32"/>
          <w:szCs w:val="32"/>
          <w:highlight w:val="none"/>
          <w:lang w:val="en-US" w:eastAsia="zh-CN" w:bidi="ar-SA"/>
        </w:rPr>
        <w:t>为84.8分，评价</w:t>
      </w:r>
      <w:r>
        <w:rPr>
          <w:rFonts w:hint="eastAsia" w:ascii="仿宋_GB2312" w:hAnsi="仿宋_GB2312" w:eastAsia="仿宋_GB2312" w:cs="仿宋_GB2312"/>
          <w:kern w:val="2"/>
          <w:sz w:val="32"/>
          <w:szCs w:val="32"/>
          <w:lang w:val="en-US" w:eastAsia="zh-CN" w:bidi="ar-SA"/>
        </w:rPr>
        <w:t>等级为“良”。</w:t>
      </w:r>
    </w:p>
    <w:p>
      <w:pPr>
        <w:pStyle w:val="5"/>
        <w:pageBreakBefore w:val="0"/>
        <w:widowControl w:val="0"/>
        <w:numPr>
          <w:ilvl w:val="1"/>
          <w:numId w:val="0"/>
        </w:numPr>
        <w:kinsoku/>
        <w:wordWrap/>
        <w:overflowPunct/>
        <w:autoSpaceDE/>
        <w:autoSpaceDN/>
        <w:bidi w:val="0"/>
        <w:spacing w:before="0" w:after="0" w:line="580" w:lineRule="exact"/>
        <w:ind w:left="630" w:leftChars="0"/>
        <w:textAlignment w:val="auto"/>
        <w:rPr>
          <w:rFonts w:hint="eastAsia" w:ascii="楷体_GB2312" w:hAnsi="楷体_GB2312" w:eastAsia="楷体_GB2312" w:cs="楷体_GB2312"/>
          <w:b w:val="0"/>
          <w:bCs w:val="0"/>
          <w:color w:val="auto"/>
          <w:sz w:val="32"/>
          <w:lang w:val="en-US" w:eastAsia="zh-CN"/>
        </w:rPr>
      </w:pPr>
      <w:bookmarkStart w:id="21" w:name="_Toc28377"/>
      <w:r>
        <w:rPr>
          <w:rFonts w:hint="eastAsia" w:ascii="楷体_GB2312" w:hAnsi="楷体_GB2312" w:eastAsia="楷体_GB2312" w:cs="楷体_GB2312"/>
          <w:b w:val="0"/>
          <w:bCs w:val="0"/>
          <w:color w:val="auto"/>
          <w:sz w:val="32"/>
          <w:lang w:val="en-US" w:eastAsia="zh-CN"/>
        </w:rPr>
        <w:t>（二）非现场绩效评价情况分析</w:t>
      </w:r>
      <w:bookmarkEnd w:id="20"/>
      <w:bookmarkEnd w:id="21"/>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lang w:val="en-US" w:eastAsia="zh-CN"/>
        </w:rPr>
      </w:pPr>
      <w:bookmarkStart w:id="22" w:name="_Toc7175"/>
      <w:r>
        <w:rPr>
          <w:rFonts w:hint="eastAsia" w:ascii="仿宋_GB2312" w:hAnsi="仿宋_GB2312" w:eastAsia="仿宋_GB2312" w:cs="仿宋_GB2312"/>
          <w:kern w:val="2"/>
          <w:sz w:val="32"/>
          <w:szCs w:val="32"/>
          <w:lang w:val="en-US" w:eastAsia="zh-CN" w:bidi="ar-SA"/>
        </w:rPr>
        <w:t>绩效评价组通过被评价部门菏泽市生态环境局提供的相关资料，包括项目的立项文件、财务管理制度等，结合菏泽市人民政府官网、菏泽市生态环境局官网、山东政府采购网查阅、检索的关于非道路移动机械环保编码登记项目政府采购相关的公开资料进行分类、汇总和分析，对项目的执行及成效进行了非现场评价分析。</w:t>
      </w:r>
    </w:p>
    <w:p>
      <w:pPr>
        <w:pStyle w:val="5"/>
        <w:pageBreakBefore w:val="0"/>
        <w:widowControl w:val="0"/>
        <w:numPr>
          <w:ilvl w:val="1"/>
          <w:numId w:val="0"/>
        </w:numPr>
        <w:kinsoku/>
        <w:wordWrap/>
        <w:overflowPunct/>
        <w:autoSpaceDE/>
        <w:autoSpaceDN/>
        <w:bidi w:val="0"/>
        <w:spacing w:before="0" w:after="0" w:line="580" w:lineRule="exact"/>
        <w:ind w:firstLine="640" w:firstLineChars="200"/>
        <w:textAlignment w:val="auto"/>
        <w:rPr>
          <w:rFonts w:hint="eastAsia" w:ascii="楷体_GB2312" w:hAnsi="楷体_GB2312" w:eastAsia="楷体_GB2312" w:cs="楷体_GB2312"/>
          <w:b w:val="0"/>
          <w:bCs w:val="0"/>
          <w:color w:val="auto"/>
          <w:kern w:val="2"/>
          <w:sz w:val="32"/>
          <w:szCs w:val="32"/>
          <w:lang w:val="en-US" w:eastAsia="zh-CN" w:bidi="ar-SA"/>
        </w:rPr>
      </w:pPr>
      <w:bookmarkStart w:id="23" w:name="_Toc8125"/>
      <w:r>
        <w:rPr>
          <w:rFonts w:hint="eastAsia" w:ascii="楷体_GB2312" w:hAnsi="楷体_GB2312" w:eastAsia="楷体_GB2312" w:cs="楷体_GB2312"/>
          <w:b w:val="0"/>
          <w:bCs w:val="0"/>
          <w:color w:val="auto"/>
          <w:kern w:val="2"/>
          <w:sz w:val="32"/>
          <w:szCs w:val="32"/>
          <w:lang w:val="en-US" w:eastAsia="zh-CN" w:bidi="ar-SA"/>
        </w:rPr>
        <w:t>（三）现场绩效评价情况分析</w:t>
      </w:r>
      <w:bookmarkEnd w:id="22"/>
      <w:bookmarkEnd w:id="23"/>
    </w:p>
    <w:p>
      <w:pPr>
        <w:pageBreakBefore w:val="0"/>
        <w:widowControl w:val="0"/>
        <w:kinsoku/>
        <w:wordWrap/>
        <w:overflowPunct/>
        <w:autoSpaceDE/>
        <w:autoSpaceDN/>
        <w:bidi w:val="0"/>
        <w:spacing w:line="580" w:lineRule="exact"/>
        <w:ind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lang w:val="en-US" w:eastAsia="zh-CN" w:bidi="ar-SA"/>
        </w:rPr>
        <w:t>绩效评价组通过组织部门负责人进行现场集中交流。根据预定的绩效评价实施方案，对菏泽市非道路移动机械环保编码登记政府采购项目的实施情况进行了访谈交流。交流内容主要包括项目实施进度、实施具体流程、政府采购控制金额的编制等。通过现场调研对菏泽市全市4区7县进行了现场评价，分析项目实施过程中存在的问题</w:t>
      </w:r>
    </w:p>
    <w:p>
      <w:pPr>
        <w:pStyle w:val="4"/>
        <w:keepNext w:val="0"/>
        <w:keepLines w:val="0"/>
        <w:pageBreakBefore w:val="0"/>
        <w:widowControl w:val="0"/>
        <w:numPr>
          <w:ilvl w:val="0"/>
          <w:numId w:val="0"/>
        </w:numPr>
        <w:kinsoku/>
        <w:wordWrap/>
        <w:overflowPunct/>
        <w:topLinePunct w:val="0"/>
        <w:autoSpaceDE/>
        <w:autoSpaceDN/>
        <w:bidi w:val="0"/>
        <w:adjustRightInd/>
        <w:snapToGrid/>
        <w:spacing w:before="0" w:after="0" w:line="700" w:lineRule="exact"/>
        <w:ind w:left="0" w:leftChars="0" w:firstLine="640" w:firstLineChars="200"/>
        <w:textAlignment w:val="auto"/>
        <w:rPr>
          <w:rFonts w:hint="eastAsia"/>
          <w:color w:val="auto"/>
          <w:lang w:eastAsia="zh-CN"/>
        </w:rPr>
      </w:pPr>
      <w:bookmarkStart w:id="24" w:name="_Toc26873"/>
      <w:r>
        <w:rPr>
          <w:rFonts w:hint="eastAsia"/>
          <w:color w:val="auto"/>
          <w:lang w:eastAsia="zh-CN"/>
        </w:rPr>
        <w:t>五、绩效评价指标分析</w:t>
      </w:r>
      <w:bookmarkEnd w:id="24"/>
    </w:p>
    <w:p>
      <w:pPr>
        <w:pStyle w:val="5"/>
        <w:pageBreakBefore w:val="0"/>
        <w:widowControl w:val="0"/>
        <w:numPr>
          <w:ilvl w:val="1"/>
          <w:numId w:val="0"/>
        </w:numPr>
        <w:kinsoku/>
        <w:wordWrap/>
        <w:overflowPunct/>
        <w:autoSpaceDE/>
        <w:autoSpaceDN/>
        <w:bidi w:val="0"/>
        <w:spacing w:before="0" w:after="0" w:line="580" w:lineRule="exact"/>
        <w:ind w:firstLine="640" w:firstLineChars="200"/>
        <w:textAlignment w:val="auto"/>
        <w:rPr>
          <w:rFonts w:hint="eastAsia" w:ascii="楷体_GB2312" w:hAnsi="楷体_GB2312" w:eastAsia="楷体_GB2312" w:cs="楷体_GB2312"/>
          <w:b w:val="0"/>
          <w:bCs w:val="0"/>
          <w:color w:val="auto"/>
          <w:kern w:val="2"/>
          <w:sz w:val="32"/>
          <w:szCs w:val="32"/>
          <w:lang w:val="en-US" w:eastAsia="zh-CN" w:bidi="ar-SA"/>
        </w:rPr>
      </w:pPr>
      <w:bookmarkStart w:id="25" w:name="_Toc11198"/>
      <w:r>
        <w:rPr>
          <w:rFonts w:hint="eastAsia" w:ascii="楷体_GB2312" w:hAnsi="楷体_GB2312" w:eastAsia="楷体_GB2312" w:cs="楷体_GB2312"/>
          <w:b w:val="0"/>
          <w:bCs w:val="0"/>
          <w:color w:val="auto"/>
          <w:kern w:val="2"/>
          <w:sz w:val="32"/>
          <w:szCs w:val="32"/>
          <w:lang w:val="en-US" w:eastAsia="zh-CN" w:bidi="ar-SA"/>
        </w:rPr>
        <w:t>（一）决策情况</w:t>
      </w:r>
      <w:bookmarkEnd w:id="25"/>
    </w:p>
    <w:p>
      <w:pPr>
        <w:pStyle w:val="8"/>
        <w:pageBreakBefore w:val="0"/>
        <w:widowControl w:val="0"/>
        <w:kinsoku/>
        <w:wordWrap/>
        <w:overflowPunct/>
        <w:autoSpaceDE/>
        <w:autoSpaceDN/>
        <w:bidi w:val="0"/>
        <w:spacing w:line="580" w:lineRule="exac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color w:val="auto"/>
          <w:sz w:val="32"/>
          <w:szCs w:val="32"/>
          <w:lang w:val="en-US" w:eastAsia="zh-CN"/>
        </w:rPr>
        <w:t>决策方面从项目立项、绩效目标、资金投入3个方面进行考察。决策</w:t>
      </w:r>
      <w:r>
        <w:rPr>
          <w:rFonts w:hint="eastAsia" w:ascii="仿宋_GB2312" w:hAnsi="仿宋_GB2312" w:eastAsia="仿宋_GB2312" w:cs="仿宋_GB2312"/>
          <w:sz w:val="32"/>
          <w:szCs w:val="32"/>
          <w:lang w:val="en-US" w:eastAsia="zh-CN"/>
        </w:rPr>
        <w:t>指标分值共计10分，实际得分8分，得分率为80%。</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kern w:val="2"/>
          <w:sz w:val="32"/>
          <w:szCs w:val="32"/>
          <w:highlight w:val="none"/>
          <w:lang w:val="en-US" w:eastAsia="zh-CN" w:bidi="ar-SA"/>
        </w:rPr>
        <w:t>决策方面：项目采购需求充分、程序规范、政府采购内容与部门职责匹配；项目绩效目标与实际需求基本相符，指标值设置未量化；政府采购控制价预算编制科学、中小企业份额的政策有效落实。</w:t>
      </w:r>
    </w:p>
    <w:p>
      <w:pPr>
        <w:pStyle w:val="5"/>
        <w:pageBreakBefore w:val="0"/>
        <w:widowControl w:val="0"/>
        <w:numPr>
          <w:ilvl w:val="1"/>
          <w:numId w:val="0"/>
        </w:numPr>
        <w:kinsoku/>
        <w:wordWrap/>
        <w:overflowPunct/>
        <w:autoSpaceDE/>
        <w:autoSpaceDN/>
        <w:bidi w:val="0"/>
        <w:spacing w:before="0" w:after="0" w:line="580" w:lineRule="exact"/>
        <w:ind w:firstLine="640" w:firstLineChars="200"/>
        <w:textAlignment w:val="auto"/>
        <w:rPr>
          <w:rFonts w:hint="eastAsia" w:ascii="楷体_GB2312" w:hAnsi="楷体_GB2312" w:eastAsia="楷体_GB2312" w:cs="楷体_GB2312"/>
          <w:b w:val="0"/>
          <w:bCs w:val="0"/>
          <w:color w:val="auto"/>
          <w:kern w:val="2"/>
          <w:sz w:val="32"/>
          <w:szCs w:val="32"/>
          <w:lang w:val="en-US" w:eastAsia="zh-CN" w:bidi="ar-SA"/>
        </w:rPr>
      </w:pPr>
      <w:bookmarkStart w:id="26" w:name="_Toc12652"/>
      <w:r>
        <w:rPr>
          <w:rFonts w:hint="eastAsia" w:ascii="楷体_GB2312" w:hAnsi="楷体_GB2312" w:eastAsia="楷体_GB2312" w:cs="楷体_GB2312"/>
          <w:b w:val="0"/>
          <w:bCs w:val="0"/>
          <w:color w:val="auto"/>
          <w:kern w:val="2"/>
          <w:sz w:val="32"/>
          <w:szCs w:val="32"/>
          <w:lang w:val="en-US" w:eastAsia="zh-CN" w:bidi="ar-SA"/>
        </w:rPr>
        <w:t>（二）过程情况</w:t>
      </w:r>
      <w:bookmarkEnd w:id="26"/>
    </w:p>
    <w:p>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color w:val="auto"/>
          <w:sz w:val="32"/>
          <w:szCs w:val="32"/>
          <w:lang w:val="en-US" w:eastAsia="zh-CN"/>
        </w:rPr>
        <w:t>过程情况从政府采购实施过程、项目管理等方面进行考察。过程</w:t>
      </w:r>
      <w:r>
        <w:rPr>
          <w:rFonts w:hint="eastAsia" w:ascii="仿宋_GB2312" w:hAnsi="仿宋_GB2312" w:eastAsia="仿宋_GB2312" w:cs="仿宋_GB2312"/>
          <w:sz w:val="32"/>
          <w:szCs w:val="32"/>
          <w:lang w:val="en-US" w:eastAsia="zh-CN"/>
        </w:rPr>
        <w:t>指标分值</w:t>
      </w:r>
      <w:r>
        <w:rPr>
          <w:rFonts w:hint="eastAsia" w:ascii="仿宋_GB2312" w:hAnsi="仿宋_GB2312" w:eastAsia="仿宋_GB2312" w:cs="仿宋_GB2312"/>
          <w:kern w:val="2"/>
          <w:sz w:val="32"/>
          <w:szCs w:val="32"/>
          <w:lang w:val="en-US" w:eastAsia="zh-CN" w:bidi="ar-SA"/>
        </w:rPr>
        <w:t>共计 60 分，实际得分 53 分，得分率为 88.33%。</w:t>
      </w:r>
    </w:p>
    <w:p>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过程方面：项目管理制度较完善，已制定的管理制度执行力度较好；政府采购内控制度建设完整；采购需求未经专家论证；采购活动组织合规；合同管理较规范；政府采购信息发布及时，但合同公示中的合同签订日期与实际签订日期不符。</w:t>
      </w:r>
    </w:p>
    <w:p>
      <w:pPr>
        <w:pStyle w:val="5"/>
        <w:pageBreakBefore w:val="0"/>
        <w:widowControl w:val="0"/>
        <w:numPr>
          <w:ilvl w:val="1"/>
          <w:numId w:val="0"/>
        </w:numPr>
        <w:kinsoku/>
        <w:wordWrap/>
        <w:overflowPunct/>
        <w:autoSpaceDE/>
        <w:autoSpaceDN/>
        <w:bidi w:val="0"/>
        <w:spacing w:before="0" w:after="0" w:line="580" w:lineRule="exact"/>
        <w:ind w:firstLine="640" w:firstLineChars="200"/>
        <w:textAlignment w:val="auto"/>
        <w:rPr>
          <w:rFonts w:hint="eastAsia" w:ascii="楷体_GB2312" w:hAnsi="楷体_GB2312" w:eastAsia="楷体_GB2312" w:cs="楷体_GB2312"/>
          <w:b w:val="0"/>
          <w:bCs w:val="0"/>
          <w:color w:val="auto"/>
          <w:kern w:val="2"/>
          <w:sz w:val="32"/>
          <w:szCs w:val="32"/>
          <w:lang w:val="en-US" w:eastAsia="zh-CN" w:bidi="ar-SA"/>
        </w:rPr>
      </w:pPr>
      <w:bookmarkStart w:id="27" w:name="_Toc31260"/>
      <w:r>
        <w:rPr>
          <w:rFonts w:hint="eastAsia" w:ascii="楷体_GB2312" w:hAnsi="楷体_GB2312" w:eastAsia="楷体_GB2312" w:cs="楷体_GB2312"/>
          <w:b w:val="0"/>
          <w:bCs w:val="0"/>
          <w:color w:val="auto"/>
          <w:kern w:val="2"/>
          <w:sz w:val="32"/>
          <w:szCs w:val="32"/>
          <w:lang w:val="en-US" w:eastAsia="zh-CN" w:bidi="ar-SA"/>
        </w:rPr>
        <w:t>（三）产出情况</w:t>
      </w:r>
      <w:bookmarkEnd w:id="27"/>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color w:val="auto"/>
          <w:sz w:val="32"/>
          <w:szCs w:val="32"/>
          <w:lang w:val="en-US" w:eastAsia="zh-CN"/>
        </w:rPr>
        <w:t>产出情况从产出数量、产出质量、产出时效、产出成本四个方面进行考察。</w:t>
      </w:r>
      <w:r>
        <w:rPr>
          <w:rFonts w:hint="eastAsia" w:ascii="仿宋_GB2312" w:hAnsi="仿宋_GB2312" w:eastAsia="仿宋_GB2312" w:cs="仿宋_GB2312"/>
          <w:kern w:val="2"/>
          <w:sz w:val="32"/>
          <w:szCs w:val="32"/>
          <w:lang w:val="en-US" w:eastAsia="zh-CN" w:bidi="ar-SA"/>
        </w:rPr>
        <w:t>设置指标分值共计 20 分，实际得分 15.8 分，得分率为 79%。</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b w:val="0"/>
          <w:bCs/>
          <w:kern w:val="2"/>
          <w:sz w:val="32"/>
          <w:szCs w:val="32"/>
          <w:lang w:val="en-US" w:eastAsia="zh-CN" w:bidi="zh-CN"/>
        </w:rPr>
      </w:pPr>
      <w:r>
        <w:rPr>
          <w:rFonts w:hint="eastAsia" w:ascii="仿宋_GB2312" w:hAnsi="仿宋_GB2312" w:eastAsia="仿宋_GB2312" w:cs="仿宋_GB2312"/>
          <w:kern w:val="2"/>
          <w:sz w:val="32"/>
          <w:szCs w:val="32"/>
          <w:highlight w:val="none"/>
          <w:lang w:val="en-US" w:eastAsia="zh-CN" w:bidi="ar-SA"/>
        </w:rPr>
        <w:t>产出方面：环保编码喷绘完成率76.85%，环保编码喷绘准确无误，但存在喷码人员现场信息审核流程不规范的情况；线上信息审核时长超出规定时限；通过与枣庄市、威海市同类政府采购资金进行对比，菏泽市非道路机械环保编码登记项目政府采购控制金额成本节约明显。</w:t>
      </w:r>
    </w:p>
    <w:p>
      <w:pPr>
        <w:pStyle w:val="5"/>
        <w:pageBreakBefore w:val="0"/>
        <w:widowControl w:val="0"/>
        <w:numPr>
          <w:ilvl w:val="1"/>
          <w:numId w:val="0"/>
        </w:numPr>
        <w:kinsoku/>
        <w:wordWrap/>
        <w:overflowPunct/>
        <w:autoSpaceDE/>
        <w:autoSpaceDN/>
        <w:bidi w:val="0"/>
        <w:spacing w:before="0" w:after="0" w:line="580" w:lineRule="exact"/>
        <w:ind w:firstLine="640" w:firstLineChars="200"/>
        <w:textAlignment w:val="auto"/>
        <w:rPr>
          <w:rFonts w:hint="eastAsia" w:ascii="楷体_GB2312" w:hAnsi="楷体_GB2312" w:eastAsia="楷体_GB2312" w:cs="楷体_GB2312"/>
          <w:b w:val="0"/>
          <w:bCs w:val="0"/>
          <w:color w:val="auto"/>
          <w:kern w:val="2"/>
          <w:sz w:val="32"/>
          <w:szCs w:val="32"/>
          <w:lang w:val="en-US" w:eastAsia="zh-CN" w:bidi="ar-SA"/>
        </w:rPr>
      </w:pPr>
      <w:bookmarkStart w:id="28" w:name="_Toc2004"/>
      <w:r>
        <w:rPr>
          <w:rFonts w:hint="eastAsia" w:ascii="楷体_GB2312" w:hAnsi="楷体_GB2312" w:eastAsia="楷体_GB2312" w:cs="楷体_GB2312"/>
          <w:b w:val="0"/>
          <w:bCs w:val="0"/>
          <w:color w:val="auto"/>
          <w:kern w:val="2"/>
          <w:sz w:val="32"/>
          <w:szCs w:val="32"/>
          <w:lang w:val="en-US" w:eastAsia="zh-CN" w:bidi="ar-SA"/>
        </w:rPr>
        <w:t>（四）效益情况</w:t>
      </w:r>
      <w:bookmarkEnd w:id="28"/>
    </w:p>
    <w:p>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color w:val="auto"/>
          <w:sz w:val="32"/>
          <w:szCs w:val="32"/>
          <w:lang w:val="en-US" w:eastAsia="zh-CN"/>
        </w:rPr>
        <w:t>效益情况从可持续性、满意度二个方面进行考察。</w:t>
      </w:r>
      <w:r>
        <w:rPr>
          <w:rFonts w:hint="eastAsia" w:ascii="仿宋_GB2312" w:hAnsi="仿宋_GB2312" w:eastAsia="仿宋_GB2312" w:cs="仿宋_GB2312"/>
          <w:kern w:val="2"/>
          <w:sz w:val="32"/>
          <w:szCs w:val="32"/>
          <w:lang w:val="en-US" w:eastAsia="zh-CN" w:bidi="ar-SA"/>
        </w:rPr>
        <w:t>效益类设置指标分值共计 10 分，实际得分 8 分，得分率为 80%</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效益方面：经资料分析及现场座谈，非道路移动机械环保编码登记项目有效推动了定位系统安装的工作进程，加快了非道路移动机械综合监督管理能力的提升，但部门未制定环保编码后续维护管理制度；通过问卷调查显示，服务对象及采购人对项目整体的实施情况较满意。</w:t>
      </w:r>
    </w:p>
    <w:p>
      <w:pPr>
        <w:pStyle w:val="4"/>
        <w:keepNext w:val="0"/>
        <w:keepLines w:val="0"/>
        <w:pageBreakBefore w:val="0"/>
        <w:widowControl w:val="0"/>
        <w:numPr>
          <w:ilvl w:val="0"/>
          <w:numId w:val="0"/>
        </w:numPr>
        <w:kinsoku/>
        <w:wordWrap/>
        <w:overflowPunct/>
        <w:topLinePunct w:val="0"/>
        <w:autoSpaceDE/>
        <w:autoSpaceDN/>
        <w:bidi w:val="0"/>
        <w:adjustRightInd/>
        <w:snapToGrid/>
        <w:spacing w:before="0" w:after="0" w:line="700" w:lineRule="exact"/>
        <w:ind w:left="0" w:leftChars="0" w:firstLine="640" w:firstLineChars="200"/>
        <w:textAlignment w:val="auto"/>
        <w:rPr>
          <w:rFonts w:hint="eastAsia"/>
          <w:color w:val="auto"/>
          <w:lang w:val="en-US" w:eastAsia="zh-CN"/>
        </w:rPr>
      </w:pPr>
      <w:bookmarkStart w:id="29" w:name="_Toc2182"/>
      <w:r>
        <w:rPr>
          <w:rFonts w:hint="eastAsia"/>
          <w:color w:val="auto"/>
          <w:lang w:eastAsia="zh-CN"/>
        </w:rPr>
        <w:t>六、成效和主要经验做法</w:t>
      </w:r>
      <w:bookmarkEnd w:id="29"/>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highlight w:val="none"/>
          <w:lang w:val="en-US" w:eastAsia="zh-CN" w:bidi="ar-SA"/>
        </w:rPr>
      </w:pPr>
      <w:bookmarkStart w:id="30" w:name="_Toc2080"/>
      <w:bookmarkStart w:id="31" w:name="_Toc9409"/>
      <w:r>
        <w:rPr>
          <w:rFonts w:hint="eastAsia" w:ascii="仿宋_GB2312" w:hAnsi="仿宋_GB2312" w:eastAsia="仿宋_GB2312" w:cs="仿宋_GB2312"/>
          <w:kern w:val="2"/>
          <w:sz w:val="32"/>
          <w:szCs w:val="32"/>
          <w:highlight w:val="none"/>
          <w:lang w:val="en-US" w:eastAsia="zh-CN" w:bidi="ar-SA"/>
        </w:rPr>
        <w:t>项目执行力度较强</w:t>
      </w:r>
      <w:bookmarkEnd w:id="30"/>
      <w:bookmarkEnd w:id="31"/>
      <w:r>
        <w:rPr>
          <w:rFonts w:hint="eastAsia" w:ascii="仿宋_GB2312" w:hAnsi="仿宋_GB2312" w:eastAsia="仿宋_GB2312" w:cs="仿宋_GB2312"/>
          <w:kern w:val="2"/>
          <w:sz w:val="32"/>
          <w:szCs w:val="32"/>
          <w:highlight w:val="none"/>
          <w:lang w:val="en-US" w:eastAsia="zh-CN" w:bidi="ar-SA"/>
        </w:rPr>
        <w:t>。菏泽市非道路移动机械环保编码登记项目为后续安装定位系统做铺垫，进一步强化非道路移动机械综合监督管理，减少非道路移动机械排放污染。从2021年12月31日合同签订之起，到评价日2022年8月30日，菏泽市非道路移动机械环保编码已生成11890个，已喷绘9138个，环保编码喷绘完成率达76.85%，为菏泽市非道路移动机械获得了环保“身份证”。</w:t>
      </w:r>
    </w:p>
    <w:p>
      <w:pPr>
        <w:pStyle w:val="4"/>
        <w:keepNext w:val="0"/>
        <w:keepLines w:val="0"/>
        <w:pageBreakBefore w:val="0"/>
        <w:widowControl w:val="0"/>
        <w:numPr>
          <w:ilvl w:val="0"/>
          <w:numId w:val="0"/>
        </w:numPr>
        <w:kinsoku/>
        <w:wordWrap/>
        <w:overflowPunct/>
        <w:topLinePunct w:val="0"/>
        <w:autoSpaceDE/>
        <w:autoSpaceDN/>
        <w:bidi w:val="0"/>
        <w:adjustRightInd/>
        <w:snapToGrid/>
        <w:spacing w:before="0" w:after="0" w:line="700" w:lineRule="exact"/>
        <w:ind w:left="0" w:leftChars="0" w:firstLine="640" w:firstLineChars="200"/>
        <w:textAlignment w:val="auto"/>
        <w:rPr>
          <w:color w:val="auto"/>
        </w:rPr>
      </w:pPr>
      <w:bookmarkStart w:id="32" w:name="_Toc9547"/>
      <w:r>
        <w:rPr>
          <w:rFonts w:hint="eastAsia"/>
          <w:color w:val="auto"/>
          <w:lang w:eastAsia="zh-CN"/>
        </w:rPr>
        <w:t>七、</w:t>
      </w:r>
      <w:r>
        <w:rPr>
          <w:color w:val="auto"/>
        </w:rPr>
        <w:t>存在的问题及原因分析</w:t>
      </w:r>
      <w:bookmarkEnd w:id="32"/>
    </w:p>
    <w:p>
      <w:pPr>
        <w:keepNext w:val="0"/>
        <w:keepLines w:val="0"/>
        <w:pageBreakBefore w:val="0"/>
        <w:widowControl w:val="0"/>
        <w:kinsoku/>
        <w:wordWrap/>
        <w:overflowPunct/>
        <w:topLinePunct w:val="0"/>
        <w:autoSpaceDE/>
        <w:autoSpaceDN/>
        <w:bidi w:val="0"/>
        <w:adjustRightInd/>
        <w:snapToGrid/>
        <w:spacing w:line="70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（一）项目采购需求未进行论证</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存在问题：《政府采购需求管理办法》第十一条“涉及公共利益、社会关注度较高的采购项目，包括政府向社会公众提供的公共服务项目等，应当展需求调查”。通过现场调研，本项目在政府采购前未对采购需求组织论证。</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原因分析：该项目为延续性项目，代理机构以服务项目未超采购限额200万元的原因，未组织需求论证。</w:t>
      </w:r>
    </w:p>
    <w:p>
      <w:pPr>
        <w:keepNext w:val="0"/>
        <w:keepLines w:val="0"/>
        <w:pageBreakBefore w:val="0"/>
        <w:widowControl w:val="0"/>
        <w:kinsoku/>
        <w:wordWrap/>
        <w:overflowPunct/>
        <w:topLinePunct w:val="0"/>
        <w:autoSpaceDE/>
        <w:autoSpaceDN/>
        <w:bidi w:val="0"/>
        <w:adjustRightInd/>
        <w:snapToGrid/>
        <w:spacing w:line="70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（二）线上信息审核存在信息不一致、外省车辆不予喷码等不合规情况</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存在问题：通过“山东省机动车环保达标及非道路移动机械监管系统”发现，部分分局在系统审核过程中存在审核不规范等情况，具体见下表7-1。</w:t>
      </w:r>
    </w:p>
    <w:p>
      <w:pPr>
        <w:bidi w:val="0"/>
        <w:jc w:val="center"/>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t>表7-1  审核情况表</w:t>
      </w:r>
    </w:p>
    <w:tbl>
      <w:tblPr>
        <w:tblStyle w:val="26"/>
        <w:tblW w:w="85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7"/>
        <w:gridCol w:w="1050"/>
        <w:gridCol w:w="2445"/>
        <w:gridCol w:w="40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tblHeader/>
          <w:jc w:val="center"/>
        </w:trPr>
        <w:tc>
          <w:tcPr>
            <w:tcW w:w="997"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center"/>
              <w:textAlignment w:val="auto"/>
              <w:rPr>
                <w:rFonts w:hint="eastAsia" w:ascii="黑体" w:hAnsi="黑体" w:eastAsia="黑体" w:cs="黑体"/>
                <w:b w:val="0"/>
                <w:bCs/>
                <w:kern w:val="2"/>
                <w:sz w:val="18"/>
                <w:szCs w:val="18"/>
                <w:vertAlign w:val="baseline"/>
                <w:lang w:val="en-US" w:eastAsia="zh-CN" w:bidi="zh-CN"/>
              </w:rPr>
            </w:pPr>
            <w:r>
              <w:rPr>
                <w:rFonts w:hint="eastAsia" w:ascii="黑体" w:hAnsi="黑体" w:eastAsia="黑体" w:cs="黑体"/>
                <w:b w:val="0"/>
                <w:bCs/>
                <w:kern w:val="2"/>
                <w:sz w:val="18"/>
                <w:szCs w:val="18"/>
                <w:vertAlign w:val="baseline"/>
                <w:lang w:val="en-US" w:eastAsia="zh-CN" w:bidi="zh-CN"/>
              </w:rPr>
              <w:t>备案号</w:t>
            </w:r>
          </w:p>
        </w:tc>
        <w:tc>
          <w:tcPr>
            <w:tcW w:w="1050"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center"/>
              <w:textAlignment w:val="auto"/>
              <w:rPr>
                <w:rFonts w:hint="eastAsia" w:ascii="黑体" w:hAnsi="黑体" w:eastAsia="黑体" w:cs="黑体"/>
                <w:b w:val="0"/>
                <w:bCs/>
                <w:kern w:val="2"/>
                <w:sz w:val="18"/>
                <w:szCs w:val="18"/>
                <w:vertAlign w:val="baseline"/>
                <w:lang w:val="en-US" w:eastAsia="zh-CN" w:bidi="zh-CN"/>
              </w:rPr>
            </w:pPr>
            <w:r>
              <w:rPr>
                <w:rFonts w:hint="eastAsia" w:ascii="黑体" w:hAnsi="黑体" w:eastAsia="黑体" w:cs="黑体"/>
                <w:b w:val="0"/>
                <w:bCs/>
                <w:kern w:val="2"/>
                <w:sz w:val="18"/>
                <w:szCs w:val="18"/>
                <w:vertAlign w:val="baseline"/>
                <w:lang w:val="en-US" w:eastAsia="zh-CN" w:bidi="zh-CN"/>
              </w:rPr>
              <w:t>审批人</w:t>
            </w:r>
          </w:p>
        </w:tc>
        <w:tc>
          <w:tcPr>
            <w:tcW w:w="2445"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center"/>
              <w:textAlignment w:val="auto"/>
              <w:rPr>
                <w:rFonts w:hint="eastAsia" w:ascii="黑体" w:hAnsi="黑体" w:eastAsia="黑体" w:cs="黑体"/>
                <w:b w:val="0"/>
                <w:bCs/>
                <w:kern w:val="2"/>
                <w:sz w:val="18"/>
                <w:szCs w:val="18"/>
                <w:vertAlign w:val="baseline"/>
                <w:lang w:val="en-US" w:eastAsia="zh-CN" w:bidi="zh-CN"/>
              </w:rPr>
            </w:pPr>
            <w:r>
              <w:rPr>
                <w:rFonts w:hint="eastAsia" w:ascii="黑体" w:hAnsi="黑体" w:eastAsia="黑体" w:cs="黑体"/>
                <w:b w:val="0"/>
                <w:bCs/>
                <w:kern w:val="2"/>
                <w:sz w:val="18"/>
                <w:szCs w:val="18"/>
                <w:vertAlign w:val="baseline"/>
                <w:lang w:val="en-US" w:eastAsia="zh-CN" w:bidi="zh-CN"/>
              </w:rPr>
              <w:t>存在问题</w:t>
            </w:r>
          </w:p>
        </w:tc>
        <w:tc>
          <w:tcPr>
            <w:tcW w:w="4041"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center"/>
              <w:textAlignment w:val="auto"/>
              <w:rPr>
                <w:rFonts w:hint="eastAsia" w:ascii="黑体" w:hAnsi="黑体" w:eastAsia="黑体" w:cs="黑体"/>
                <w:b w:val="0"/>
                <w:bCs/>
                <w:kern w:val="2"/>
                <w:sz w:val="18"/>
                <w:szCs w:val="18"/>
                <w:vertAlign w:val="baseline"/>
                <w:lang w:val="en-US" w:eastAsia="zh-CN" w:bidi="zh-CN"/>
              </w:rPr>
            </w:pPr>
            <w:r>
              <w:rPr>
                <w:rFonts w:hint="eastAsia" w:ascii="黑体" w:hAnsi="黑体" w:eastAsia="黑体" w:cs="黑体"/>
                <w:b w:val="0"/>
                <w:bCs/>
                <w:kern w:val="2"/>
                <w:sz w:val="18"/>
                <w:szCs w:val="18"/>
                <w:vertAlign w:val="baseline"/>
                <w:lang w:val="en-US" w:eastAsia="zh-CN" w:bidi="zh-CN"/>
              </w:rPr>
              <w:t>作证材料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1" w:hRule="atLeast"/>
          <w:tblHeader/>
          <w:jc w:val="center"/>
        </w:trPr>
        <w:tc>
          <w:tcPr>
            <w:tcW w:w="997"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0639734</w:t>
            </w:r>
          </w:p>
        </w:tc>
        <w:tc>
          <w:tcPr>
            <w:tcW w:w="1050"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东明县生态环境局大气科</w:t>
            </w:r>
          </w:p>
        </w:tc>
        <w:tc>
          <w:tcPr>
            <w:tcW w:w="2445"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在2022年7月18日16:53分现场审核中，“是否通过”显示“未通过”，“审批意见”为“同意”，前后意见不一致。</w:t>
            </w:r>
          </w:p>
        </w:tc>
        <w:tc>
          <w:tcPr>
            <w:tcW w:w="4041"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drawing>
                <wp:anchor distT="0" distB="0" distL="114300" distR="114300" simplePos="0" relativeHeight="251661312" behindDoc="0" locked="0" layoutInCell="1" allowOverlap="1">
                  <wp:simplePos x="0" y="0"/>
                  <wp:positionH relativeFrom="column">
                    <wp:posOffset>38100</wp:posOffset>
                  </wp:positionH>
                  <wp:positionV relativeFrom="paragraph">
                    <wp:posOffset>47625</wp:posOffset>
                  </wp:positionV>
                  <wp:extent cx="2268855" cy="1088390"/>
                  <wp:effectExtent l="0" t="0" r="17145" b="16510"/>
                  <wp:wrapNone/>
                  <wp:docPr id="12" name="图片 12" descr="b150dd97c7a03737adfb440eabeb2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b150dd97c7a03737adfb440eabeb27b"/>
                          <pic:cNvPicPr>
                            <a:picLocks noChangeAspect="1"/>
                          </pic:cNvPicPr>
                        </pic:nvPicPr>
                        <pic:blipFill>
                          <a:blip r:embed="rId13"/>
                          <a:srcRect l="59402" t="26739" b="47307"/>
                          <a:stretch>
                            <a:fillRect/>
                          </a:stretch>
                        </pic:blipFill>
                        <pic:spPr>
                          <a:xfrm>
                            <a:off x="0" y="0"/>
                            <a:ext cx="2268855" cy="1088390"/>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1" w:hRule="atLeast"/>
          <w:tblHeader/>
          <w:jc w:val="center"/>
        </w:trPr>
        <w:tc>
          <w:tcPr>
            <w:tcW w:w="997"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0626088</w:t>
            </w:r>
          </w:p>
        </w:tc>
        <w:tc>
          <w:tcPr>
            <w:tcW w:w="1050"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郓城县非道路移动机械管理办公室</w:t>
            </w:r>
          </w:p>
        </w:tc>
        <w:tc>
          <w:tcPr>
            <w:tcW w:w="2445"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在2022年8月17日11:24分现场审核中，“是否通过”显示“未通过”，“审批意见”为“车辆已喷码”。</w:t>
            </w:r>
          </w:p>
        </w:tc>
        <w:tc>
          <w:tcPr>
            <w:tcW w:w="4041"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drawing>
                <wp:anchor distT="0" distB="0" distL="114300" distR="114300" simplePos="0" relativeHeight="251662336" behindDoc="0" locked="0" layoutInCell="1" allowOverlap="1">
                  <wp:simplePos x="0" y="0"/>
                  <wp:positionH relativeFrom="column">
                    <wp:posOffset>0</wp:posOffset>
                  </wp:positionH>
                  <wp:positionV relativeFrom="paragraph">
                    <wp:posOffset>28575</wp:posOffset>
                  </wp:positionV>
                  <wp:extent cx="2468245" cy="949960"/>
                  <wp:effectExtent l="0" t="0" r="8255" b="2540"/>
                  <wp:wrapNone/>
                  <wp:docPr id="23" name="图片 23" descr="39f4653416abaace15a9ea9900ea7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39f4653416abaace15a9ea9900ea7d4"/>
                          <pic:cNvPicPr>
                            <a:picLocks noChangeAspect="1"/>
                          </pic:cNvPicPr>
                        </pic:nvPicPr>
                        <pic:blipFill>
                          <a:blip r:embed="rId14"/>
                          <a:srcRect l="58615" t="32506" b="46267"/>
                          <a:stretch>
                            <a:fillRect/>
                          </a:stretch>
                        </pic:blipFill>
                        <pic:spPr>
                          <a:xfrm>
                            <a:off x="0" y="0"/>
                            <a:ext cx="2468245" cy="949960"/>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1" w:hRule="atLeast"/>
          <w:tblHeader/>
          <w:jc w:val="center"/>
        </w:trPr>
        <w:tc>
          <w:tcPr>
            <w:tcW w:w="997"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0634959</w:t>
            </w:r>
          </w:p>
        </w:tc>
        <w:tc>
          <w:tcPr>
            <w:tcW w:w="1050"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牡丹区生态环境局大气科</w:t>
            </w:r>
          </w:p>
        </w:tc>
        <w:tc>
          <w:tcPr>
            <w:tcW w:w="2445"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在2022年7月11日11:10分初步审核中，“是否通过”显示“未通过”，“审批意见”为“同意”，前后意见不一致。</w:t>
            </w:r>
          </w:p>
        </w:tc>
        <w:tc>
          <w:tcPr>
            <w:tcW w:w="4041"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drawing>
                <wp:anchor distT="0" distB="0" distL="114300" distR="114300" simplePos="0" relativeHeight="251663360" behindDoc="0" locked="0" layoutInCell="1" allowOverlap="1">
                  <wp:simplePos x="0" y="0"/>
                  <wp:positionH relativeFrom="column">
                    <wp:posOffset>28575</wp:posOffset>
                  </wp:positionH>
                  <wp:positionV relativeFrom="paragraph">
                    <wp:posOffset>38100</wp:posOffset>
                  </wp:positionV>
                  <wp:extent cx="2395855" cy="1023620"/>
                  <wp:effectExtent l="0" t="0" r="4445" b="5080"/>
                  <wp:wrapNone/>
                  <wp:docPr id="24" name="图片 24" descr="0aab7158d301b5531b4b636b487e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0aab7158d301b5531b4b636b487ec15"/>
                          <pic:cNvPicPr>
                            <a:picLocks noChangeAspect="1"/>
                          </pic:cNvPicPr>
                        </pic:nvPicPr>
                        <pic:blipFill>
                          <a:blip r:embed="rId15"/>
                          <a:srcRect l="58087" t="31458" r="12982" b="52073"/>
                          <a:stretch>
                            <a:fillRect/>
                          </a:stretch>
                        </pic:blipFill>
                        <pic:spPr>
                          <a:xfrm>
                            <a:off x="0" y="0"/>
                            <a:ext cx="2395855" cy="1023620"/>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1" w:hRule="atLeast"/>
          <w:tblHeader/>
          <w:jc w:val="center"/>
        </w:trPr>
        <w:tc>
          <w:tcPr>
            <w:tcW w:w="997"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0384637</w:t>
            </w:r>
          </w:p>
        </w:tc>
        <w:tc>
          <w:tcPr>
            <w:tcW w:w="1050"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菏泽经济开发区生态环境局监察支队</w:t>
            </w:r>
          </w:p>
        </w:tc>
        <w:tc>
          <w:tcPr>
            <w:tcW w:w="2445"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在2021年4月27日17:03分初步审核中，“是否通过”显示“未通过”，“审批意见”为“不同意，外地车辆请在外地登记”，此意见不符合《山东省非道路移动机械摸底调查和编码登记工作方案》（鲁环函〔2019〕204号“调查对象可包含在山东省使用的外省无环保号码的非道路移动机械”的要求。</w:t>
            </w:r>
          </w:p>
        </w:tc>
        <w:tc>
          <w:tcPr>
            <w:tcW w:w="4041" w:type="dxa"/>
            <w:vAlign w:val="center"/>
          </w:tcPr>
          <w:p>
            <w:pPr>
              <w:pStyle w:val="24"/>
              <w:keepNext w:val="0"/>
              <w:keepLines w:val="0"/>
              <w:pageBreakBefore w:val="0"/>
              <w:widowControl w:val="0"/>
              <w:kinsoku/>
              <w:wordWrap/>
              <w:overflowPunct/>
              <w:topLinePunct w:val="0"/>
              <w:autoSpaceDE/>
              <w:autoSpaceDN/>
              <w:bidi w:val="0"/>
              <w:adjustRightInd/>
              <w:snapToGrid/>
              <w:spacing w:after="0" w:afterLines="0" w:line="300" w:lineRule="exact"/>
              <w:ind w:left="0" w:leftChars="0" w:firstLine="0" w:firstLineChars="0"/>
              <w:jc w:val="both"/>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drawing>
                <wp:anchor distT="0" distB="0" distL="114300" distR="114300" simplePos="0" relativeHeight="251664384" behindDoc="0" locked="0" layoutInCell="1" allowOverlap="1">
                  <wp:simplePos x="0" y="0"/>
                  <wp:positionH relativeFrom="column">
                    <wp:posOffset>38100</wp:posOffset>
                  </wp:positionH>
                  <wp:positionV relativeFrom="paragraph">
                    <wp:posOffset>485775</wp:posOffset>
                  </wp:positionV>
                  <wp:extent cx="2218690" cy="1340485"/>
                  <wp:effectExtent l="0" t="0" r="10160" b="12065"/>
                  <wp:wrapNone/>
                  <wp:docPr id="25" name="图片 25" descr="f7544a0687df83f1019b4d2b4977b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f7544a0687df83f1019b4d2b4977b56"/>
                          <pic:cNvPicPr>
                            <a:picLocks noChangeAspect="1"/>
                          </pic:cNvPicPr>
                        </pic:nvPicPr>
                        <pic:blipFill>
                          <a:blip r:embed="rId16"/>
                          <a:srcRect l="55292" t="31458" r="4018" b="49282"/>
                          <a:stretch>
                            <a:fillRect/>
                          </a:stretch>
                        </pic:blipFill>
                        <pic:spPr>
                          <a:xfrm>
                            <a:off x="0" y="0"/>
                            <a:ext cx="2218690" cy="1340485"/>
                          </a:xfrm>
                          <a:prstGeom prst="rect">
                            <a:avLst/>
                          </a:prstGeom>
                        </pic:spPr>
                      </pic:pic>
                    </a:graphicData>
                  </a:graphic>
                </wp:anchor>
              </w:drawing>
            </w:r>
          </w:p>
        </w:tc>
      </w:tr>
    </w:tbl>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原因分析：部分群众上传信息时存在重复上传，审核部门线上审核时对重复上传者未及时通知取消，只注明了已喷码。由于省外非道路移动机械在菏工作时间过短，所以外省车辆未喷码。</w:t>
      </w:r>
    </w:p>
    <w:p>
      <w:pPr>
        <w:keepNext w:val="0"/>
        <w:keepLines w:val="0"/>
        <w:pageBreakBefore w:val="0"/>
        <w:widowControl w:val="0"/>
        <w:kinsoku/>
        <w:wordWrap/>
        <w:overflowPunct/>
        <w:topLinePunct w:val="0"/>
        <w:autoSpaceDE/>
        <w:autoSpaceDN/>
        <w:bidi w:val="0"/>
        <w:adjustRightInd/>
        <w:snapToGrid/>
        <w:spacing w:line="70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（三）合同公开时限超出规定，公开的合同签订时间与实际不符</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存在问题：根据《山东省政府采购信息发布管理办法》（鲁财采〔2020〕35号）第二十一条“采购人应当自政府采购合同签订之日起2个工作日内发布政府采购合同”。合同实际签订日期为2021年12月31日，公开时间为2022年1月8日，超出规定公开期限。</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通过查看合同公示，发现公示中合同签订日期为2022年1月8日，合同实际签订日期为2021年12月31日，合同公示信息发布不够准确。</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原因分析：代理机构发布信息不够准确，日期有所延迟。</w:t>
      </w:r>
    </w:p>
    <w:p>
      <w:pPr>
        <w:keepNext w:val="0"/>
        <w:keepLines w:val="0"/>
        <w:pageBreakBefore w:val="0"/>
        <w:widowControl w:val="0"/>
        <w:kinsoku/>
        <w:wordWrap/>
        <w:overflowPunct/>
        <w:topLinePunct w:val="0"/>
        <w:autoSpaceDE/>
        <w:autoSpaceDN/>
        <w:bidi w:val="0"/>
        <w:adjustRightInd/>
        <w:snapToGrid/>
        <w:spacing w:line="70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（四）在现场信息审核时，喷码人员未对机械内部信息进行现场核对</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存在问题：在菏泽市成武县晟裕未来城喷码现场，在现场信息审核时，喷码人员仅对上传信息进行了机械外在的信息核实，如：机械出厂年月、机械制造企业等，未对发动机型号、发动机出厂年月等机械内部信息进行现场核对，不符合投标文件“根据非道路移动机械所有人或使用方填报信息，对照机械铭牌、所有人身份证资料逐项核实”的技术要求。</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原因分析：由于喷码人员业务技能不够熟练，所以未对机械内部信息进行核对。</w:t>
      </w:r>
    </w:p>
    <w:p>
      <w:pPr>
        <w:keepNext w:val="0"/>
        <w:keepLines w:val="0"/>
        <w:pageBreakBefore w:val="0"/>
        <w:widowControl w:val="0"/>
        <w:kinsoku/>
        <w:wordWrap/>
        <w:overflowPunct/>
        <w:topLinePunct w:val="0"/>
        <w:autoSpaceDE/>
        <w:autoSpaceDN/>
        <w:bidi w:val="0"/>
        <w:adjustRightInd/>
        <w:snapToGrid/>
        <w:spacing w:line="70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（五）部分线上审核信息时长超出审核期限15日的规定</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存在问题：按照《山东省非道路移动机械排气污染防治规定》的要求：“生态环境部门应当自收到非道路移动机械所有人提供的登记信息之日起15日内完成信息核对，并发放登记号码”。通过“山东省机动车环保达标及非道路移动机械监管系统”随机发现，有37个线上审核信息时长不符合规定要求，部分信息审核情况见下表7-2：</w:t>
      </w:r>
    </w:p>
    <w:p>
      <w:pPr>
        <w:pStyle w:val="94"/>
        <w:jc w:val="center"/>
        <w:rPr>
          <w:rFonts w:hint="default" w:ascii="黑体" w:hAnsi="黑体" w:eastAsia="黑体" w:cs="黑体"/>
          <w:kern w:val="2"/>
          <w:sz w:val="24"/>
          <w:szCs w:val="24"/>
          <w:lang w:val="en-US" w:eastAsia="zh-CN" w:bidi="ar-SA"/>
        </w:rPr>
      </w:pPr>
      <w:r>
        <w:rPr>
          <w:rFonts w:hint="eastAsia" w:ascii="黑体" w:hAnsi="黑体" w:eastAsia="黑体" w:cs="黑体"/>
          <w:kern w:val="2"/>
          <w:sz w:val="24"/>
          <w:szCs w:val="24"/>
          <w:lang w:val="en-US" w:eastAsia="zh-CN" w:bidi="ar-SA"/>
        </w:rPr>
        <w:t>表7-2  线上信息审核状态表</w:t>
      </w:r>
    </w:p>
    <w:tbl>
      <w:tblPr>
        <w:tblStyle w:val="26"/>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4"/>
        <w:gridCol w:w="1776"/>
        <w:gridCol w:w="1259"/>
        <w:gridCol w:w="1712"/>
        <w:gridCol w:w="1155"/>
        <w:gridCol w:w="1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04"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黑体" w:hAnsi="黑体" w:eastAsia="黑体" w:cs="黑体"/>
                <w:b w:val="0"/>
                <w:bCs/>
                <w:kern w:val="2"/>
                <w:sz w:val="18"/>
                <w:szCs w:val="18"/>
                <w:vertAlign w:val="baseline"/>
                <w:lang w:val="en-US" w:eastAsia="zh-CN" w:bidi="zh-CN"/>
              </w:rPr>
            </w:pPr>
            <w:r>
              <w:rPr>
                <w:rFonts w:hint="eastAsia" w:ascii="黑体" w:hAnsi="黑体" w:eastAsia="黑体" w:cs="黑体"/>
                <w:b w:val="0"/>
                <w:bCs/>
                <w:kern w:val="2"/>
                <w:sz w:val="18"/>
                <w:szCs w:val="18"/>
                <w:vertAlign w:val="baseline"/>
                <w:lang w:val="en-US" w:eastAsia="zh-CN" w:bidi="zh-CN"/>
              </w:rPr>
              <w:t>序号</w:t>
            </w:r>
          </w:p>
        </w:tc>
        <w:tc>
          <w:tcPr>
            <w:tcW w:w="1776"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黑体" w:hAnsi="黑体" w:eastAsia="黑体" w:cs="黑体"/>
                <w:b w:val="0"/>
                <w:bCs/>
                <w:kern w:val="2"/>
                <w:sz w:val="18"/>
                <w:szCs w:val="18"/>
                <w:vertAlign w:val="baseline"/>
                <w:lang w:val="en-US" w:eastAsia="zh-CN" w:bidi="zh-CN"/>
              </w:rPr>
            </w:pPr>
            <w:r>
              <w:rPr>
                <w:rFonts w:hint="eastAsia" w:ascii="黑体" w:hAnsi="黑体" w:eastAsia="黑体" w:cs="黑体"/>
                <w:b w:val="0"/>
                <w:bCs/>
                <w:kern w:val="2"/>
                <w:sz w:val="18"/>
                <w:szCs w:val="18"/>
                <w:vertAlign w:val="baseline"/>
                <w:lang w:val="en-US" w:eastAsia="zh-CN" w:bidi="zh-CN"/>
              </w:rPr>
              <w:t>备案号</w:t>
            </w:r>
          </w:p>
        </w:tc>
        <w:tc>
          <w:tcPr>
            <w:tcW w:w="1259"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黑体" w:hAnsi="黑体" w:eastAsia="黑体" w:cs="黑体"/>
                <w:b w:val="0"/>
                <w:bCs/>
                <w:kern w:val="2"/>
                <w:sz w:val="18"/>
                <w:szCs w:val="18"/>
                <w:vertAlign w:val="baseline"/>
                <w:lang w:val="en-US" w:eastAsia="zh-CN" w:bidi="zh-CN"/>
              </w:rPr>
            </w:pPr>
            <w:r>
              <w:rPr>
                <w:rFonts w:hint="eastAsia" w:ascii="黑体" w:hAnsi="黑体" w:eastAsia="黑体" w:cs="黑体"/>
                <w:b w:val="0"/>
                <w:bCs/>
                <w:kern w:val="2"/>
                <w:sz w:val="18"/>
                <w:szCs w:val="18"/>
                <w:vertAlign w:val="baseline"/>
                <w:lang w:val="en-US" w:eastAsia="zh-CN" w:bidi="zh-CN"/>
              </w:rPr>
              <w:t>填报日期</w:t>
            </w:r>
          </w:p>
        </w:tc>
        <w:tc>
          <w:tcPr>
            <w:tcW w:w="1712"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黑体" w:hAnsi="黑体" w:eastAsia="黑体" w:cs="黑体"/>
                <w:b w:val="0"/>
                <w:bCs/>
                <w:kern w:val="2"/>
                <w:sz w:val="18"/>
                <w:szCs w:val="18"/>
                <w:vertAlign w:val="baseline"/>
                <w:lang w:val="en-US" w:eastAsia="zh-CN" w:bidi="zh-CN"/>
              </w:rPr>
            </w:pPr>
            <w:r>
              <w:rPr>
                <w:rFonts w:hint="eastAsia" w:ascii="黑体" w:hAnsi="黑体" w:eastAsia="黑体" w:cs="黑体"/>
                <w:b w:val="0"/>
                <w:bCs/>
                <w:kern w:val="2"/>
                <w:sz w:val="18"/>
                <w:szCs w:val="18"/>
                <w:vertAlign w:val="baseline"/>
                <w:lang w:val="en-US" w:eastAsia="zh-CN" w:bidi="zh-CN"/>
              </w:rPr>
              <w:t>所在区县</w:t>
            </w:r>
          </w:p>
        </w:tc>
        <w:tc>
          <w:tcPr>
            <w:tcW w:w="1155"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黑体" w:hAnsi="黑体" w:eastAsia="黑体" w:cs="黑体"/>
                <w:b w:val="0"/>
                <w:bCs/>
                <w:kern w:val="2"/>
                <w:sz w:val="18"/>
                <w:szCs w:val="18"/>
                <w:vertAlign w:val="baseline"/>
                <w:lang w:val="en-US" w:eastAsia="zh-CN" w:bidi="zh-CN"/>
              </w:rPr>
            </w:pPr>
            <w:r>
              <w:rPr>
                <w:rFonts w:hint="eastAsia" w:ascii="黑体" w:hAnsi="黑体" w:eastAsia="黑体" w:cs="黑体"/>
                <w:b w:val="0"/>
                <w:bCs/>
                <w:kern w:val="2"/>
                <w:sz w:val="18"/>
                <w:szCs w:val="18"/>
                <w:vertAlign w:val="baseline"/>
                <w:lang w:val="en-US" w:eastAsia="zh-CN" w:bidi="zh-CN"/>
              </w:rPr>
              <w:t>审核状态</w:t>
            </w:r>
          </w:p>
        </w:tc>
        <w:tc>
          <w:tcPr>
            <w:tcW w:w="1816"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黑体" w:hAnsi="黑体" w:eastAsia="黑体" w:cs="黑体"/>
                <w:b w:val="0"/>
                <w:bCs/>
                <w:kern w:val="2"/>
                <w:sz w:val="18"/>
                <w:szCs w:val="18"/>
                <w:vertAlign w:val="baseline"/>
                <w:lang w:val="en-US" w:eastAsia="zh-CN" w:bidi="zh-CN"/>
              </w:rPr>
            </w:pPr>
            <w:r>
              <w:rPr>
                <w:rFonts w:hint="eastAsia" w:ascii="黑体" w:hAnsi="黑体" w:eastAsia="黑体" w:cs="黑体"/>
                <w:b w:val="0"/>
                <w:bCs/>
                <w:kern w:val="2"/>
                <w:sz w:val="18"/>
                <w:szCs w:val="18"/>
                <w:vertAlign w:val="baseline"/>
                <w:lang w:val="en-US" w:eastAsia="zh-CN" w:bidi="zh-CN"/>
              </w:rPr>
              <w:t>调研日期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04"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1</w:t>
            </w:r>
          </w:p>
        </w:tc>
        <w:tc>
          <w:tcPr>
            <w:tcW w:w="1776"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0627919</w:t>
            </w:r>
          </w:p>
        </w:tc>
        <w:tc>
          <w:tcPr>
            <w:tcW w:w="1259"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2022-05-09</w:t>
            </w:r>
          </w:p>
        </w:tc>
        <w:tc>
          <w:tcPr>
            <w:tcW w:w="1712"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郓城县</w:t>
            </w:r>
          </w:p>
        </w:tc>
        <w:tc>
          <w:tcPr>
            <w:tcW w:w="1155"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待审核</w:t>
            </w:r>
          </w:p>
        </w:tc>
        <w:tc>
          <w:tcPr>
            <w:tcW w:w="1816"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04"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w:t>
            </w:r>
          </w:p>
        </w:tc>
        <w:tc>
          <w:tcPr>
            <w:tcW w:w="1776"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0651014</w:t>
            </w:r>
          </w:p>
        </w:tc>
        <w:tc>
          <w:tcPr>
            <w:tcW w:w="1259"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2022-08-01</w:t>
            </w:r>
          </w:p>
        </w:tc>
        <w:tc>
          <w:tcPr>
            <w:tcW w:w="1712"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定陶区</w:t>
            </w:r>
          </w:p>
        </w:tc>
        <w:tc>
          <w:tcPr>
            <w:tcW w:w="1155"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待审核</w:t>
            </w:r>
          </w:p>
        </w:tc>
        <w:tc>
          <w:tcPr>
            <w:tcW w:w="1816"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04"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3</w:t>
            </w:r>
          </w:p>
        </w:tc>
        <w:tc>
          <w:tcPr>
            <w:tcW w:w="1776"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0648476</w:t>
            </w:r>
          </w:p>
        </w:tc>
        <w:tc>
          <w:tcPr>
            <w:tcW w:w="1259"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2022-07-21</w:t>
            </w:r>
          </w:p>
        </w:tc>
        <w:tc>
          <w:tcPr>
            <w:tcW w:w="1712"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曹县</w:t>
            </w:r>
          </w:p>
        </w:tc>
        <w:tc>
          <w:tcPr>
            <w:tcW w:w="1155"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待审核</w:t>
            </w:r>
          </w:p>
        </w:tc>
        <w:tc>
          <w:tcPr>
            <w:tcW w:w="1816"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04"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4</w:t>
            </w:r>
          </w:p>
        </w:tc>
        <w:tc>
          <w:tcPr>
            <w:tcW w:w="1776"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0640873</w:t>
            </w:r>
          </w:p>
        </w:tc>
        <w:tc>
          <w:tcPr>
            <w:tcW w:w="1259"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2022-06-23</w:t>
            </w:r>
          </w:p>
        </w:tc>
        <w:tc>
          <w:tcPr>
            <w:tcW w:w="1712"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高新技术开发区</w:t>
            </w:r>
          </w:p>
        </w:tc>
        <w:tc>
          <w:tcPr>
            <w:tcW w:w="1155"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待审核</w:t>
            </w:r>
          </w:p>
        </w:tc>
        <w:tc>
          <w:tcPr>
            <w:tcW w:w="1816"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04"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5</w:t>
            </w:r>
          </w:p>
        </w:tc>
        <w:tc>
          <w:tcPr>
            <w:tcW w:w="1776"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0632497</w:t>
            </w:r>
          </w:p>
        </w:tc>
        <w:tc>
          <w:tcPr>
            <w:tcW w:w="1259"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2022-05-20</w:t>
            </w:r>
          </w:p>
        </w:tc>
        <w:tc>
          <w:tcPr>
            <w:tcW w:w="1712"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巨野县</w:t>
            </w:r>
          </w:p>
        </w:tc>
        <w:tc>
          <w:tcPr>
            <w:tcW w:w="1155"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待审核</w:t>
            </w:r>
          </w:p>
        </w:tc>
        <w:tc>
          <w:tcPr>
            <w:tcW w:w="1816"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04"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6</w:t>
            </w:r>
          </w:p>
        </w:tc>
        <w:tc>
          <w:tcPr>
            <w:tcW w:w="1776"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0641640</w:t>
            </w:r>
          </w:p>
        </w:tc>
        <w:tc>
          <w:tcPr>
            <w:tcW w:w="1259" w:type="dxa"/>
            <w:vAlign w:val="center"/>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2022-06-26</w:t>
            </w:r>
          </w:p>
        </w:tc>
        <w:tc>
          <w:tcPr>
            <w:tcW w:w="1712"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牡丹区</w:t>
            </w:r>
          </w:p>
        </w:tc>
        <w:tc>
          <w:tcPr>
            <w:tcW w:w="1155"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待审核</w:t>
            </w:r>
          </w:p>
        </w:tc>
        <w:tc>
          <w:tcPr>
            <w:tcW w:w="1816" w:type="dxa"/>
            <w:vAlign w:val="top"/>
          </w:tcPr>
          <w:p>
            <w:pPr>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b w:val="0"/>
                <w:bCs/>
                <w:kern w:val="2"/>
                <w:sz w:val="18"/>
                <w:szCs w:val="18"/>
                <w:vertAlign w:val="baseline"/>
                <w:lang w:val="en-US" w:eastAsia="zh-CN" w:bidi="zh-CN"/>
              </w:rPr>
            </w:pPr>
            <w:r>
              <w:rPr>
                <w:rFonts w:hint="eastAsia" w:ascii="仿宋_GB2312" w:hAnsi="仿宋_GB2312" w:eastAsia="仿宋_GB2312" w:cs="仿宋_GB2312"/>
                <w:b w:val="0"/>
                <w:bCs/>
                <w:kern w:val="2"/>
                <w:sz w:val="18"/>
                <w:szCs w:val="18"/>
                <w:vertAlign w:val="baseline"/>
                <w:lang w:val="en-US" w:eastAsia="zh-CN" w:bidi="zh-CN"/>
              </w:rPr>
              <w:t>2022-09-12</w:t>
            </w:r>
          </w:p>
        </w:tc>
      </w:tr>
    </w:tbl>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原因分析：各区县环保部门人手短缺，造成延迟审核。</w:t>
      </w:r>
    </w:p>
    <w:p>
      <w:pPr>
        <w:pStyle w:val="4"/>
        <w:keepNext w:val="0"/>
        <w:keepLines w:val="0"/>
        <w:pageBreakBefore w:val="0"/>
        <w:widowControl w:val="0"/>
        <w:numPr>
          <w:ilvl w:val="0"/>
          <w:numId w:val="0"/>
        </w:numPr>
        <w:kinsoku/>
        <w:wordWrap/>
        <w:overflowPunct/>
        <w:topLinePunct w:val="0"/>
        <w:autoSpaceDE/>
        <w:autoSpaceDN/>
        <w:bidi w:val="0"/>
        <w:adjustRightInd/>
        <w:snapToGrid/>
        <w:spacing w:before="0" w:after="0" w:line="700" w:lineRule="exact"/>
        <w:ind w:left="0" w:leftChars="0" w:firstLine="640" w:firstLineChars="200"/>
        <w:textAlignment w:val="auto"/>
        <w:rPr>
          <w:rFonts w:hint="default"/>
          <w:color w:val="auto"/>
          <w:lang w:val="en-US" w:eastAsia="zh-CN"/>
        </w:rPr>
      </w:pPr>
      <w:bookmarkStart w:id="33" w:name="_Toc23837"/>
      <w:r>
        <w:rPr>
          <w:rFonts w:hint="eastAsia"/>
          <w:color w:val="auto"/>
          <w:lang w:eastAsia="zh-CN"/>
        </w:rPr>
        <w:t>八、整改建议</w:t>
      </w:r>
      <w:bookmarkEnd w:id="33"/>
    </w:p>
    <w:p>
      <w:pPr>
        <w:keepNext w:val="0"/>
        <w:keepLines w:val="0"/>
        <w:pageBreakBefore w:val="0"/>
        <w:widowControl w:val="0"/>
        <w:kinsoku/>
        <w:wordWrap/>
        <w:overflowPunct/>
        <w:topLinePunct w:val="0"/>
        <w:autoSpaceDE/>
        <w:autoSpaceDN/>
        <w:bidi w:val="0"/>
        <w:adjustRightInd/>
        <w:snapToGrid/>
        <w:spacing w:line="70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（一）重视采购需求论证，确保需求与项目实际相匹配</w:t>
      </w:r>
    </w:p>
    <w:p>
      <w:pPr>
        <w:pStyle w:val="24"/>
        <w:keepNext w:val="0"/>
        <w:keepLines w:val="0"/>
        <w:pageBreakBefore w:val="0"/>
        <w:widowControl w:val="0"/>
        <w:kinsoku/>
        <w:wordWrap/>
        <w:overflowPunct/>
        <w:topLinePunct w:val="0"/>
        <w:autoSpaceDE/>
        <w:autoSpaceDN/>
        <w:bidi w:val="0"/>
        <w:adjustRightInd/>
        <w:snapToGrid/>
        <w:spacing w:after="0" w:afterLines="0" w:line="580" w:lineRule="exact"/>
        <w:ind w:left="0" w:leftChars="0" w:firstLine="640"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kern w:val="2"/>
          <w:sz w:val="32"/>
          <w:szCs w:val="32"/>
          <w:highlight w:val="none"/>
          <w:lang w:val="en-US" w:eastAsia="zh-CN" w:bidi="ar-SA"/>
        </w:rPr>
        <w:t>建议部门在编制采购需求时，充分进行市场询问、社会群众意见咨询或专家论证，根据项目实际情况，合理编制项目采购需求。在后续喷码过程中，可以参照编码中标单位与定位安装中标公司协同工作的方式，简化非道路移动机械整体监控工作。</w:t>
      </w:r>
    </w:p>
    <w:p>
      <w:pPr>
        <w:keepNext w:val="0"/>
        <w:keepLines w:val="0"/>
        <w:pageBreakBefore w:val="0"/>
        <w:widowControl w:val="0"/>
        <w:kinsoku/>
        <w:wordWrap/>
        <w:overflowPunct/>
        <w:topLinePunct w:val="0"/>
        <w:autoSpaceDE/>
        <w:autoSpaceDN/>
        <w:bidi w:val="0"/>
        <w:adjustRightInd/>
        <w:snapToGrid/>
        <w:spacing w:line="700" w:lineRule="exact"/>
        <w:ind w:firstLine="640" w:firstLineChars="200"/>
        <w:textAlignment w:val="auto"/>
        <w:rPr>
          <w:rFonts w:hint="default" w:ascii="楷体" w:hAnsi="楷体" w:eastAsia="楷体" w:cs="楷体"/>
          <w:sz w:val="32"/>
          <w:szCs w:val="32"/>
          <w:lang w:val="en-US" w:eastAsia="zh-CN"/>
        </w:rPr>
      </w:pPr>
      <w:r>
        <w:rPr>
          <w:rFonts w:hint="eastAsia" w:ascii="楷体" w:hAnsi="楷体" w:eastAsia="楷体" w:cs="楷体"/>
          <w:sz w:val="32"/>
          <w:szCs w:val="32"/>
          <w:lang w:val="en-US" w:eastAsia="zh-CN"/>
        </w:rPr>
        <w:t>（二）提高项目线上信息审核的准确性，加大主管部门的监控力度</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建议主管部门充分发挥监督管理作用，随机不定时在系统中随机抽查项目审核情况，对于线上信息审核不通过的着重检查，避免出现审核失误的现象，对线上信息审核有误的，及时通知整改，进一步提高各区县环保部门线上审核能力。</w:t>
      </w:r>
    </w:p>
    <w:p>
      <w:pPr>
        <w:keepNext w:val="0"/>
        <w:keepLines w:val="0"/>
        <w:pageBreakBefore w:val="0"/>
        <w:widowControl w:val="0"/>
        <w:kinsoku/>
        <w:wordWrap/>
        <w:overflowPunct/>
        <w:topLinePunct w:val="0"/>
        <w:autoSpaceDE/>
        <w:autoSpaceDN/>
        <w:bidi w:val="0"/>
        <w:adjustRightInd/>
        <w:snapToGrid/>
        <w:spacing w:line="700" w:lineRule="exact"/>
        <w:ind w:firstLine="640" w:firstLineChars="200"/>
        <w:textAlignment w:val="auto"/>
        <w:rPr>
          <w:rFonts w:hint="default" w:ascii="楷体" w:hAnsi="楷体" w:eastAsia="楷体" w:cs="楷体"/>
          <w:sz w:val="32"/>
          <w:szCs w:val="32"/>
          <w:lang w:val="en-US" w:eastAsia="zh-CN"/>
        </w:rPr>
      </w:pPr>
      <w:r>
        <w:rPr>
          <w:rFonts w:hint="eastAsia" w:ascii="楷体" w:hAnsi="楷体" w:eastAsia="楷体" w:cs="楷体"/>
          <w:sz w:val="32"/>
          <w:szCs w:val="32"/>
          <w:lang w:val="en-US" w:eastAsia="zh-CN"/>
        </w:rPr>
        <w:t>（三）发布信息时，采购人要充分发挥监督能力，保证公开信息准确无误</w:t>
      </w:r>
    </w:p>
    <w:p>
      <w:pPr>
        <w:pStyle w:val="94"/>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b w:val="0"/>
          <w:bCs/>
          <w:kern w:val="2"/>
          <w:sz w:val="32"/>
          <w:szCs w:val="32"/>
          <w:lang w:val="en-US" w:eastAsia="zh-CN" w:bidi="zh-CN"/>
        </w:rPr>
        <w:t>建议部门在招标流程结束后，根据《山东省政府采购信息发布管理办法》（鲁财采〔2020〕35号）第二十一条“采购人应当自政府采购合同签订之日起2个工作日内发布政府采购合同”的要求，及时准确的公开招标信息。代理机构发布信息时，采购人充分发挥监督能力，保证公开信息准确无误。</w:t>
      </w:r>
    </w:p>
    <w:p>
      <w:pPr>
        <w:keepNext w:val="0"/>
        <w:keepLines w:val="0"/>
        <w:pageBreakBefore w:val="0"/>
        <w:widowControl w:val="0"/>
        <w:kinsoku/>
        <w:wordWrap/>
        <w:overflowPunct/>
        <w:topLinePunct w:val="0"/>
        <w:autoSpaceDE/>
        <w:autoSpaceDN/>
        <w:bidi w:val="0"/>
        <w:adjustRightInd/>
        <w:snapToGrid/>
        <w:spacing w:line="70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（四）做好喷码人员专业技能培训</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kern w:val="2"/>
          <w:sz w:val="32"/>
          <w:szCs w:val="32"/>
          <w:highlight w:val="none"/>
          <w:lang w:val="en-US" w:eastAsia="zh-CN" w:bidi="ar-SA"/>
        </w:rPr>
      </w:pPr>
      <w:r>
        <w:rPr>
          <w:rFonts w:hint="eastAsia" w:ascii="仿宋_GB2312" w:hAnsi="仿宋_GB2312" w:eastAsia="仿宋_GB2312" w:cs="仿宋_GB2312"/>
          <w:kern w:val="2"/>
          <w:sz w:val="32"/>
          <w:szCs w:val="32"/>
          <w:highlight w:val="none"/>
          <w:lang w:val="en-US" w:eastAsia="zh-CN" w:bidi="ar-SA"/>
        </w:rPr>
        <w:t>建议部门与中标单位加强技能沟通，由中标单位做好喷码人员技能培训工作，同时建议主管部门针对项目实际情况编制监督管理制度，调度各区县相关政府负责人积极参与喷码现场。可采用随机抽取的方式，参与到喷码现场，加大喷码人员的监督力度，规范现场信息审核，加大群众配合程度的同时确保喷码质量。</w:t>
      </w:r>
    </w:p>
    <w:p>
      <w:pPr>
        <w:keepNext w:val="0"/>
        <w:keepLines w:val="0"/>
        <w:pageBreakBefore w:val="0"/>
        <w:widowControl w:val="0"/>
        <w:kinsoku/>
        <w:wordWrap/>
        <w:overflowPunct/>
        <w:topLinePunct w:val="0"/>
        <w:autoSpaceDE/>
        <w:autoSpaceDN/>
        <w:bidi w:val="0"/>
        <w:adjustRightInd/>
        <w:snapToGrid/>
        <w:spacing w:line="700" w:lineRule="exact"/>
        <w:ind w:firstLine="640" w:firstLineChars="200"/>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（五）提高各区县环保部门对项目的重视程度</w:t>
      </w:r>
    </w:p>
    <w:p>
      <w:pPr>
        <w:pStyle w:val="94"/>
        <w:keepNext w:val="0"/>
        <w:keepLines w:val="0"/>
        <w:pageBreakBefore w:val="0"/>
        <w:widowControl w:val="0"/>
        <w:kinsoku/>
        <w:wordWrap/>
        <w:overflowPunct/>
        <w:topLinePunct w:val="0"/>
        <w:autoSpaceDE/>
        <w:autoSpaceDN/>
        <w:bidi w:val="0"/>
        <w:adjustRightInd/>
        <w:snapToGrid/>
        <w:spacing w:line="580" w:lineRule="exact"/>
        <w:ind w:left="0" w:leftChars="0" w:firstLine="640" w:firstLineChars="200"/>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kern w:val="2"/>
          <w:sz w:val="32"/>
          <w:szCs w:val="32"/>
          <w:highlight w:val="none"/>
          <w:lang w:val="en-US" w:eastAsia="zh-CN" w:bidi="ar-SA"/>
        </w:rPr>
        <w:t>建议主管部门积极与各区县负责人进行沟通，将线上审核责任落实到人。同时主管部门要充分发挥监督能力，发现线上信息审核延迟情况及时及时进行整改，保质保量的完成对在菏作业的非道路移动机械全面喷码任务。</w:t>
      </w:r>
    </w:p>
    <w:p>
      <w:pPr>
        <w:pageBreakBefore w:val="0"/>
        <w:widowControl w:val="0"/>
        <w:kinsoku/>
        <w:wordWrap/>
        <w:overflowPunct/>
        <w:autoSpaceDE/>
        <w:autoSpaceDN/>
        <w:bidi w:val="0"/>
        <w:spacing w:line="580" w:lineRule="exact"/>
        <w:ind w:firstLine="420" w:firstLineChars="200"/>
        <w:textAlignment w:val="auto"/>
        <w:rPr>
          <w:rFonts w:hint="eastAsia" w:eastAsia="仿宋_GB2312"/>
          <w:lang w:val="en-US" w:eastAsia="zh-CN"/>
        </w:rPr>
      </w:pPr>
      <w:r>
        <w:rPr>
          <w:rFonts w:hint="eastAsia" w:eastAsia="仿宋_GB2312"/>
          <w:lang w:val="en-US" w:eastAsia="zh-CN"/>
        </w:rPr>
        <w:t xml:space="preserve"> </w:t>
      </w:r>
    </w:p>
    <w:p>
      <w:pPr>
        <w:pageBreakBefore w:val="0"/>
        <w:widowControl w:val="0"/>
        <w:kinsoku/>
        <w:wordWrap/>
        <w:overflowPunct/>
        <w:autoSpaceDE/>
        <w:autoSpaceDN/>
        <w:bidi w:val="0"/>
        <w:spacing w:line="580" w:lineRule="exact"/>
        <w:ind w:firstLine="420" w:firstLineChars="200"/>
        <w:textAlignment w:val="auto"/>
        <w:rPr>
          <w:rFonts w:hint="eastAsia" w:eastAsia="仿宋_GB2312"/>
          <w:lang w:val="en-US" w:eastAsia="zh-CN"/>
        </w:rPr>
      </w:pPr>
    </w:p>
    <w:p>
      <w:pPr>
        <w:pageBreakBefore w:val="0"/>
        <w:widowControl w:val="0"/>
        <w:kinsoku/>
        <w:wordWrap/>
        <w:overflowPunct/>
        <w:autoSpaceDE/>
        <w:autoSpaceDN/>
        <w:bidi w:val="0"/>
        <w:spacing w:line="580" w:lineRule="exact"/>
        <w:ind w:firstLine="420" w:firstLineChars="200"/>
        <w:textAlignment w:val="auto"/>
        <w:rPr>
          <w:rFonts w:hint="eastAsia" w:ascii="仿宋_GB2312" w:eastAsia="仿宋_GB2312" w:cs="仿宋_GB2312"/>
          <w:sz w:val="32"/>
          <w:szCs w:val="32"/>
        </w:rPr>
      </w:pPr>
      <w:r>
        <w:rPr>
          <w:rFonts w:hint="eastAsia" w:eastAsia="仿宋_GB2312"/>
          <w:lang w:val="en-US" w:eastAsia="zh-CN"/>
        </w:rPr>
        <w:t xml:space="preserve">   </w:t>
      </w:r>
      <w:r>
        <w:rPr>
          <w:rFonts w:ascii="Times New Roman" w:hAnsi="Times New Roman" w:eastAsia="仿宋_GB2312" w:cs="Times New Roman"/>
          <w:color w:val="auto"/>
          <w:sz w:val="32"/>
          <w:szCs w:val="32"/>
        </w:rPr>
        <w:t>附</w:t>
      </w:r>
      <w:r>
        <w:rPr>
          <w:rFonts w:hint="eastAsia" w:ascii="Times New Roman" w:hAnsi="Times New Roman" w:eastAsia="仿宋_GB2312" w:cs="Times New Roman"/>
          <w:color w:val="auto"/>
          <w:sz w:val="32"/>
          <w:szCs w:val="32"/>
          <w:lang w:eastAsia="zh-CN"/>
        </w:rPr>
        <w:t>件</w:t>
      </w:r>
      <w:r>
        <w:rPr>
          <w:rFonts w:ascii="Times New Roman" w:hAnsi="Times New Roman" w:eastAsia="仿宋_GB2312" w:cs="Times New Roman"/>
          <w:color w:val="auto"/>
          <w:sz w:val="32"/>
          <w:szCs w:val="32"/>
        </w:rPr>
        <w:t>：</w:t>
      </w:r>
      <w:r>
        <w:rPr>
          <w:rFonts w:hint="eastAsia" w:ascii="仿宋_GB2312" w:eastAsia="仿宋_GB2312" w:cs="仿宋_GB2312"/>
          <w:sz w:val="32"/>
          <w:szCs w:val="32"/>
        </w:rPr>
        <w:t>1.绩效评价</w:t>
      </w:r>
      <w:r>
        <w:rPr>
          <w:rFonts w:hint="eastAsia" w:ascii="仿宋_GB2312" w:eastAsia="仿宋_GB2312" w:cs="仿宋_GB2312"/>
          <w:sz w:val="32"/>
          <w:szCs w:val="32"/>
          <w:lang w:eastAsia="zh-CN"/>
        </w:rPr>
        <w:t>评</w:t>
      </w:r>
      <w:r>
        <w:rPr>
          <w:rFonts w:hint="eastAsia" w:ascii="仿宋_GB2312" w:eastAsia="仿宋_GB2312" w:cs="仿宋_GB2312"/>
          <w:sz w:val="32"/>
          <w:szCs w:val="32"/>
        </w:rPr>
        <w:t>分表</w:t>
      </w:r>
    </w:p>
    <w:p>
      <w:pPr>
        <w:pageBreakBefore w:val="0"/>
        <w:widowControl w:val="0"/>
        <w:kinsoku/>
        <w:wordWrap/>
        <w:overflowPunct/>
        <w:autoSpaceDE/>
        <w:autoSpaceDN/>
        <w:bidi w:val="0"/>
        <w:spacing w:line="580" w:lineRule="exact"/>
        <w:ind w:firstLine="1600" w:firstLineChars="500"/>
        <w:textAlignment w:val="auto"/>
        <w:rPr>
          <w:rFonts w:hint="eastAsia" w:ascii="仿宋_GB2312" w:eastAsia="仿宋_GB2312" w:cs="仿宋_GB2312"/>
          <w:sz w:val="32"/>
          <w:szCs w:val="32"/>
          <w:lang w:eastAsia="zh-CN"/>
        </w:rPr>
      </w:pPr>
      <w:r>
        <w:rPr>
          <w:rFonts w:hint="eastAsia" w:ascii="仿宋_GB2312" w:eastAsia="仿宋_GB2312" w:cs="仿宋_GB2312"/>
          <w:sz w:val="32"/>
          <w:szCs w:val="32"/>
        </w:rPr>
        <w:t>2.调查问卷及统计分析表</w:t>
      </w:r>
    </w:p>
    <w:p>
      <w:pPr>
        <w:pageBreakBefore w:val="0"/>
        <w:widowControl w:val="0"/>
        <w:kinsoku/>
        <w:wordWrap/>
        <w:overflowPunct/>
        <w:autoSpaceDE/>
        <w:autoSpaceDN/>
        <w:bidi w:val="0"/>
        <w:spacing w:line="580" w:lineRule="exact"/>
        <w:ind w:firstLine="1600" w:firstLineChars="500"/>
        <w:textAlignment w:val="auto"/>
        <w:rPr>
          <w:rFonts w:hint="default"/>
          <w:lang w:val="en-US" w:eastAsia="zh-CN"/>
        </w:rPr>
      </w:pPr>
      <w:r>
        <w:rPr>
          <w:rFonts w:hint="eastAsia" w:ascii="仿宋_GB2312" w:eastAsia="仿宋_GB2312" w:cs="仿宋_GB2312"/>
          <w:sz w:val="32"/>
          <w:szCs w:val="32"/>
        </w:rPr>
        <w:t>3.问题清单</w:t>
      </w:r>
      <w:r>
        <w:rPr>
          <w:rFonts w:hint="eastAsia" w:eastAsia="仿宋_GB2312"/>
          <w:lang w:val="en-US" w:eastAsia="zh-CN"/>
        </w:rPr>
        <w:t xml:space="preserve">    </w:t>
      </w:r>
    </w:p>
    <w:p>
      <w:pPr>
        <w:pStyle w:val="24"/>
        <w:ind w:left="0" w:leftChars="0" w:firstLine="0" w:firstLineChars="0"/>
        <w:rPr>
          <w:rFonts w:hint="default"/>
          <w:lang w:val="en-US" w:eastAsia="zh-CN"/>
        </w:rPr>
      </w:pPr>
    </w:p>
    <w:sectPr>
      <w:headerReference r:id="rId6" w:type="default"/>
      <w:footerReference r:id="rId8" w:type="default"/>
      <w:headerReference r:id="rId7" w:type="even"/>
      <w:footerReference r:id="rId9" w:type="even"/>
      <w:pgSz w:w="11906" w:h="16838"/>
      <w:pgMar w:top="2098" w:right="1474" w:bottom="1984" w:left="158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21FE7FD-3499-4679-82E6-06B24C5468AC}"/>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embedRegular r:id="rId2" w:fontKey="{75C575BD-2F6F-41CE-9BE7-9DFDF6590B44}"/>
  </w:font>
  <w:font w:name="等线 Light">
    <w:altName w:val="宋体"/>
    <w:panose1 w:val="02010600030101010101"/>
    <w:charset w:val="86"/>
    <w:family w:val="auto"/>
    <w:pitch w:val="default"/>
    <w:sig w:usb0="00000000" w:usb1="00000000" w:usb2="00000016" w:usb3="00000000" w:csb0="0004000F" w:csb1="00000000"/>
  </w:font>
  <w:font w:name="仿宋">
    <w:panose1 w:val="02010609060101010101"/>
    <w:charset w:val="86"/>
    <w:family w:val="auto"/>
    <w:pitch w:val="default"/>
    <w:sig w:usb0="800002BF" w:usb1="38CF7CFA" w:usb2="00000016" w:usb3="00000000" w:csb0="00040001" w:csb1="00000000"/>
    <w:embedRegular r:id="rId3" w:fontKey="{C4317DA8-82EE-4BDB-AC26-7545DEAC2715}"/>
  </w:font>
  <w:font w:name="方正小标宋简体">
    <w:panose1 w:val="03000509000000000000"/>
    <w:charset w:val="86"/>
    <w:family w:val="auto"/>
    <w:pitch w:val="default"/>
    <w:sig w:usb0="00000001" w:usb1="080E0000" w:usb2="00000000" w:usb3="00000000" w:csb0="00040000" w:csb1="00000000"/>
    <w:embedRegular r:id="rId4" w:fontKey="{BB3790EF-152E-4797-8A36-6821A2A6C9DA}"/>
  </w:font>
  <w:font w:name="楷体_GB2312">
    <w:panose1 w:val="02010609030101010101"/>
    <w:charset w:val="86"/>
    <w:family w:val="auto"/>
    <w:pitch w:val="default"/>
    <w:sig w:usb0="00000001" w:usb1="080E0000" w:usb2="00000000" w:usb3="00000000" w:csb0="00040000" w:csb1="00000000"/>
    <w:embedRegular r:id="rId5" w:fontKey="{28DF1C1A-BA9A-4D94-855D-2BF58A7233CD}"/>
  </w:font>
  <w:font w:name="楷体">
    <w:panose1 w:val="02010609060101010101"/>
    <w:charset w:val="86"/>
    <w:family w:val="modern"/>
    <w:pitch w:val="default"/>
    <w:sig w:usb0="800002BF" w:usb1="38CF7CFA" w:usb2="00000016" w:usb3="00000000" w:csb0="00040001" w:csb1="00000000"/>
    <w:embedRegular r:id="rId6" w:fontKey="{772CC983-F5ED-42D4-AD2D-9DF7D1B9731F}"/>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rPr>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rPr>
        <w:sz w:val="21"/>
        <w:szCs w:val="21"/>
      </w:rPr>
    </w:pPr>
    <w:r>
      <w:rPr>
        <w:sz w:val="21"/>
      </w:rPr>
      <mc:AlternateContent>
        <mc:Choice Requires="wps">
          <w:drawing>
            <wp:anchor distT="0" distB="0" distL="114300" distR="114300" simplePos="0" relativeHeight="251659264" behindDoc="0" locked="0" layoutInCell="1" allowOverlap="1">
              <wp:simplePos x="0" y="0"/>
              <wp:positionH relativeFrom="margin">
                <wp:posOffset>5100320</wp:posOffset>
              </wp:positionH>
              <wp:positionV relativeFrom="paragraph">
                <wp:posOffset>-38100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401.6pt;margin-top:-3pt;height:144pt;width:144pt;mso-position-horizontal-relative:margin;mso-wrap-style:none;z-index:251659264;mso-width-relative:page;mso-height-relative:page;" filled="f" stroked="f" coordsize="21600,21600" o:gfxdata="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H7yTENcAAAALAQAADwAAAAAAAAABACAAAAAiAAAAZHJzL2Rvd25yZXYueG1s&#10;UEsBAhQAFAAAAAgAh07iQOGA044yAgAAYQQAAA4AAAAAAAAAAQAgAAAAJgEAAGRycy9lMm9Eb2Mu&#10;eG1sUEsFBgAAAAAGAAYAWQEAAMoFA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- 1 -</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r>
      <w:rPr>
        <w:sz w:val="18"/>
      </w:rPr>
      <mc:AlternateContent>
        <mc:Choice Requires="wps">
          <w:drawing>
            <wp:anchor distT="0" distB="0" distL="114300" distR="114300" simplePos="0" relativeHeight="251660288" behindDoc="0" locked="0" layoutInCell="1" allowOverlap="1">
              <wp:simplePos x="0" y="0"/>
              <wp:positionH relativeFrom="margin">
                <wp:posOffset>42545</wp:posOffset>
              </wp:positionH>
              <wp:positionV relativeFrom="paragraph">
                <wp:posOffset>-9525</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3.35pt;margin-top:-0.75pt;height:144pt;width:144pt;mso-position-horizontal-relative:margin;mso-wrap-style:none;z-index:251660288;mso-width-relative:page;mso-height-relative:page;" filled="f" stroked="f" coordsize="21600,21600" o:gfxdata="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bPd31gAAAAgBAAAPAAAAAAAAAAEAIAAAACIAAABkcnMvZG93bnJldi54bWxQ&#10;SwECFAAUAAAACACHTuJAuow4KzICAABhBAAADgAAAAAAAAABACAAAAAlAQAAZHJzL2Uyb0RvYy54&#10;bWxQSwUGAAAAAAYABgBZAQAAyQUAAAAA&#10;">
              <v:fill on="f" focussize="0,0"/>
              <v:stroke on="f" weight="0.5pt"/>
              <v:imagedata o:title=""/>
              <o:lock v:ext="edit" aspectratio="f"/>
              <v:textbox inset="0mm,0mm,0mm,0mm" style="mso-fit-shape-to-text:t;">
                <w:txbxContent>
                  <w:p>
                    <w:pPr>
                      <w:pStyle w:val="16"/>
                    </w:pPr>
                    <w:r>
                      <w:fldChar w:fldCharType="begin"/>
                    </w:r>
                    <w:r>
                      <w:instrText xml:space="preserve"> PAGE  \* MERGEFORMAT </w:instrText>
                    </w:r>
                    <w:r>
                      <w:fldChar w:fldCharType="separate"/>
                    </w:r>
                    <w:r>
                      <w:t>- 2 -</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3757CBB"/>
    <w:multiLevelType w:val="multilevel"/>
    <w:tmpl w:val="53757CBB"/>
    <w:lvl w:ilvl="0" w:tentative="0">
      <w:start w:val="1"/>
      <w:numFmt w:val="chineseCountingThousand"/>
      <w:pStyle w:val="87"/>
      <w:suff w:val="space"/>
      <w:lvlText w:val="%1、"/>
      <w:lvlJc w:val="left"/>
      <w:pPr>
        <w:ind w:left="0" w:firstLine="0"/>
      </w:pPr>
      <w:rPr>
        <w:rFonts w:hint="eastAsia"/>
      </w:rPr>
    </w:lvl>
    <w:lvl w:ilvl="1" w:tentative="0">
      <w:start w:val="1"/>
      <w:numFmt w:val="chineseCountingThousand"/>
      <w:pStyle w:val="86"/>
      <w:suff w:val="space"/>
      <w:lvlText w:val="（%2）"/>
      <w:lvlJc w:val="left"/>
      <w:pPr>
        <w:ind w:left="0" w:firstLine="0"/>
      </w:pPr>
      <w:rPr>
        <w:rFonts w:hint="eastAsia"/>
      </w:rPr>
    </w:lvl>
    <w:lvl w:ilvl="2" w:tentative="0">
      <w:start w:val="1"/>
      <w:numFmt w:val="decimal"/>
      <w:pStyle w:val="85"/>
      <w:suff w:val="space"/>
      <w:lvlText w:val="%3、"/>
      <w:lvlJc w:val="left"/>
      <w:pPr>
        <w:ind w:left="210" w:firstLine="0"/>
      </w:pPr>
      <w:rPr>
        <w:rFonts w:hint="eastAsia"/>
      </w:rPr>
    </w:lvl>
    <w:lvl w:ilvl="3" w:tentative="0">
      <w:start w:val="1"/>
      <w:numFmt w:val="decimal"/>
      <w:pStyle w:val="84"/>
      <w:suff w:val="space"/>
      <w:lvlText w:val="（%4）"/>
      <w:lvlJc w:val="left"/>
      <w:pPr>
        <w:ind w:left="0" w:firstLine="0"/>
      </w:pPr>
      <w:rPr>
        <w:rFonts w:hint="eastAsia"/>
      </w:rPr>
    </w:lvl>
    <w:lvl w:ilvl="4" w:tentative="0">
      <w:start w:val="1"/>
      <w:numFmt w:val="decimal"/>
      <w:pStyle w:val="83"/>
      <w:suff w:val="space"/>
      <w:lvlText w:val="%5）"/>
      <w:lvlJc w:val="left"/>
      <w:pPr>
        <w:ind w:left="0" w:firstLine="0"/>
      </w:pPr>
      <w:rPr>
        <w:rFonts w:hint="eastAsia"/>
      </w:rPr>
    </w:lvl>
    <w:lvl w:ilvl="5" w:tentative="0">
      <w:start w:val="1"/>
      <w:numFmt w:val="lowerRoman"/>
      <w:suff w:val="space"/>
      <w:lvlText w:val="%6"/>
      <w:lvlJc w:val="left"/>
      <w:pPr>
        <w:ind w:left="-22" w:firstLine="0"/>
      </w:pPr>
      <w:rPr>
        <w:rFonts w:hint="eastAsia"/>
      </w:rPr>
    </w:lvl>
    <w:lvl w:ilvl="6" w:tentative="0">
      <w:start w:val="1"/>
      <w:numFmt w:val="lowerRoman"/>
      <w:suff w:val="space"/>
      <w:lvlText w:val="%7）"/>
      <w:lvlJc w:val="left"/>
      <w:pPr>
        <w:ind w:left="0" w:firstLine="0"/>
      </w:pPr>
      <w:rPr>
        <w:rFonts w:hint="default"/>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1">
    <w:nsid w:val="610671B8"/>
    <w:multiLevelType w:val="multilevel"/>
    <w:tmpl w:val="610671B8"/>
    <w:lvl w:ilvl="0" w:tentative="0">
      <w:start w:val="1"/>
      <w:numFmt w:val="chineseCountingThousand"/>
      <w:pStyle w:val="4"/>
      <w:suff w:val="nothing"/>
      <w:lvlText w:val="%1、"/>
      <w:lvlJc w:val="left"/>
      <w:pPr>
        <w:ind w:left="415" w:hanging="425"/>
      </w:pPr>
      <w:rPr>
        <w:rFonts w:hint="eastAsia"/>
      </w:rPr>
    </w:lvl>
    <w:lvl w:ilvl="1" w:tentative="0">
      <w:start w:val="1"/>
      <w:numFmt w:val="chineseCountingThousand"/>
      <w:pStyle w:val="5"/>
      <w:suff w:val="nothing"/>
      <w:lvlText w:val="（%2）"/>
      <w:lvlJc w:val="left"/>
      <w:pPr>
        <w:ind w:left="979" w:hanging="567"/>
      </w:pPr>
      <w:rPr>
        <w:rFonts w:hint="eastAsia"/>
      </w:rPr>
    </w:lvl>
    <w:lvl w:ilvl="2" w:tentative="0">
      <w:start w:val="1"/>
      <w:numFmt w:val="decimal"/>
      <w:pStyle w:val="6"/>
      <w:suff w:val="nothing"/>
      <w:lvlText w:val="%3. "/>
      <w:lvlJc w:val="left"/>
      <w:pPr>
        <w:ind w:left="992" w:hanging="567"/>
      </w:pPr>
      <w:rPr>
        <w:rFonts w:hint="eastAsia"/>
      </w:rPr>
    </w:lvl>
    <w:lvl w:ilvl="3" w:tentative="0">
      <w:start w:val="1"/>
      <w:numFmt w:val="decimal"/>
      <w:pStyle w:val="7"/>
      <w:suff w:val="nothing"/>
      <w:lvlText w:val="（%4）"/>
      <w:lvlJc w:val="left"/>
      <w:pPr>
        <w:ind w:left="992" w:hanging="425"/>
      </w:pPr>
      <w:rPr>
        <w:rFonts w:hint="eastAsia"/>
      </w:rPr>
    </w:lvl>
    <w:lvl w:ilvl="4" w:tentative="0">
      <w:start w:val="1"/>
      <w:numFmt w:val="decimal"/>
      <w:pStyle w:val="9"/>
      <w:suff w:val="nothing"/>
      <w:lvlText w:val="%5）"/>
      <w:lvlJc w:val="left"/>
      <w:pPr>
        <w:ind w:left="992" w:hanging="113"/>
      </w:pPr>
      <w:rPr>
        <w:rFonts w:hint="eastAsia"/>
      </w:rPr>
    </w:lvl>
    <w:lvl w:ilvl="5" w:tentative="0">
      <w:start w:val="1"/>
      <w:numFmt w:val="decimal"/>
      <w:pStyle w:val="52"/>
      <w:suff w:val="nothing"/>
      <w:lvlText w:val="附件%6 "/>
      <w:lvlJc w:val="left"/>
      <w:pPr>
        <w:ind w:left="0" w:firstLine="0"/>
      </w:pPr>
      <w:rPr>
        <w:rFonts w:hint="eastAsia"/>
      </w:rPr>
    </w:lvl>
    <w:lvl w:ilvl="6" w:tentative="0">
      <w:start w:val="1"/>
      <w:numFmt w:val="chineseCountingThousand"/>
      <w:suff w:val="nothing"/>
      <w:lvlText w:val="%7、"/>
      <w:lvlJc w:val="left"/>
      <w:pPr>
        <w:ind w:left="992" w:hanging="567"/>
      </w:pPr>
      <w:rPr>
        <w:rFonts w:hint="eastAsia"/>
      </w:rPr>
    </w:lvl>
    <w:lvl w:ilvl="7" w:tentative="0">
      <w:start w:val="1"/>
      <w:numFmt w:val="chineseCountingThousand"/>
      <w:suff w:val="nothing"/>
      <w:lvlText w:val="（%8）"/>
      <w:lvlJc w:val="left"/>
      <w:pPr>
        <w:ind w:left="992" w:hanging="567"/>
      </w:pPr>
      <w:rPr>
        <w:rFonts w:hint="eastAsia"/>
      </w:rPr>
    </w:lvl>
    <w:lvl w:ilvl="8" w:tentative="0">
      <w:start w:val="1"/>
      <w:numFmt w:val="decimal"/>
      <w:suff w:val="nothing"/>
      <w:lvlText w:val="%9. "/>
      <w:lvlJc w:val="left"/>
      <w:pPr>
        <w:ind w:left="992" w:hanging="567"/>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attachedTemplate r:id="rId1"/>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kxNTgyZTBmODg5YWU1YWU0NmJmM2VjNTdkN2NjODQifQ=="/>
  </w:docVars>
  <w:rsids>
    <w:rsidRoot w:val="0AE20BD5"/>
    <w:rsid w:val="00015FD7"/>
    <w:rsid w:val="0002605D"/>
    <w:rsid w:val="00026634"/>
    <w:rsid w:val="00035C58"/>
    <w:rsid w:val="0003756A"/>
    <w:rsid w:val="00044534"/>
    <w:rsid w:val="0005304B"/>
    <w:rsid w:val="0005634B"/>
    <w:rsid w:val="00066C9A"/>
    <w:rsid w:val="00071965"/>
    <w:rsid w:val="000723FB"/>
    <w:rsid w:val="00080EB0"/>
    <w:rsid w:val="00083FCC"/>
    <w:rsid w:val="000B4FEE"/>
    <w:rsid w:val="000C0DDB"/>
    <w:rsid w:val="000D60DD"/>
    <w:rsid w:val="000E52A0"/>
    <w:rsid w:val="000E5A47"/>
    <w:rsid w:val="000E6B74"/>
    <w:rsid w:val="000F2B10"/>
    <w:rsid w:val="000F5F7D"/>
    <w:rsid w:val="00102859"/>
    <w:rsid w:val="00102E6B"/>
    <w:rsid w:val="00114DEE"/>
    <w:rsid w:val="00121E22"/>
    <w:rsid w:val="001427B4"/>
    <w:rsid w:val="00147A7E"/>
    <w:rsid w:val="001508C0"/>
    <w:rsid w:val="00155E0B"/>
    <w:rsid w:val="00160AAC"/>
    <w:rsid w:val="00172053"/>
    <w:rsid w:val="001807D4"/>
    <w:rsid w:val="0019781C"/>
    <w:rsid w:val="00197F86"/>
    <w:rsid w:val="001A3651"/>
    <w:rsid w:val="001B24EE"/>
    <w:rsid w:val="001B486E"/>
    <w:rsid w:val="001C1731"/>
    <w:rsid w:val="001C2442"/>
    <w:rsid w:val="001E4440"/>
    <w:rsid w:val="001E5CD8"/>
    <w:rsid w:val="0020492B"/>
    <w:rsid w:val="00207196"/>
    <w:rsid w:val="00211286"/>
    <w:rsid w:val="00222A88"/>
    <w:rsid w:val="00223117"/>
    <w:rsid w:val="00231379"/>
    <w:rsid w:val="0023442A"/>
    <w:rsid w:val="002352F7"/>
    <w:rsid w:val="00235414"/>
    <w:rsid w:val="00237C0D"/>
    <w:rsid w:val="00241BDC"/>
    <w:rsid w:val="00252283"/>
    <w:rsid w:val="002540FB"/>
    <w:rsid w:val="00270F7F"/>
    <w:rsid w:val="00272D30"/>
    <w:rsid w:val="0027484F"/>
    <w:rsid w:val="00277770"/>
    <w:rsid w:val="0028153D"/>
    <w:rsid w:val="002B01E4"/>
    <w:rsid w:val="002B4447"/>
    <w:rsid w:val="002C1F39"/>
    <w:rsid w:val="002C4A12"/>
    <w:rsid w:val="002C597B"/>
    <w:rsid w:val="002D0597"/>
    <w:rsid w:val="002D48A4"/>
    <w:rsid w:val="002E584F"/>
    <w:rsid w:val="002F617F"/>
    <w:rsid w:val="00306E74"/>
    <w:rsid w:val="0031209E"/>
    <w:rsid w:val="00326E74"/>
    <w:rsid w:val="003277D9"/>
    <w:rsid w:val="00341068"/>
    <w:rsid w:val="0034355A"/>
    <w:rsid w:val="00345EF3"/>
    <w:rsid w:val="00356FCE"/>
    <w:rsid w:val="00376361"/>
    <w:rsid w:val="00390FDC"/>
    <w:rsid w:val="0039624B"/>
    <w:rsid w:val="00397DBF"/>
    <w:rsid w:val="003A1D83"/>
    <w:rsid w:val="003C6515"/>
    <w:rsid w:val="003D3060"/>
    <w:rsid w:val="003D697F"/>
    <w:rsid w:val="003F7CFE"/>
    <w:rsid w:val="00422BFD"/>
    <w:rsid w:val="004408E8"/>
    <w:rsid w:val="0044550C"/>
    <w:rsid w:val="004531F9"/>
    <w:rsid w:val="00457F24"/>
    <w:rsid w:val="00465A90"/>
    <w:rsid w:val="00477F73"/>
    <w:rsid w:val="00480444"/>
    <w:rsid w:val="004809B6"/>
    <w:rsid w:val="00486064"/>
    <w:rsid w:val="00493F68"/>
    <w:rsid w:val="004A5E40"/>
    <w:rsid w:val="004D5BB2"/>
    <w:rsid w:val="004E2267"/>
    <w:rsid w:val="004F2B0B"/>
    <w:rsid w:val="004F4DA8"/>
    <w:rsid w:val="00500BCF"/>
    <w:rsid w:val="00517812"/>
    <w:rsid w:val="005228FD"/>
    <w:rsid w:val="00523317"/>
    <w:rsid w:val="0054016F"/>
    <w:rsid w:val="00546D71"/>
    <w:rsid w:val="00550DC5"/>
    <w:rsid w:val="00550E35"/>
    <w:rsid w:val="00560594"/>
    <w:rsid w:val="00560DED"/>
    <w:rsid w:val="00561B4E"/>
    <w:rsid w:val="00567BC1"/>
    <w:rsid w:val="00572C70"/>
    <w:rsid w:val="00584F79"/>
    <w:rsid w:val="005A17F7"/>
    <w:rsid w:val="005A493C"/>
    <w:rsid w:val="005A69AD"/>
    <w:rsid w:val="005B36E6"/>
    <w:rsid w:val="005B6F81"/>
    <w:rsid w:val="005C3390"/>
    <w:rsid w:val="005C4184"/>
    <w:rsid w:val="005C7243"/>
    <w:rsid w:val="005D2573"/>
    <w:rsid w:val="005D4D65"/>
    <w:rsid w:val="005E16C6"/>
    <w:rsid w:val="00607F4F"/>
    <w:rsid w:val="00610C44"/>
    <w:rsid w:val="00641035"/>
    <w:rsid w:val="00651E7A"/>
    <w:rsid w:val="00654C99"/>
    <w:rsid w:val="00655890"/>
    <w:rsid w:val="00666A3C"/>
    <w:rsid w:val="00670309"/>
    <w:rsid w:val="00672BF2"/>
    <w:rsid w:val="00681991"/>
    <w:rsid w:val="006B2B83"/>
    <w:rsid w:val="006B5747"/>
    <w:rsid w:val="006B6D34"/>
    <w:rsid w:val="006C0552"/>
    <w:rsid w:val="006D1706"/>
    <w:rsid w:val="006D38B2"/>
    <w:rsid w:val="006E3C10"/>
    <w:rsid w:val="00720FD6"/>
    <w:rsid w:val="00721B37"/>
    <w:rsid w:val="00735104"/>
    <w:rsid w:val="00744BAE"/>
    <w:rsid w:val="00761F17"/>
    <w:rsid w:val="00764721"/>
    <w:rsid w:val="00767A62"/>
    <w:rsid w:val="007B6D71"/>
    <w:rsid w:val="007B7E5C"/>
    <w:rsid w:val="007C1028"/>
    <w:rsid w:val="007C5DBA"/>
    <w:rsid w:val="007D2127"/>
    <w:rsid w:val="007E28FA"/>
    <w:rsid w:val="007E3A23"/>
    <w:rsid w:val="007E5E0E"/>
    <w:rsid w:val="00812819"/>
    <w:rsid w:val="00835CED"/>
    <w:rsid w:val="0084030D"/>
    <w:rsid w:val="008461D5"/>
    <w:rsid w:val="00863877"/>
    <w:rsid w:val="008656D4"/>
    <w:rsid w:val="008730DD"/>
    <w:rsid w:val="00876C42"/>
    <w:rsid w:val="008822AB"/>
    <w:rsid w:val="0088585C"/>
    <w:rsid w:val="008909AF"/>
    <w:rsid w:val="00894671"/>
    <w:rsid w:val="008956E9"/>
    <w:rsid w:val="008A4DAC"/>
    <w:rsid w:val="008C6C52"/>
    <w:rsid w:val="008D7AE9"/>
    <w:rsid w:val="00901195"/>
    <w:rsid w:val="00906CA7"/>
    <w:rsid w:val="00910FBE"/>
    <w:rsid w:val="009136EC"/>
    <w:rsid w:val="009260EF"/>
    <w:rsid w:val="009356A5"/>
    <w:rsid w:val="00944FA3"/>
    <w:rsid w:val="009535A2"/>
    <w:rsid w:val="0096155B"/>
    <w:rsid w:val="00966C29"/>
    <w:rsid w:val="009677C4"/>
    <w:rsid w:val="0097669E"/>
    <w:rsid w:val="00976BE2"/>
    <w:rsid w:val="0098777E"/>
    <w:rsid w:val="00996704"/>
    <w:rsid w:val="009A6EC2"/>
    <w:rsid w:val="009B15D8"/>
    <w:rsid w:val="009B506F"/>
    <w:rsid w:val="009B5C0F"/>
    <w:rsid w:val="009B6DDE"/>
    <w:rsid w:val="009D60D6"/>
    <w:rsid w:val="009E1E0B"/>
    <w:rsid w:val="009E5B2A"/>
    <w:rsid w:val="009F536F"/>
    <w:rsid w:val="00A05231"/>
    <w:rsid w:val="00A134E9"/>
    <w:rsid w:val="00A14193"/>
    <w:rsid w:val="00A21161"/>
    <w:rsid w:val="00A33507"/>
    <w:rsid w:val="00A42809"/>
    <w:rsid w:val="00A7031F"/>
    <w:rsid w:val="00A91104"/>
    <w:rsid w:val="00AA47B5"/>
    <w:rsid w:val="00AA6DFA"/>
    <w:rsid w:val="00AB308A"/>
    <w:rsid w:val="00AD7EE1"/>
    <w:rsid w:val="00B01664"/>
    <w:rsid w:val="00B13345"/>
    <w:rsid w:val="00B172F3"/>
    <w:rsid w:val="00B17597"/>
    <w:rsid w:val="00B253C7"/>
    <w:rsid w:val="00B274E4"/>
    <w:rsid w:val="00B278ED"/>
    <w:rsid w:val="00B4122F"/>
    <w:rsid w:val="00B43AE1"/>
    <w:rsid w:val="00B560EF"/>
    <w:rsid w:val="00B6066B"/>
    <w:rsid w:val="00B76B39"/>
    <w:rsid w:val="00B77990"/>
    <w:rsid w:val="00B82711"/>
    <w:rsid w:val="00B82A5E"/>
    <w:rsid w:val="00B87DFC"/>
    <w:rsid w:val="00B934BC"/>
    <w:rsid w:val="00BA6ED2"/>
    <w:rsid w:val="00BA6F88"/>
    <w:rsid w:val="00BC309C"/>
    <w:rsid w:val="00BC66D0"/>
    <w:rsid w:val="00BC6E4B"/>
    <w:rsid w:val="00BE03D7"/>
    <w:rsid w:val="00BF5B0B"/>
    <w:rsid w:val="00C14179"/>
    <w:rsid w:val="00C149BF"/>
    <w:rsid w:val="00C20481"/>
    <w:rsid w:val="00C30E17"/>
    <w:rsid w:val="00C33583"/>
    <w:rsid w:val="00C47486"/>
    <w:rsid w:val="00C50483"/>
    <w:rsid w:val="00C515BC"/>
    <w:rsid w:val="00C61E14"/>
    <w:rsid w:val="00C61E42"/>
    <w:rsid w:val="00C644F1"/>
    <w:rsid w:val="00C705E2"/>
    <w:rsid w:val="00C71C8D"/>
    <w:rsid w:val="00C74F7D"/>
    <w:rsid w:val="00C7785A"/>
    <w:rsid w:val="00CA53E1"/>
    <w:rsid w:val="00CA7294"/>
    <w:rsid w:val="00CB275E"/>
    <w:rsid w:val="00CB3D5E"/>
    <w:rsid w:val="00CB408E"/>
    <w:rsid w:val="00CC2F11"/>
    <w:rsid w:val="00CC7871"/>
    <w:rsid w:val="00CD2834"/>
    <w:rsid w:val="00CD4695"/>
    <w:rsid w:val="00CD5214"/>
    <w:rsid w:val="00CE7600"/>
    <w:rsid w:val="00CF667B"/>
    <w:rsid w:val="00D3096C"/>
    <w:rsid w:val="00D31D9E"/>
    <w:rsid w:val="00D32DBF"/>
    <w:rsid w:val="00D337C5"/>
    <w:rsid w:val="00D465B1"/>
    <w:rsid w:val="00D56876"/>
    <w:rsid w:val="00D7117A"/>
    <w:rsid w:val="00D74E79"/>
    <w:rsid w:val="00D77F55"/>
    <w:rsid w:val="00D8113E"/>
    <w:rsid w:val="00D87CC9"/>
    <w:rsid w:val="00DB19A9"/>
    <w:rsid w:val="00DB3E06"/>
    <w:rsid w:val="00DC0ECE"/>
    <w:rsid w:val="00DC6363"/>
    <w:rsid w:val="00DE254C"/>
    <w:rsid w:val="00E00E83"/>
    <w:rsid w:val="00E04113"/>
    <w:rsid w:val="00E041C3"/>
    <w:rsid w:val="00E20797"/>
    <w:rsid w:val="00E26AC0"/>
    <w:rsid w:val="00E34DC0"/>
    <w:rsid w:val="00E35F67"/>
    <w:rsid w:val="00E427DD"/>
    <w:rsid w:val="00E449A7"/>
    <w:rsid w:val="00E44B2E"/>
    <w:rsid w:val="00E610CA"/>
    <w:rsid w:val="00E62C74"/>
    <w:rsid w:val="00E75D82"/>
    <w:rsid w:val="00E77708"/>
    <w:rsid w:val="00E81226"/>
    <w:rsid w:val="00E81C14"/>
    <w:rsid w:val="00E83BE9"/>
    <w:rsid w:val="00E9074D"/>
    <w:rsid w:val="00E92046"/>
    <w:rsid w:val="00EA5FA0"/>
    <w:rsid w:val="00EA7EE2"/>
    <w:rsid w:val="00EB2E1B"/>
    <w:rsid w:val="00EC0F3A"/>
    <w:rsid w:val="00EC1253"/>
    <w:rsid w:val="00EC1E23"/>
    <w:rsid w:val="00EC42B2"/>
    <w:rsid w:val="00ED2DE7"/>
    <w:rsid w:val="00EE6246"/>
    <w:rsid w:val="00EE7607"/>
    <w:rsid w:val="00EF1D4A"/>
    <w:rsid w:val="00EF1FA9"/>
    <w:rsid w:val="00EF617B"/>
    <w:rsid w:val="00F065B4"/>
    <w:rsid w:val="00F06736"/>
    <w:rsid w:val="00F076FC"/>
    <w:rsid w:val="00F07713"/>
    <w:rsid w:val="00F14EA6"/>
    <w:rsid w:val="00F175C9"/>
    <w:rsid w:val="00F2089B"/>
    <w:rsid w:val="00F24ACB"/>
    <w:rsid w:val="00F34FBB"/>
    <w:rsid w:val="00F41D49"/>
    <w:rsid w:val="00F46BE6"/>
    <w:rsid w:val="00F802CB"/>
    <w:rsid w:val="00F82897"/>
    <w:rsid w:val="00F8405D"/>
    <w:rsid w:val="00F8643A"/>
    <w:rsid w:val="00F93B5C"/>
    <w:rsid w:val="00F95D73"/>
    <w:rsid w:val="00FA6EF1"/>
    <w:rsid w:val="00FC0398"/>
    <w:rsid w:val="00FC36AB"/>
    <w:rsid w:val="00FF42FB"/>
    <w:rsid w:val="00FF4B3C"/>
    <w:rsid w:val="01477612"/>
    <w:rsid w:val="018E7102"/>
    <w:rsid w:val="01960110"/>
    <w:rsid w:val="01AC2F06"/>
    <w:rsid w:val="02141B97"/>
    <w:rsid w:val="023943F7"/>
    <w:rsid w:val="023B0757"/>
    <w:rsid w:val="02D25A28"/>
    <w:rsid w:val="031500DE"/>
    <w:rsid w:val="037D5BEA"/>
    <w:rsid w:val="03913B2E"/>
    <w:rsid w:val="03CE781B"/>
    <w:rsid w:val="04347BA6"/>
    <w:rsid w:val="04400656"/>
    <w:rsid w:val="049433A1"/>
    <w:rsid w:val="04B141D9"/>
    <w:rsid w:val="04B435EA"/>
    <w:rsid w:val="04C72F3E"/>
    <w:rsid w:val="04E51841"/>
    <w:rsid w:val="0502023A"/>
    <w:rsid w:val="051903A7"/>
    <w:rsid w:val="052822C9"/>
    <w:rsid w:val="05434E08"/>
    <w:rsid w:val="0567003F"/>
    <w:rsid w:val="05F0788D"/>
    <w:rsid w:val="05FC2DDF"/>
    <w:rsid w:val="06562C27"/>
    <w:rsid w:val="067032E2"/>
    <w:rsid w:val="067C4A6D"/>
    <w:rsid w:val="06D65583"/>
    <w:rsid w:val="07007FCA"/>
    <w:rsid w:val="071A4C60"/>
    <w:rsid w:val="072B34F6"/>
    <w:rsid w:val="07592199"/>
    <w:rsid w:val="07693AFB"/>
    <w:rsid w:val="077D1C1C"/>
    <w:rsid w:val="07F277AD"/>
    <w:rsid w:val="07F450C2"/>
    <w:rsid w:val="08031934"/>
    <w:rsid w:val="088F3621"/>
    <w:rsid w:val="08D012EF"/>
    <w:rsid w:val="08E9737B"/>
    <w:rsid w:val="08F323C0"/>
    <w:rsid w:val="0924062D"/>
    <w:rsid w:val="0A4318C9"/>
    <w:rsid w:val="0A4D3E83"/>
    <w:rsid w:val="0AB73285"/>
    <w:rsid w:val="0AE20BD5"/>
    <w:rsid w:val="0B00194F"/>
    <w:rsid w:val="0B031F0F"/>
    <w:rsid w:val="0B0E7053"/>
    <w:rsid w:val="0B120D1E"/>
    <w:rsid w:val="0B731858"/>
    <w:rsid w:val="0BC44B6D"/>
    <w:rsid w:val="0BCC3B47"/>
    <w:rsid w:val="0C06244E"/>
    <w:rsid w:val="0C3539E6"/>
    <w:rsid w:val="0C7F5E8F"/>
    <w:rsid w:val="0CD50C3F"/>
    <w:rsid w:val="0D244F05"/>
    <w:rsid w:val="0DC36100"/>
    <w:rsid w:val="0E3F790F"/>
    <w:rsid w:val="0E4C63B1"/>
    <w:rsid w:val="0E543D2A"/>
    <w:rsid w:val="0E5D0552"/>
    <w:rsid w:val="0E930517"/>
    <w:rsid w:val="0EA03026"/>
    <w:rsid w:val="0EF478BC"/>
    <w:rsid w:val="0F116F55"/>
    <w:rsid w:val="0F1F1F4A"/>
    <w:rsid w:val="0F816DD3"/>
    <w:rsid w:val="0F842080"/>
    <w:rsid w:val="100749D7"/>
    <w:rsid w:val="10A05D6B"/>
    <w:rsid w:val="10B451DF"/>
    <w:rsid w:val="10CA4745"/>
    <w:rsid w:val="11101B8B"/>
    <w:rsid w:val="11111CDD"/>
    <w:rsid w:val="11C21FB4"/>
    <w:rsid w:val="11C62478"/>
    <w:rsid w:val="11C66591"/>
    <w:rsid w:val="11D40A84"/>
    <w:rsid w:val="12026452"/>
    <w:rsid w:val="12A82C12"/>
    <w:rsid w:val="131049CB"/>
    <w:rsid w:val="133439B1"/>
    <w:rsid w:val="135B24FC"/>
    <w:rsid w:val="13726A07"/>
    <w:rsid w:val="13B7041A"/>
    <w:rsid w:val="13CD0509"/>
    <w:rsid w:val="14926ABA"/>
    <w:rsid w:val="149828F5"/>
    <w:rsid w:val="14AB6B35"/>
    <w:rsid w:val="14C62C50"/>
    <w:rsid w:val="14D317E3"/>
    <w:rsid w:val="14DF5A8F"/>
    <w:rsid w:val="14E62CC3"/>
    <w:rsid w:val="153F021E"/>
    <w:rsid w:val="158318A9"/>
    <w:rsid w:val="15960242"/>
    <w:rsid w:val="165D743E"/>
    <w:rsid w:val="170C7722"/>
    <w:rsid w:val="1799242F"/>
    <w:rsid w:val="17C274E6"/>
    <w:rsid w:val="17F82607"/>
    <w:rsid w:val="17FA7DD1"/>
    <w:rsid w:val="1805567E"/>
    <w:rsid w:val="1867702A"/>
    <w:rsid w:val="18B130C3"/>
    <w:rsid w:val="192E6907"/>
    <w:rsid w:val="1951263E"/>
    <w:rsid w:val="195B1D0E"/>
    <w:rsid w:val="19B318F7"/>
    <w:rsid w:val="1A0F34B3"/>
    <w:rsid w:val="1A1D71EF"/>
    <w:rsid w:val="1A3105CE"/>
    <w:rsid w:val="1A342CA3"/>
    <w:rsid w:val="1A6931FC"/>
    <w:rsid w:val="1ADD065E"/>
    <w:rsid w:val="1B9D1D47"/>
    <w:rsid w:val="1BDF46A2"/>
    <w:rsid w:val="1C32512F"/>
    <w:rsid w:val="1C7C6EC2"/>
    <w:rsid w:val="1C7F517D"/>
    <w:rsid w:val="1C7F7166"/>
    <w:rsid w:val="1D250DB1"/>
    <w:rsid w:val="1D272B50"/>
    <w:rsid w:val="1D5F1B88"/>
    <w:rsid w:val="1D870E1F"/>
    <w:rsid w:val="1D8A54A3"/>
    <w:rsid w:val="1DB63515"/>
    <w:rsid w:val="1DF2726F"/>
    <w:rsid w:val="1E2315C8"/>
    <w:rsid w:val="1EBA498A"/>
    <w:rsid w:val="1EFB0244"/>
    <w:rsid w:val="1EFE1DF7"/>
    <w:rsid w:val="1F4A0A40"/>
    <w:rsid w:val="1F6F5BA4"/>
    <w:rsid w:val="1F887663"/>
    <w:rsid w:val="1FAB5F26"/>
    <w:rsid w:val="20093778"/>
    <w:rsid w:val="20131639"/>
    <w:rsid w:val="201347D7"/>
    <w:rsid w:val="204A77D4"/>
    <w:rsid w:val="20B142AC"/>
    <w:rsid w:val="20B91FC8"/>
    <w:rsid w:val="20C171CE"/>
    <w:rsid w:val="20CE21EA"/>
    <w:rsid w:val="21B43FCC"/>
    <w:rsid w:val="222B72CC"/>
    <w:rsid w:val="22460B2B"/>
    <w:rsid w:val="227220A8"/>
    <w:rsid w:val="23050237"/>
    <w:rsid w:val="231B65AC"/>
    <w:rsid w:val="23420DC9"/>
    <w:rsid w:val="234E4FB8"/>
    <w:rsid w:val="23B30995"/>
    <w:rsid w:val="23BF69A3"/>
    <w:rsid w:val="2461764D"/>
    <w:rsid w:val="24806486"/>
    <w:rsid w:val="24CC5385"/>
    <w:rsid w:val="251E61BA"/>
    <w:rsid w:val="25A556B3"/>
    <w:rsid w:val="25F95469"/>
    <w:rsid w:val="260F1CFD"/>
    <w:rsid w:val="263A1558"/>
    <w:rsid w:val="26694FDD"/>
    <w:rsid w:val="26760728"/>
    <w:rsid w:val="269E6C28"/>
    <w:rsid w:val="26B148D6"/>
    <w:rsid w:val="26B54329"/>
    <w:rsid w:val="26BD57DE"/>
    <w:rsid w:val="26D56E2F"/>
    <w:rsid w:val="27202BE7"/>
    <w:rsid w:val="27910876"/>
    <w:rsid w:val="27B26366"/>
    <w:rsid w:val="27BB75DB"/>
    <w:rsid w:val="27D2792B"/>
    <w:rsid w:val="27DE0D65"/>
    <w:rsid w:val="282F5EA4"/>
    <w:rsid w:val="28800F4E"/>
    <w:rsid w:val="28D8195F"/>
    <w:rsid w:val="28F22A1C"/>
    <w:rsid w:val="29125262"/>
    <w:rsid w:val="293B4870"/>
    <w:rsid w:val="293F138C"/>
    <w:rsid w:val="29507F80"/>
    <w:rsid w:val="29BD475E"/>
    <w:rsid w:val="29DD6AA8"/>
    <w:rsid w:val="2ACF1AC8"/>
    <w:rsid w:val="2B033532"/>
    <w:rsid w:val="2B707E88"/>
    <w:rsid w:val="2B727139"/>
    <w:rsid w:val="2B9B0FFD"/>
    <w:rsid w:val="2C1715B9"/>
    <w:rsid w:val="2C375E89"/>
    <w:rsid w:val="2CFC6970"/>
    <w:rsid w:val="2D6F5EFC"/>
    <w:rsid w:val="2D90189D"/>
    <w:rsid w:val="2DC85471"/>
    <w:rsid w:val="2E022D8F"/>
    <w:rsid w:val="2E263108"/>
    <w:rsid w:val="2E2D0EEE"/>
    <w:rsid w:val="2E313BA0"/>
    <w:rsid w:val="2E410ADD"/>
    <w:rsid w:val="2E685B62"/>
    <w:rsid w:val="2E7D205E"/>
    <w:rsid w:val="2ED60A50"/>
    <w:rsid w:val="2F172D16"/>
    <w:rsid w:val="2F1C49B5"/>
    <w:rsid w:val="2F5E294A"/>
    <w:rsid w:val="2F99359D"/>
    <w:rsid w:val="2FB11B4A"/>
    <w:rsid w:val="2FE8297F"/>
    <w:rsid w:val="2FEF73B2"/>
    <w:rsid w:val="305869AA"/>
    <w:rsid w:val="306E142B"/>
    <w:rsid w:val="309918FB"/>
    <w:rsid w:val="30EB1E03"/>
    <w:rsid w:val="30F9136E"/>
    <w:rsid w:val="312834D6"/>
    <w:rsid w:val="312A33A7"/>
    <w:rsid w:val="318D5597"/>
    <w:rsid w:val="31931D34"/>
    <w:rsid w:val="32B666CF"/>
    <w:rsid w:val="33232682"/>
    <w:rsid w:val="33520F0B"/>
    <w:rsid w:val="33DE704F"/>
    <w:rsid w:val="33DF5CD2"/>
    <w:rsid w:val="34651CB1"/>
    <w:rsid w:val="34E91601"/>
    <w:rsid w:val="35036EA1"/>
    <w:rsid w:val="358E5002"/>
    <w:rsid w:val="35E44477"/>
    <w:rsid w:val="35F2783B"/>
    <w:rsid w:val="35F71D00"/>
    <w:rsid w:val="36C50003"/>
    <w:rsid w:val="3728571C"/>
    <w:rsid w:val="37642AA9"/>
    <w:rsid w:val="37C15134"/>
    <w:rsid w:val="37DD413E"/>
    <w:rsid w:val="37ED3483"/>
    <w:rsid w:val="38891892"/>
    <w:rsid w:val="38E97F6B"/>
    <w:rsid w:val="39E566D4"/>
    <w:rsid w:val="39EA4CDA"/>
    <w:rsid w:val="39EB4DA4"/>
    <w:rsid w:val="39F71FBF"/>
    <w:rsid w:val="3A062290"/>
    <w:rsid w:val="3A2A1003"/>
    <w:rsid w:val="3A755983"/>
    <w:rsid w:val="3AFD410C"/>
    <w:rsid w:val="3B011046"/>
    <w:rsid w:val="3B50793C"/>
    <w:rsid w:val="3B6B398A"/>
    <w:rsid w:val="3B9F77BF"/>
    <w:rsid w:val="3BA64FB7"/>
    <w:rsid w:val="3BD0121C"/>
    <w:rsid w:val="3BD433FC"/>
    <w:rsid w:val="3BE91CB2"/>
    <w:rsid w:val="3C4A4CEB"/>
    <w:rsid w:val="3CC91EF6"/>
    <w:rsid w:val="3D2E25E7"/>
    <w:rsid w:val="3D35171C"/>
    <w:rsid w:val="3D3622C1"/>
    <w:rsid w:val="3D3739C7"/>
    <w:rsid w:val="3D5C22DC"/>
    <w:rsid w:val="3D7A7C56"/>
    <w:rsid w:val="3DCB2831"/>
    <w:rsid w:val="3E2D2825"/>
    <w:rsid w:val="3E8D62F1"/>
    <w:rsid w:val="3E9F4C92"/>
    <w:rsid w:val="3ED54482"/>
    <w:rsid w:val="3EDF02B7"/>
    <w:rsid w:val="3EF84F31"/>
    <w:rsid w:val="3F04364E"/>
    <w:rsid w:val="3F79307B"/>
    <w:rsid w:val="40AB06F7"/>
    <w:rsid w:val="40EB438E"/>
    <w:rsid w:val="41857C00"/>
    <w:rsid w:val="419D6472"/>
    <w:rsid w:val="41AC096A"/>
    <w:rsid w:val="41BE3327"/>
    <w:rsid w:val="41CB0E29"/>
    <w:rsid w:val="41E63EBB"/>
    <w:rsid w:val="423E3289"/>
    <w:rsid w:val="42B1716E"/>
    <w:rsid w:val="42CC6BDA"/>
    <w:rsid w:val="42D71FF1"/>
    <w:rsid w:val="42E45268"/>
    <w:rsid w:val="42EF003F"/>
    <w:rsid w:val="43011312"/>
    <w:rsid w:val="4303448A"/>
    <w:rsid w:val="43356F36"/>
    <w:rsid w:val="438A46BC"/>
    <w:rsid w:val="43A510FF"/>
    <w:rsid w:val="43B05E79"/>
    <w:rsid w:val="43B560F7"/>
    <w:rsid w:val="43D519DD"/>
    <w:rsid w:val="43DA7EBE"/>
    <w:rsid w:val="43EF7FFC"/>
    <w:rsid w:val="44133C8E"/>
    <w:rsid w:val="44356FF6"/>
    <w:rsid w:val="445D3AA1"/>
    <w:rsid w:val="446B74F6"/>
    <w:rsid w:val="447C5A07"/>
    <w:rsid w:val="44E10B37"/>
    <w:rsid w:val="44E7160B"/>
    <w:rsid w:val="453472A6"/>
    <w:rsid w:val="45515F33"/>
    <w:rsid w:val="45720925"/>
    <w:rsid w:val="45790D61"/>
    <w:rsid w:val="45831F49"/>
    <w:rsid w:val="459743EB"/>
    <w:rsid w:val="45F16D06"/>
    <w:rsid w:val="467B357B"/>
    <w:rsid w:val="46885FE1"/>
    <w:rsid w:val="468F2CC7"/>
    <w:rsid w:val="469F1C70"/>
    <w:rsid w:val="47163501"/>
    <w:rsid w:val="47306A51"/>
    <w:rsid w:val="476A3F40"/>
    <w:rsid w:val="47831EAB"/>
    <w:rsid w:val="478A3BAF"/>
    <w:rsid w:val="479F58F3"/>
    <w:rsid w:val="47A767A5"/>
    <w:rsid w:val="47CD4DEE"/>
    <w:rsid w:val="47D64C73"/>
    <w:rsid w:val="48031F06"/>
    <w:rsid w:val="48C7646F"/>
    <w:rsid w:val="48D81F92"/>
    <w:rsid w:val="491910DC"/>
    <w:rsid w:val="49334F0C"/>
    <w:rsid w:val="497D3CDA"/>
    <w:rsid w:val="49A34E66"/>
    <w:rsid w:val="4A3614CB"/>
    <w:rsid w:val="4A4D41FD"/>
    <w:rsid w:val="4A9973A2"/>
    <w:rsid w:val="4AA454F2"/>
    <w:rsid w:val="4ABB27B9"/>
    <w:rsid w:val="4AEA4987"/>
    <w:rsid w:val="4B0C4EAC"/>
    <w:rsid w:val="4B120C4B"/>
    <w:rsid w:val="4B681583"/>
    <w:rsid w:val="4BCC5690"/>
    <w:rsid w:val="4BDC75B8"/>
    <w:rsid w:val="4C4C33AB"/>
    <w:rsid w:val="4C77048D"/>
    <w:rsid w:val="4C7F5FC8"/>
    <w:rsid w:val="4C87540F"/>
    <w:rsid w:val="4D2A1B46"/>
    <w:rsid w:val="4D4E4645"/>
    <w:rsid w:val="4D5E12A1"/>
    <w:rsid w:val="4D8F4E8B"/>
    <w:rsid w:val="4DBB5811"/>
    <w:rsid w:val="4DCE6665"/>
    <w:rsid w:val="4E494638"/>
    <w:rsid w:val="4E5B6952"/>
    <w:rsid w:val="4E6B0B13"/>
    <w:rsid w:val="4E741683"/>
    <w:rsid w:val="4E910618"/>
    <w:rsid w:val="4ECD4B49"/>
    <w:rsid w:val="4ED24C66"/>
    <w:rsid w:val="4F3A03D5"/>
    <w:rsid w:val="4F484E88"/>
    <w:rsid w:val="4F530603"/>
    <w:rsid w:val="4F662654"/>
    <w:rsid w:val="4FDF0473"/>
    <w:rsid w:val="50081CC9"/>
    <w:rsid w:val="506A4ECF"/>
    <w:rsid w:val="50741B61"/>
    <w:rsid w:val="50F26AD7"/>
    <w:rsid w:val="50F83833"/>
    <w:rsid w:val="516B448D"/>
    <w:rsid w:val="517B299B"/>
    <w:rsid w:val="51813D85"/>
    <w:rsid w:val="51977E02"/>
    <w:rsid w:val="51A208C2"/>
    <w:rsid w:val="51BC08FD"/>
    <w:rsid w:val="51C57D9B"/>
    <w:rsid w:val="521A1A78"/>
    <w:rsid w:val="524F7250"/>
    <w:rsid w:val="52835652"/>
    <w:rsid w:val="52CC37B8"/>
    <w:rsid w:val="52D8304F"/>
    <w:rsid w:val="53446379"/>
    <w:rsid w:val="538A34DA"/>
    <w:rsid w:val="53E6704F"/>
    <w:rsid w:val="53EA0385"/>
    <w:rsid w:val="53F352E9"/>
    <w:rsid w:val="53F727D2"/>
    <w:rsid w:val="540A5265"/>
    <w:rsid w:val="54410EC7"/>
    <w:rsid w:val="544A339B"/>
    <w:rsid w:val="548D62D9"/>
    <w:rsid w:val="54A67464"/>
    <w:rsid w:val="55637BA0"/>
    <w:rsid w:val="558C32B3"/>
    <w:rsid w:val="55A14B6B"/>
    <w:rsid w:val="55AC27BB"/>
    <w:rsid w:val="55BF6EB9"/>
    <w:rsid w:val="55D40A43"/>
    <w:rsid w:val="55EA5FA3"/>
    <w:rsid w:val="55EC4509"/>
    <w:rsid w:val="55FF3B0B"/>
    <w:rsid w:val="562D1312"/>
    <w:rsid w:val="563E6705"/>
    <w:rsid w:val="56605C0D"/>
    <w:rsid w:val="56B561DB"/>
    <w:rsid w:val="56E17F73"/>
    <w:rsid w:val="56E25E0A"/>
    <w:rsid w:val="56E508AC"/>
    <w:rsid w:val="573A66AC"/>
    <w:rsid w:val="578E6747"/>
    <w:rsid w:val="57A777B2"/>
    <w:rsid w:val="57D76860"/>
    <w:rsid w:val="58065BD8"/>
    <w:rsid w:val="58320C57"/>
    <w:rsid w:val="58942FBE"/>
    <w:rsid w:val="58A7049D"/>
    <w:rsid w:val="593B40CF"/>
    <w:rsid w:val="59BC2C6C"/>
    <w:rsid w:val="5A0A6ACC"/>
    <w:rsid w:val="5A163B12"/>
    <w:rsid w:val="5A6B655E"/>
    <w:rsid w:val="5A735ED2"/>
    <w:rsid w:val="5AA744EA"/>
    <w:rsid w:val="5AB44154"/>
    <w:rsid w:val="5AD919C3"/>
    <w:rsid w:val="5AFB45D4"/>
    <w:rsid w:val="5B294F8E"/>
    <w:rsid w:val="5B871E96"/>
    <w:rsid w:val="5B932D7D"/>
    <w:rsid w:val="5BD26852"/>
    <w:rsid w:val="5BED4139"/>
    <w:rsid w:val="5C1F5F23"/>
    <w:rsid w:val="5C7D791C"/>
    <w:rsid w:val="5C8400C2"/>
    <w:rsid w:val="5CFA1762"/>
    <w:rsid w:val="5D042C87"/>
    <w:rsid w:val="5D746389"/>
    <w:rsid w:val="5DB11178"/>
    <w:rsid w:val="5E2F6982"/>
    <w:rsid w:val="5E9E5071"/>
    <w:rsid w:val="5FCB6A8E"/>
    <w:rsid w:val="60026590"/>
    <w:rsid w:val="60337FF4"/>
    <w:rsid w:val="603B2567"/>
    <w:rsid w:val="60756F41"/>
    <w:rsid w:val="608F1AC1"/>
    <w:rsid w:val="608F7BB0"/>
    <w:rsid w:val="60900AA3"/>
    <w:rsid w:val="60A776BE"/>
    <w:rsid w:val="60E42F7F"/>
    <w:rsid w:val="612C7E8A"/>
    <w:rsid w:val="6133591E"/>
    <w:rsid w:val="616F60AC"/>
    <w:rsid w:val="61723EAB"/>
    <w:rsid w:val="61943B05"/>
    <w:rsid w:val="61A873E8"/>
    <w:rsid w:val="61BE6EE8"/>
    <w:rsid w:val="622B66A7"/>
    <w:rsid w:val="627B5314"/>
    <w:rsid w:val="6291238C"/>
    <w:rsid w:val="62B16BBE"/>
    <w:rsid w:val="62DF2923"/>
    <w:rsid w:val="63BF61F6"/>
    <w:rsid w:val="63D83C4D"/>
    <w:rsid w:val="640F4198"/>
    <w:rsid w:val="642524FD"/>
    <w:rsid w:val="644E025E"/>
    <w:rsid w:val="649310FF"/>
    <w:rsid w:val="649C7D27"/>
    <w:rsid w:val="64A62473"/>
    <w:rsid w:val="64FB0F93"/>
    <w:rsid w:val="65AD5EC6"/>
    <w:rsid w:val="65C33F10"/>
    <w:rsid w:val="65CD29F4"/>
    <w:rsid w:val="65D412DE"/>
    <w:rsid w:val="660758C0"/>
    <w:rsid w:val="66141B92"/>
    <w:rsid w:val="663629BF"/>
    <w:rsid w:val="6639593F"/>
    <w:rsid w:val="66714455"/>
    <w:rsid w:val="6685358B"/>
    <w:rsid w:val="66894119"/>
    <w:rsid w:val="66930C02"/>
    <w:rsid w:val="66F61DA0"/>
    <w:rsid w:val="67012BE5"/>
    <w:rsid w:val="670C2A50"/>
    <w:rsid w:val="679B7968"/>
    <w:rsid w:val="67B80612"/>
    <w:rsid w:val="67C63F62"/>
    <w:rsid w:val="67CE0908"/>
    <w:rsid w:val="68376625"/>
    <w:rsid w:val="685D2DD5"/>
    <w:rsid w:val="68605CCF"/>
    <w:rsid w:val="68C660B3"/>
    <w:rsid w:val="68EC6BCD"/>
    <w:rsid w:val="696F556A"/>
    <w:rsid w:val="69E40BB3"/>
    <w:rsid w:val="6A0F3DD8"/>
    <w:rsid w:val="6A3127BA"/>
    <w:rsid w:val="6A3318A7"/>
    <w:rsid w:val="6AA52718"/>
    <w:rsid w:val="6AD55DE7"/>
    <w:rsid w:val="6AE47331"/>
    <w:rsid w:val="6B103098"/>
    <w:rsid w:val="6B733C89"/>
    <w:rsid w:val="6B815014"/>
    <w:rsid w:val="6B9A5430"/>
    <w:rsid w:val="6BE2023C"/>
    <w:rsid w:val="6C390D93"/>
    <w:rsid w:val="6C5C55B0"/>
    <w:rsid w:val="6C866D4D"/>
    <w:rsid w:val="6CA04BA2"/>
    <w:rsid w:val="6CA65E87"/>
    <w:rsid w:val="6CAD0D8B"/>
    <w:rsid w:val="6CBD4CD6"/>
    <w:rsid w:val="6D75051B"/>
    <w:rsid w:val="6D7E59ED"/>
    <w:rsid w:val="6D96361B"/>
    <w:rsid w:val="6DAF0E7B"/>
    <w:rsid w:val="6DF47575"/>
    <w:rsid w:val="6E203D78"/>
    <w:rsid w:val="6E4D62AB"/>
    <w:rsid w:val="6E7351CC"/>
    <w:rsid w:val="6E8A2052"/>
    <w:rsid w:val="6E99310A"/>
    <w:rsid w:val="6EF05D89"/>
    <w:rsid w:val="6F077525"/>
    <w:rsid w:val="6F9F30B0"/>
    <w:rsid w:val="6FE41EAB"/>
    <w:rsid w:val="70A4791E"/>
    <w:rsid w:val="70D736E4"/>
    <w:rsid w:val="7185359C"/>
    <w:rsid w:val="71857F3D"/>
    <w:rsid w:val="71CD7FCC"/>
    <w:rsid w:val="728F5E9C"/>
    <w:rsid w:val="72C50341"/>
    <w:rsid w:val="730735B3"/>
    <w:rsid w:val="732628E3"/>
    <w:rsid w:val="733A3562"/>
    <w:rsid w:val="73784618"/>
    <w:rsid w:val="73845BDB"/>
    <w:rsid w:val="73961779"/>
    <w:rsid w:val="73B42067"/>
    <w:rsid w:val="73F25620"/>
    <w:rsid w:val="748E4D9F"/>
    <w:rsid w:val="74C834CC"/>
    <w:rsid w:val="74ED13E5"/>
    <w:rsid w:val="74F261BD"/>
    <w:rsid w:val="75215CB1"/>
    <w:rsid w:val="75557DCD"/>
    <w:rsid w:val="75A30103"/>
    <w:rsid w:val="75F71366"/>
    <w:rsid w:val="771A3591"/>
    <w:rsid w:val="773D1AF2"/>
    <w:rsid w:val="77B25643"/>
    <w:rsid w:val="787C3C6A"/>
    <w:rsid w:val="78810C15"/>
    <w:rsid w:val="789102F6"/>
    <w:rsid w:val="78E119B2"/>
    <w:rsid w:val="799F5697"/>
    <w:rsid w:val="79B57143"/>
    <w:rsid w:val="79EA280A"/>
    <w:rsid w:val="79FA2131"/>
    <w:rsid w:val="7A384934"/>
    <w:rsid w:val="7A5C393B"/>
    <w:rsid w:val="7B30295E"/>
    <w:rsid w:val="7B3E100A"/>
    <w:rsid w:val="7B4210B1"/>
    <w:rsid w:val="7C3960EF"/>
    <w:rsid w:val="7C7E20FF"/>
    <w:rsid w:val="7CD200F7"/>
    <w:rsid w:val="7D3D571D"/>
    <w:rsid w:val="7D9F6497"/>
    <w:rsid w:val="7D9F6D68"/>
    <w:rsid w:val="7DFB7D41"/>
    <w:rsid w:val="7E473189"/>
    <w:rsid w:val="7E491356"/>
    <w:rsid w:val="7E531FC9"/>
    <w:rsid w:val="7EB73853"/>
    <w:rsid w:val="7EC4632E"/>
    <w:rsid w:val="7F220116"/>
    <w:rsid w:val="7F2C2539"/>
    <w:rsid w:val="7F2F6CC1"/>
    <w:rsid w:val="7F7A396A"/>
    <w:rsid w:val="7F846625"/>
    <w:rsid w:val="7FDC2FF7"/>
    <w:rsid w:val="7FF849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1" w:semiHidden="0" w:name="heading 2"/>
    <w:lsdException w:qFormat="1" w:unhideWhenUsed="0" w:uiPriority="2" w:semiHidden="0" w:name="heading 3"/>
    <w:lsdException w:qFormat="1" w:unhideWhenUsed="0" w:uiPriority="3" w:semiHidden="0" w:name="heading 4"/>
    <w:lsdException w:qFormat="1" w:uiPriority="9" w:semiHidden="0" w:name="heading 5"/>
    <w:lsdException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qFormat="1" w:unhideWhenUsed="0" w:uiPriority="0" w:semiHidden="0" w:name="footnote reference"/>
    <w:lsdException w:qFormat="1" w:uiPriority="99" w:name="annotation reference"/>
    <w:lsdException w:uiPriority="99" w:name="line number"/>
    <w:lsdException w:qFormat="1" w:uiPriority="99" w:semiHidden="0"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11" w:semiHidden="0" w:name="Subtitle"/>
    <w:lsdException w:uiPriority="99" w:name="Salutation"/>
    <w:lsdException w:uiPriority="99" w:name="Date"/>
    <w:lsdException w:qFormat="1" w:unhideWhenUsed="0" w:uiPriority="99" w:semiHidden="0" w:name="Body Text First Indent"/>
    <w:lsdException w:qFormat="1"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unhideWhenUsed="0" w:uiPriority="22" w:semiHidden="0" w:name="Strong"/>
    <w:lsdException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1"/>
      <w:lang w:val="en-US" w:eastAsia="zh-CN" w:bidi="ar-SA"/>
    </w:rPr>
  </w:style>
  <w:style w:type="paragraph" w:styleId="4">
    <w:name w:val="heading 1"/>
    <w:basedOn w:val="1"/>
    <w:next w:val="1"/>
    <w:link w:val="34"/>
    <w:qFormat/>
    <w:uiPriority w:val="0"/>
    <w:pPr>
      <w:numPr>
        <w:ilvl w:val="0"/>
        <w:numId w:val="1"/>
      </w:numPr>
      <w:spacing w:before="120" w:after="60"/>
      <w:ind w:left="0" w:firstLine="200"/>
      <w:jc w:val="left"/>
      <w:outlineLvl w:val="0"/>
    </w:pPr>
    <w:rPr>
      <w:rFonts w:eastAsia="黑体"/>
      <w:bCs/>
      <w:kern w:val="44"/>
      <w:sz w:val="32"/>
      <w:szCs w:val="44"/>
    </w:rPr>
  </w:style>
  <w:style w:type="paragraph" w:styleId="5">
    <w:name w:val="heading 2"/>
    <w:basedOn w:val="1"/>
    <w:next w:val="1"/>
    <w:link w:val="35"/>
    <w:qFormat/>
    <w:uiPriority w:val="1"/>
    <w:pPr>
      <w:keepNext/>
      <w:keepLines/>
      <w:numPr>
        <w:ilvl w:val="1"/>
        <w:numId w:val="1"/>
      </w:numPr>
      <w:spacing w:before="120" w:after="60"/>
      <w:ind w:firstLine="0" w:firstLineChars="0"/>
      <w:outlineLvl w:val="1"/>
    </w:pPr>
    <w:rPr>
      <w:rFonts w:asciiTheme="minorHAnsi" w:hAnsiTheme="minorHAnsi" w:cstheme="majorBidi"/>
      <w:b/>
      <w:bCs/>
      <w:szCs w:val="32"/>
    </w:rPr>
  </w:style>
  <w:style w:type="paragraph" w:styleId="6">
    <w:name w:val="heading 3"/>
    <w:basedOn w:val="1"/>
    <w:next w:val="1"/>
    <w:link w:val="33"/>
    <w:qFormat/>
    <w:uiPriority w:val="2"/>
    <w:pPr>
      <w:keepNext/>
      <w:keepLines/>
      <w:numPr>
        <w:ilvl w:val="2"/>
        <w:numId w:val="1"/>
      </w:numPr>
      <w:spacing w:before="120" w:after="60" w:line="500" w:lineRule="exact"/>
      <w:ind w:left="0" w:firstLine="420" w:firstLineChars="200"/>
      <w:outlineLvl w:val="2"/>
    </w:pPr>
    <w:rPr>
      <w:rFonts w:eastAsia="仿宋_GB2312"/>
      <w:b/>
      <w:bCs/>
      <w:sz w:val="28"/>
      <w:szCs w:val="32"/>
    </w:rPr>
  </w:style>
  <w:style w:type="paragraph" w:styleId="7">
    <w:name w:val="heading 4"/>
    <w:basedOn w:val="8"/>
    <w:next w:val="1"/>
    <w:link w:val="36"/>
    <w:qFormat/>
    <w:uiPriority w:val="3"/>
    <w:pPr>
      <w:keepNext/>
      <w:keepLines/>
      <w:numPr>
        <w:ilvl w:val="3"/>
        <w:numId w:val="1"/>
      </w:numPr>
      <w:spacing w:before="120" w:after="60"/>
      <w:ind w:left="0" w:firstLine="200"/>
      <w:outlineLvl w:val="3"/>
    </w:pPr>
    <w:rPr>
      <w:rFonts w:cstheme="majorBidi"/>
      <w:b/>
      <w:bCs/>
    </w:rPr>
  </w:style>
  <w:style w:type="paragraph" w:styleId="9">
    <w:name w:val="heading 5"/>
    <w:basedOn w:val="8"/>
    <w:next w:val="8"/>
    <w:link w:val="37"/>
    <w:unhideWhenUsed/>
    <w:qFormat/>
    <w:uiPriority w:val="9"/>
    <w:pPr>
      <w:keepNext/>
      <w:keepLines/>
      <w:numPr>
        <w:ilvl w:val="4"/>
        <w:numId w:val="1"/>
      </w:numPr>
      <w:spacing w:before="120" w:after="60"/>
      <w:ind w:firstLine="0" w:firstLineChars="0"/>
      <w:outlineLvl w:val="4"/>
    </w:pPr>
    <w:rPr>
      <w:b/>
      <w:bCs/>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qFormat/>
    <w:uiPriority w:val="1"/>
    <w:rPr>
      <w:rFonts w:ascii="仿宋_GB2312" w:hAnsi="仿宋_GB2312" w:eastAsia="仿宋_GB2312" w:cs="仿宋_GB2312"/>
      <w:sz w:val="32"/>
      <w:szCs w:val="32"/>
      <w:lang w:val="zh-CN" w:bidi="zh-CN"/>
    </w:rPr>
  </w:style>
  <w:style w:type="paragraph" w:styleId="3">
    <w:name w:val="Normal Indent"/>
    <w:basedOn w:val="1"/>
    <w:next w:val="2"/>
    <w:qFormat/>
    <w:uiPriority w:val="0"/>
    <w:pPr>
      <w:ind w:firstLine="420"/>
    </w:pPr>
    <w:rPr>
      <w:sz w:val="14"/>
    </w:rPr>
  </w:style>
  <w:style w:type="paragraph" w:customStyle="1" w:styleId="8">
    <w:name w:val="闻政正文"/>
    <w:basedOn w:val="1"/>
    <w:link w:val="45"/>
    <w:qFormat/>
    <w:uiPriority w:val="3"/>
    <w:pPr>
      <w:spacing w:line="500" w:lineRule="exact"/>
      <w:ind w:firstLine="200" w:firstLineChars="200"/>
    </w:pPr>
    <w:rPr>
      <w:rFonts w:ascii="Times New Roman" w:hAnsi="Times New Roman" w:eastAsia="仿宋_GB2312" w:cs="Times New Roman"/>
      <w:kern w:val="0"/>
      <w:sz w:val="28"/>
      <w:szCs w:val="28"/>
      <w:lang w:val="zh-CN"/>
    </w:rPr>
  </w:style>
  <w:style w:type="paragraph" w:styleId="10">
    <w:name w:val="caption"/>
    <w:basedOn w:val="1"/>
    <w:next w:val="1"/>
    <w:unhideWhenUsed/>
    <w:qFormat/>
    <w:uiPriority w:val="35"/>
    <w:rPr>
      <w:rFonts w:eastAsia="黑体" w:asciiTheme="majorHAnsi" w:hAnsiTheme="majorHAnsi" w:cstheme="majorBidi"/>
      <w:sz w:val="20"/>
      <w:szCs w:val="20"/>
    </w:rPr>
  </w:style>
  <w:style w:type="paragraph" w:styleId="11">
    <w:name w:val="annotation text"/>
    <w:basedOn w:val="1"/>
    <w:link w:val="67"/>
    <w:unhideWhenUsed/>
    <w:qFormat/>
    <w:uiPriority w:val="99"/>
    <w:pPr>
      <w:jc w:val="left"/>
    </w:pPr>
  </w:style>
  <w:style w:type="paragraph" w:styleId="12">
    <w:name w:val="Body Text Indent"/>
    <w:basedOn w:val="1"/>
    <w:next w:val="1"/>
    <w:semiHidden/>
    <w:unhideWhenUsed/>
    <w:qFormat/>
    <w:uiPriority w:val="99"/>
    <w:pPr>
      <w:spacing w:after="120" w:afterLines="0" w:afterAutospacing="0"/>
      <w:ind w:left="420" w:leftChars="200"/>
    </w:pPr>
  </w:style>
  <w:style w:type="paragraph" w:styleId="13">
    <w:name w:val="toc 3"/>
    <w:basedOn w:val="1"/>
    <w:next w:val="1"/>
    <w:unhideWhenUsed/>
    <w:qFormat/>
    <w:uiPriority w:val="39"/>
    <w:pPr>
      <w:ind w:left="840" w:leftChars="400"/>
    </w:pPr>
  </w:style>
  <w:style w:type="paragraph" w:styleId="14">
    <w:name w:val="endnote text"/>
    <w:basedOn w:val="1"/>
    <w:link w:val="91"/>
    <w:semiHidden/>
    <w:unhideWhenUsed/>
    <w:qFormat/>
    <w:uiPriority w:val="99"/>
    <w:pPr>
      <w:snapToGrid w:val="0"/>
      <w:jc w:val="left"/>
    </w:pPr>
  </w:style>
  <w:style w:type="paragraph" w:styleId="15">
    <w:name w:val="Balloon Text"/>
    <w:basedOn w:val="1"/>
    <w:link w:val="39"/>
    <w:semiHidden/>
    <w:unhideWhenUsed/>
    <w:qFormat/>
    <w:uiPriority w:val="99"/>
    <w:rPr>
      <w:sz w:val="18"/>
      <w:szCs w:val="18"/>
    </w:rPr>
  </w:style>
  <w:style w:type="paragraph" w:styleId="16">
    <w:name w:val="footer"/>
    <w:basedOn w:val="1"/>
    <w:link w:val="40"/>
    <w:unhideWhenUsed/>
    <w:qFormat/>
    <w:uiPriority w:val="99"/>
    <w:pPr>
      <w:tabs>
        <w:tab w:val="center" w:pos="4153"/>
        <w:tab w:val="right" w:pos="8306"/>
      </w:tabs>
      <w:snapToGrid w:val="0"/>
      <w:jc w:val="left"/>
    </w:pPr>
    <w:rPr>
      <w:rFonts w:ascii="Calibri" w:hAnsi="Calibri" w:eastAsia="宋体" w:cs="Times New Roman"/>
      <w:sz w:val="18"/>
      <w:szCs w:val="18"/>
    </w:rPr>
  </w:style>
  <w:style w:type="paragraph" w:styleId="17">
    <w:name w:val="header"/>
    <w:basedOn w:val="1"/>
    <w:link w:val="62"/>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8"/>
    <w:next w:val="8"/>
    <w:unhideWhenUsed/>
    <w:qFormat/>
    <w:uiPriority w:val="39"/>
    <w:pPr>
      <w:tabs>
        <w:tab w:val="right" w:leader="dot" w:pos="8296"/>
      </w:tabs>
      <w:spacing w:line="460" w:lineRule="exact"/>
      <w:ind w:firstLine="0" w:firstLineChars="0"/>
    </w:pPr>
    <w:rPr>
      <w:b/>
    </w:rPr>
  </w:style>
  <w:style w:type="paragraph" w:styleId="19">
    <w:name w:val="footnote text"/>
    <w:basedOn w:val="1"/>
    <w:link w:val="59"/>
    <w:qFormat/>
    <w:uiPriority w:val="0"/>
    <w:pPr>
      <w:snapToGrid w:val="0"/>
      <w:jc w:val="left"/>
    </w:pPr>
    <w:rPr>
      <w:rFonts w:ascii="Times New Roman" w:hAnsi="Times New Roman" w:eastAsia="仿宋_GB2312"/>
      <w:sz w:val="18"/>
      <w:szCs w:val="18"/>
    </w:rPr>
  </w:style>
  <w:style w:type="paragraph" w:styleId="20">
    <w:name w:val="toc 2"/>
    <w:basedOn w:val="8"/>
    <w:next w:val="8"/>
    <w:unhideWhenUsed/>
    <w:qFormat/>
    <w:uiPriority w:val="39"/>
    <w:pPr>
      <w:tabs>
        <w:tab w:val="right" w:leader="dot" w:pos="8296"/>
      </w:tabs>
      <w:spacing w:line="460" w:lineRule="exact"/>
      <w:ind w:left="200" w:leftChars="200" w:firstLine="0" w:firstLineChars="0"/>
    </w:pPr>
  </w:style>
  <w:style w:type="paragraph" w:styleId="21">
    <w:name w:val="Title"/>
    <w:basedOn w:val="1"/>
    <w:next w:val="1"/>
    <w:qFormat/>
    <w:uiPriority w:val="10"/>
    <w:pPr>
      <w:spacing w:before="240" w:after="60"/>
      <w:jc w:val="left"/>
      <w:outlineLvl w:val="0"/>
    </w:pPr>
    <w:rPr>
      <w:rFonts w:ascii="等线 Light" w:hAnsi="等线 Light" w:eastAsia="仿宋"/>
      <w:b/>
      <w:bCs/>
      <w:szCs w:val="32"/>
    </w:rPr>
  </w:style>
  <w:style w:type="paragraph" w:styleId="22">
    <w:name w:val="annotation subject"/>
    <w:basedOn w:val="11"/>
    <w:next w:val="11"/>
    <w:link w:val="68"/>
    <w:semiHidden/>
    <w:unhideWhenUsed/>
    <w:qFormat/>
    <w:uiPriority w:val="99"/>
    <w:rPr>
      <w:b/>
      <w:bCs/>
    </w:rPr>
  </w:style>
  <w:style w:type="paragraph" w:styleId="23">
    <w:name w:val="Body Text First Indent"/>
    <w:basedOn w:val="2"/>
    <w:next w:val="24"/>
    <w:qFormat/>
    <w:uiPriority w:val="99"/>
    <w:pPr>
      <w:spacing w:line="360" w:lineRule="auto"/>
      <w:ind w:firstLine="420" w:firstLineChars="100"/>
      <w:jc w:val="left"/>
    </w:pPr>
    <w:rPr>
      <w:b/>
      <w:sz w:val="32"/>
    </w:rPr>
  </w:style>
  <w:style w:type="paragraph" w:styleId="24">
    <w:name w:val="Body Text First Indent 2"/>
    <w:basedOn w:val="12"/>
    <w:next w:val="23"/>
    <w:semiHidden/>
    <w:unhideWhenUsed/>
    <w:qFormat/>
    <w:uiPriority w:val="99"/>
    <w:pPr>
      <w:ind w:firstLine="420" w:firstLineChars="200"/>
    </w:pPr>
  </w:style>
  <w:style w:type="table" w:styleId="26">
    <w:name w:val="Table Grid"/>
    <w:basedOn w:val="25"/>
    <w:qFormat/>
    <w:uiPriority w:val="99"/>
    <w:pPr>
      <w:spacing w:line="300" w:lineRule="exact"/>
      <w:jc w:val="center"/>
    </w:pPr>
    <w:rPr>
      <w:rFonts w:eastAsia="仿宋_GB231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tblHeader/>
    </w:trPr>
    <w:tcPr>
      <w:vAlign w:val="center"/>
    </w:tcPr>
  </w:style>
  <w:style w:type="character" w:styleId="28">
    <w:name w:val="endnote reference"/>
    <w:basedOn w:val="27"/>
    <w:semiHidden/>
    <w:unhideWhenUsed/>
    <w:qFormat/>
    <w:uiPriority w:val="99"/>
    <w:rPr>
      <w:vertAlign w:val="superscript"/>
    </w:rPr>
  </w:style>
  <w:style w:type="character" w:styleId="29">
    <w:name w:val="page number"/>
    <w:unhideWhenUsed/>
    <w:qFormat/>
    <w:uiPriority w:val="99"/>
  </w:style>
  <w:style w:type="character" w:styleId="30">
    <w:name w:val="Hyperlink"/>
    <w:basedOn w:val="27"/>
    <w:unhideWhenUsed/>
    <w:qFormat/>
    <w:uiPriority w:val="99"/>
    <w:rPr>
      <w:color w:val="0563C1" w:themeColor="hyperlink"/>
      <w:u w:val="single"/>
      <w14:textFill>
        <w14:solidFill>
          <w14:schemeClr w14:val="hlink"/>
        </w14:solidFill>
      </w14:textFill>
    </w:rPr>
  </w:style>
  <w:style w:type="character" w:styleId="31">
    <w:name w:val="annotation reference"/>
    <w:basedOn w:val="27"/>
    <w:semiHidden/>
    <w:unhideWhenUsed/>
    <w:qFormat/>
    <w:uiPriority w:val="99"/>
    <w:rPr>
      <w:sz w:val="21"/>
      <w:szCs w:val="21"/>
    </w:rPr>
  </w:style>
  <w:style w:type="character" w:styleId="32">
    <w:name w:val="footnote reference"/>
    <w:qFormat/>
    <w:uiPriority w:val="0"/>
    <w:rPr>
      <w:vertAlign w:val="superscript"/>
    </w:rPr>
  </w:style>
  <w:style w:type="character" w:customStyle="1" w:styleId="33">
    <w:name w:val="标题 3 字符"/>
    <w:basedOn w:val="27"/>
    <w:link w:val="6"/>
    <w:qFormat/>
    <w:uiPriority w:val="2"/>
    <w:rPr>
      <w:rFonts w:eastAsia="仿宋_GB2312" w:cs="Times New Roman" w:asciiTheme="minorHAnsi" w:hAnsiTheme="minorHAnsi"/>
      <w:b/>
      <w:bCs/>
      <w:kern w:val="0"/>
      <w:sz w:val="28"/>
      <w:szCs w:val="32"/>
      <w:lang w:val="zh-CN" w:eastAsia="zh-CN"/>
    </w:rPr>
  </w:style>
  <w:style w:type="character" w:customStyle="1" w:styleId="34">
    <w:name w:val="标题 1 字符"/>
    <w:basedOn w:val="27"/>
    <w:link w:val="4"/>
    <w:qFormat/>
    <w:uiPriority w:val="0"/>
    <w:rPr>
      <w:rFonts w:ascii="Times New Roman" w:hAnsi="Times New Roman" w:eastAsia="黑体" w:cs="Times New Roman"/>
      <w:bCs/>
      <w:kern w:val="44"/>
      <w:sz w:val="32"/>
      <w:szCs w:val="44"/>
      <w:lang w:val="zh-CN" w:eastAsia="zh-CN"/>
    </w:rPr>
  </w:style>
  <w:style w:type="character" w:customStyle="1" w:styleId="35">
    <w:name w:val="标题 2 字符"/>
    <w:basedOn w:val="27"/>
    <w:link w:val="5"/>
    <w:qFormat/>
    <w:uiPriority w:val="1"/>
    <w:rPr>
      <w:rFonts w:eastAsia="仿宋_GB2312" w:asciiTheme="minorHAnsi" w:hAnsiTheme="minorHAnsi" w:cstheme="majorBidi"/>
      <w:b/>
      <w:bCs/>
      <w:kern w:val="0"/>
      <w:sz w:val="28"/>
      <w:szCs w:val="32"/>
      <w:lang w:val="zh-CN" w:eastAsia="zh-CN"/>
    </w:rPr>
  </w:style>
  <w:style w:type="character" w:customStyle="1" w:styleId="36">
    <w:name w:val="标题 4 字符"/>
    <w:basedOn w:val="27"/>
    <w:link w:val="7"/>
    <w:qFormat/>
    <w:uiPriority w:val="3"/>
    <w:rPr>
      <w:rFonts w:ascii="Times New Roman" w:hAnsi="Times New Roman" w:eastAsia="仿宋_GB2312" w:cstheme="majorBidi"/>
      <w:b/>
      <w:bCs/>
      <w:kern w:val="0"/>
      <w:sz w:val="28"/>
      <w:szCs w:val="28"/>
      <w:lang w:val="zh-CN" w:eastAsia="zh-CN"/>
    </w:rPr>
  </w:style>
  <w:style w:type="character" w:customStyle="1" w:styleId="37">
    <w:name w:val="标题 5 字符"/>
    <w:basedOn w:val="27"/>
    <w:link w:val="9"/>
    <w:qFormat/>
    <w:uiPriority w:val="9"/>
    <w:rPr>
      <w:rFonts w:ascii="Times New Roman" w:hAnsi="Times New Roman" w:eastAsia="仿宋_GB2312" w:cs="Times New Roman"/>
      <w:b/>
      <w:bCs/>
      <w:kern w:val="0"/>
      <w:sz w:val="28"/>
      <w:szCs w:val="28"/>
      <w:lang w:val="zh-CN" w:eastAsia="zh-CN"/>
    </w:rPr>
  </w:style>
  <w:style w:type="paragraph" w:customStyle="1" w:styleId="38">
    <w:name w:val="TOC 标题1"/>
    <w:basedOn w:val="4"/>
    <w:next w:val="1"/>
    <w:unhideWhenUsed/>
    <w:qFormat/>
    <w:uiPriority w:val="39"/>
    <w:pPr>
      <w:widowControl/>
      <w:numPr>
        <w:numId w:val="0"/>
      </w:numPr>
      <w:spacing w:before="240" w:after="0" w:line="259" w:lineRule="auto"/>
      <w:outlineLvl w:val="9"/>
    </w:pPr>
    <w:rPr>
      <w:rFonts w:asciiTheme="majorHAnsi" w:hAnsiTheme="majorHAnsi" w:eastAsiaTheme="majorEastAsia" w:cstheme="majorBidi"/>
      <w:b/>
      <w:bCs w:val="0"/>
      <w:color w:val="2F5597" w:themeColor="accent1" w:themeShade="BF"/>
      <w:kern w:val="0"/>
      <w:szCs w:val="32"/>
    </w:rPr>
  </w:style>
  <w:style w:type="character" w:customStyle="1" w:styleId="39">
    <w:name w:val="批注框文本 字符"/>
    <w:basedOn w:val="27"/>
    <w:link w:val="15"/>
    <w:semiHidden/>
    <w:qFormat/>
    <w:uiPriority w:val="99"/>
    <w:rPr>
      <w:sz w:val="18"/>
      <w:szCs w:val="18"/>
    </w:rPr>
  </w:style>
  <w:style w:type="character" w:customStyle="1" w:styleId="40">
    <w:name w:val="页脚 字符"/>
    <w:basedOn w:val="27"/>
    <w:link w:val="16"/>
    <w:qFormat/>
    <w:uiPriority w:val="99"/>
    <w:rPr>
      <w:rFonts w:ascii="Calibri" w:hAnsi="Calibri" w:eastAsia="宋体" w:cs="Times New Roman"/>
      <w:sz w:val="18"/>
      <w:szCs w:val="18"/>
    </w:rPr>
  </w:style>
  <w:style w:type="paragraph" w:customStyle="1" w:styleId="41">
    <w:name w:val="闻政封面标题"/>
    <w:basedOn w:val="1"/>
    <w:next w:val="42"/>
    <w:qFormat/>
    <w:uiPriority w:val="0"/>
    <w:pPr>
      <w:spacing w:before="480" w:after="360"/>
      <w:jc w:val="center"/>
    </w:pPr>
    <w:rPr>
      <w:rFonts w:ascii="Times New Roman" w:hAnsi="Times New Roman" w:eastAsia="黑体" w:cs="Times New Roman"/>
      <w:b/>
      <w:snapToGrid w:val="0"/>
      <w:sz w:val="32"/>
      <w:szCs w:val="24"/>
    </w:rPr>
  </w:style>
  <w:style w:type="paragraph" w:customStyle="1" w:styleId="42">
    <w:name w:val="闻政封面项目信息"/>
    <w:basedOn w:val="1"/>
    <w:next w:val="43"/>
    <w:qFormat/>
    <w:uiPriority w:val="0"/>
    <w:pPr>
      <w:spacing w:before="120"/>
      <w:ind w:left="800" w:leftChars="800"/>
      <w:jc w:val="left"/>
    </w:pPr>
    <w:rPr>
      <w:rFonts w:ascii="Times New Roman" w:hAnsi="Times New Roman" w:eastAsia="黑体" w:cs="Times New Roman"/>
      <w:kern w:val="0"/>
      <w:sz w:val="28"/>
      <w:szCs w:val="28"/>
      <w:lang w:val="zh-CN"/>
    </w:rPr>
  </w:style>
  <w:style w:type="paragraph" w:customStyle="1" w:styleId="43">
    <w:name w:val="闻政封面完成时间"/>
    <w:basedOn w:val="42"/>
    <w:qFormat/>
    <w:uiPriority w:val="0"/>
    <w:pPr>
      <w:ind w:left="0" w:leftChars="0"/>
      <w:jc w:val="center"/>
    </w:pPr>
    <w:rPr>
      <w:b/>
    </w:rPr>
  </w:style>
  <w:style w:type="paragraph" w:customStyle="1" w:styleId="44">
    <w:name w:val="闻政页码"/>
    <w:qFormat/>
    <w:uiPriority w:val="6"/>
    <w:pPr>
      <w:jc w:val="center"/>
    </w:pPr>
    <w:rPr>
      <w:rFonts w:ascii="Times New Roman" w:hAnsi="Times New Roman" w:eastAsia="Times New Roman" w:cs="Times New Roman"/>
      <w:sz w:val="21"/>
      <w:szCs w:val="28"/>
      <w:lang w:val="en-US" w:eastAsia="zh-CN" w:bidi="ar-SA"/>
    </w:rPr>
  </w:style>
  <w:style w:type="character" w:customStyle="1" w:styleId="45">
    <w:name w:val="闻政正文 Char"/>
    <w:link w:val="8"/>
    <w:qFormat/>
    <w:uiPriority w:val="3"/>
    <w:rPr>
      <w:rFonts w:ascii="Times New Roman" w:hAnsi="Times New Roman" w:eastAsia="仿宋_GB2312" w:cs="Times New Roman"/>
      <w:kern w:val="0"/>
      <w:sz w:val="28"/>
      <w:szCs w:val="28"/>
      <w:lang w:val="zh-CN" w:eastAsia="zh-CN"/>
    </w:rPr>
  </w:style>
  <w:style w:type="paragraph" w:customStyle="1" w:styleId="46">
    <w:name w:val="闻政摘要标题"/>
    <w:basedOn w:val="1"/>
    <w:qFormat/>
    <w:uiPriority w:val="2"/>
    <w:pPr>
      <w:spacing w:before="480" w:after="360"/>
      <w:jc w:val="center"/>
      <w:outlineLvl w:val="0"/>
    </w:pPr>
    <w:rPr>
      <w:rFonts w:ascii="Times New Roman" w:hAnsi="Times New Roman" w:eastAsia="黑体" w:cs="Times New Roman"/>
      <w:b/>
      <w:snapToGrid w:val="0"/>
      <w:sz w:val="32"/>
      <w:szCs w:val="24"/>
    </w:rPr>
  </w:style>
  <w:style w:type="paragraph" w:customStyle="1" w:styleId="47">
    <w:name w:val="闻政图（表）注"/>
    <w:basedOn w:val="1"/>
    <w:link w:val="48"/>
    <w:qFormat/>
    <w:uiPriority w:val="5"/>
    <w:pPr>
      <w:spacing w:before="120"/>
    </w:pPr>
    <w:rPr>
      <w:rFonts w:ascii="Times New Roman" w:hAnsi="Times New Roman" w:eastAsia="仿宋_GB2312" w:cs="Arial"/>
      <w:kern w:val="0"/>
    </w:rPr>
  </w:style>
  <w:style w:type="character" w:customStyle="1" w:styleId="48">
    <w:name w:val="闻政图（表）注 Char"/>
    <w:link w:val="47"/>
    <w:qFormat/>
    <w:uiPriority w:val="5"/>
    <w:rPr>
      <w:rFonts w:ascii="Times New Roman" w:hAnsi="Times New Roman" w:eastAsia="仿宋_GB2312" w:cs="Arial"/>
      <w:kern w:val="0"/>
    </w:rPr>
  </w:style>
  <w:style w:type="paragraph" w:customStyle="1" w:styleId="49">
    <w:name w:val="闻政图表名"/>
    <w:basedOn w:val="1"/>
    <w:link w:val="50"/>
    <w:qFormat/>
    <w:uiPriority w:val="4"/>
    <w:pPr>
      <w:spacing w:before="60" w:after="60"/>
      <w:jc w:val="center"/>
    </w:pPr>
    <w:rPr>
      <w:rFonts w:ascii="Times New Roman" w:hAnsi="Times New Roman" w:eastAsia="仿宋_GB2312" w:cs="Times New Roman"/>
      <w:b/>
      <w:kern w:val="0"/>
      <w:sz w:val="24"/>
      <w:szCs w:val="28"/>
    </w:rPr>
  </w:style>
  <w:style w:type="character" w:customStyle="1" w:styleId="50">
    <w:name w:val="闻政图表名 字符"/>
    <w:link w:val="49"/>
    <w:qFormat/>
    <w:uiPriority w:val="4"/>
    <w:rPr>
      <w:rFonts w:ascii="Times New Roman" w:hAnsi="Times New Roman" w:eastAsia="仿宋_GB2312" w:cs="Times New Roman"/>
      <w:b/>
      <w:kern w:val="0"/>
      <w:sz w:val="24"/>
      <w:szCs w:val="28"/>
    </w:rPr>
  </w:style>
  <w:style w:type="paragraph" w:customStyle="1" w:styleId="51">
    <w:name w:val="闻政备注类"/>
    <w:basedOn w:val="8"/>
    <w:qFormat/>
    <w:uiPriority w:val="5"/>
    <w:pPr>
      <w:spacing w:line="240" w:lineRule="auto"/>
      <w:jc w:val="left"/>
    </w:pPr>
    <w:rPr>
      <w:rFonts w:cs="宋体"/>
      <w:sz w:val="21"/>
    </w:rPr>
  </w:style>
  <w:style w:type="paragraph" w:customStyle="1" w:styleId="52">
    <w:name w:val="闻政附件标题"/>
    <w:basedOn w:val="8"/>
    <w:qFormat/>
    <w:uiPriority w:val="6"/>
    <w:pPr>
      <w:numPr>
        <w:ilvl w:val="5"/>
        <w:numId w:val="1"/>
      </w:numPr>
      <w:spacing w:before="120" w:after="60" w:line="240" w:lineRule="auto"/>
      <w:ind w:firstLineChars="0"/>
      <w:outlineLvl w:val="0"/>
    </w:pPr>
    <w:rPr>
      <w:rFonts w:eastAsia="黑体"/>
      <w:b/>
      <w:sz w:val="32"/>
    </w:rPr>
  </w:style>
  <w:style w:type="paragraph" w:customStyle="1" w:styleId="53">
    <w:name w:val="闻政附件正文"/>
    <w:basedOn w:val="8"/>
    <w:qFormat/>
    <w:uiPriority w:val="6"/>
    <w:rPr>
      <w:sz w:val="24"/>
    </w:rPr>
  </w:style>
  <w:style w:type="paragraph" w:customStyle="1" w:styleId="54">
    <w:name w:val="闻政附件报告名"/>
    <w:basedOn w:val="8"/>
    <w:qFormat/>
    <w:uiPriority w:val="9"/>
    <w:pPr>
      <w:spacing w:before="120" w:after="60"/>
      <w:ind w:firstLine="0" w:firstLineChars="0"/>
      <w:jc w:val="center"/>
    </w:pPr>
    <w:rPr>
      <w:b/>
    </w:rPr>
  </w:style>
  <w:style w:type="paragraph" w:customStyle="1" w:styleId="55">
    <w:name w:val="闻政附件一级标题"/>
    <w:basedOn w:val="54"/>
    <w:next w:val="53"/>
    <w:qFormat/>
    <w:uiPriority w:val="6"/>
    <w:pPr>
      <w:ind w:firstLine="200" w:firstLineChars="200"/>
      <w:jc w:val="left"/>
    </w:pPr>
    <w:rPr>
      <w:rFonts w:cs="宋体"/>
    </w:rPr>
  </w:style>
  <w:style w:type="paragraph" w:customStyle="1" w:styleId="56">
    <w:name w:val="闻政附件二级标题"/>
    <w:basedOn w:val="55"/>
    <w:qFormat/>
    <w:uiPriority w:val="8"/>
    <w:rPr>
      <w:rFonts w:ascii="宋体" w:hAnsi="宋体" w:eastAsia="宋体"/>
    </w:rPr>
  </w:style>
  <w:style w:type="paragraph" w:customStyle="1" w:styleId="57">
    <w:name w:val="闻政附件三级标题"/>
    <w:basedOn w:val="56"/>
    <w:qFormat/>
    <w:uiPriority w:val="8"/>
    <w:rPr>
      <w:rFonts w:ascii="Times New Roman" w:hAnsi="Times New Roman" w:eastAsia="仿宋_GB2312"/>
    </w:rPr>
  </w:style>
  <w:style w:type="paragraph" w:customStyle="1" w:styleId="58">
    <w:name w:val="闻政附件四级标题"/>
    <w:basedOn w:val="57"/>
    <w:qFormat/>
    <w:uiPriority w:val="9"/>
    <w:pPr>
      <w:spacing w:before="0" w:after="0"/>
    </w:pPr>
  </w:style>
  <w:style w:type="character" w:customStyle="1" w:styleId="59">
    <w:name w:val="脚注文本 字符"/>
    <w:basedOn w:val="27"/>
    <w:link w:val="19"/>
    <w:qFormat/>
    <w:uiPriority w:val="0"/>
    <w:rPr>
      <w:rFonts w:ascii="Times New Roman" w:hAnsi="Times New Roman" w:eastAsia="仿宋_GB2312"/>
      <w:sz w:val="18"/>
      <w:szCs w:val="18"/>
    </w:rPr>
  </w:style>
  <w:style w:type="paragraph" w:customStyle="1" w:styleId="60">
    <w:name w:val="闻政脚注"/>
    <w:basedOn w:val="8"/>
    <w:link w:val="89"/>
    <w:qFormat/>
    <w:uiPriority w:val="9"/>
    <w:pPr>
      <w:spacing w:line="400" w:lineRule="exact"/>
      <w:ind w:firstLine="0" w:firstLineChars="0"/>
    </w:pPr>
    <w:rPr>
      <w:sz w:val="18"/>
    </w:rPr>
  </w:style>
  <w:style w:type="paragraph" w:customStyle="1" w:styleId="61">
    <w:name w:val="闻政目录标题"/>
    <w:basedOn w:val="41"/>
    <w:qFormat/>
    <w:uiPriority w:val="1"/>
  </w:style>
  <w:style w:type="character" w:customStyle="1" w:styleId="62">
    <w:name w:val="页眉 字符"/>
    <w:basedOn w:val="27"/>
    <w:link w:val="17"/>
    <w:qFormat/>
    <w:uiPriority w:val="99"/>
    <w:rPr>
      <w:sz w:val="18"/>
      <w:szCs w:val="18"/>
    </w:rPr>
  </w:style>
  <w:style w:type="table" w:customStyle="1" w:styleId="63">
    <w:name w:val="网格型浅色1"/>
    <w:basedOn w:val="25"/>
    <w:qFormat/>
    <w:uiPriority w:val="40"/>
    <w:tblPr>
      <w:tblBorders>
        <w:top w:val="single" w:color="80C588" w:themeColor="background1" w:themeShade="BF" w:sz="4" w:space="0"/>
        <w:left w:val="single" w:color="80C588" w:themeColor="background1" w:themeShade="BF" w:sz="4" w:space="0"/>
        <w:bottom w:val="single" w:color="80C588" w:themeColor="background1" w:themeShade="BF" w:sz="4" w:space="0"/>
        <w:right w:val="single" w:color="80C588" w:themeColor="background1" w:themeShade="BF" w:sz="4" w:space="0"/>
        <w:insideH w:val="single" w:color="80C588" w:themeColor="background1" w:themeShade="BF" w:sz="4" w:space="0"/>
        <w:insideV w:val="single" w:color="80C588" w:themeColor="background1" w:themeShade="BF" w:sz="4" w:space="0"/>
      </w:tblBorders>
    </w:tblPr>
  </w:style>
  <w:style w:type="table" w:customStyle="1" w:styleId="64">
    <w:name w:val="无格式表格 11"/>
    <w:basedOn w:val="25"/>
    <w:qFormat/>
    <w:uiPriority w:val="41"/>
    <w:tblPr>
      <w:tblBorders>
        <w:top w:val="single" w:color="80C588" w:themeColor="background1" w:themeShade="BF" w:sz="4" w:space="0"/>
        <w:left w:val="single" w:color="80C588" w:themeColor="background1" w:themeShade="BF" w:sz="4" w:space="0"/>
        <w:bottom w:val="single" w:color="80C588" w:themeColor="background1" w:themeShade="BF" w:sz="4" w:space="0"/>
        <w:right w:val="single" w:color="80C588" w:themeColor="background1" w:themeShade="BF" w:sz="4" w:space="0"/>
        <w:insideH w:val="single" w:color="80C588" w:themeColor="background1" w:themeShade="BF" w:sz="4" w:space="0"/>
        <w:insideV w:val="single" w:color="80C588" w:themeColor="background1" w:themeShade="BF" w:sz="4" w:space="0"/>
      </w:tblBorders>
    </w:tblPr>
    <w:tblStylePr w:type="firstRow">
      <w:rPr>
        <w:b/>
        <w:bCs/>
      </w:rPr>
    </w:tblStylePr>
    <w:tblStylePr w:type="lastRow">
      <w:rPr>
        <w:b/>
        <w:bCs/>
      </w:rPr>
      <w:tcPr>
        <w:tcBorders>
          <w:top w:val="double" w:color="80C588" w:themeColor="background1" w:themeShade="BF" w:sz="4" w:space="0"/>
        </w:tcBorders>
      </w:tcPr>
    </w:tblStylePr>
    <w:tblStylePr w:type="firstCol">
      <w:rPr>
        <w:b/>
        <w:bCs/>
      </w:rPr>
    </w:tblStylePr>
    <w:tblStylePr w:type="lastCol">
      <w:rPr>
        <w:b/>
        <w:bCs/>
      </w:rPr>
    </w:tblStylePr>
    <w:tblStylePr w:type="band1Vert">
      <w:tcPr>
        <w:shd w:val="clear" w:color="auto" w:fill="BCE1C0" w:themeFill="background1" w:themeFillShade="F2"/>
      </w:tcPr>
    </w:tblStylePr>
    <w:tblStylePr w:type="band1Horz">
      <w:tcPr>
        <w:shd w:val="clear" w:color="auto" w:fill="BCE1C0" w:themeFill="background1" w:themeFillShade="F2"/>
      </w:tcPr>
    </w:tblStylePr>
  </w:style>
  <w:style w:type="paragraph" w:customStyle="1" w:styleId="65">
    <w:name w:val="闻政表文字"/>
    <w:basedOn w:val="8"/>
    <w:link w:val="66"/>
    <w:qFormat/>
    <w:uiPriority w:val="5"/>
    <w:pPr>
      <w:widowControl/>
      <w:spacing w:line="320" w:lineRule="exact"/>
      <w:ind w:firstLine="0" w:firstLineChars="0"/>
      <w:jc w:val="center"/>
    </w:pPr>
    <w:rPr>
      <w:rFonts w:cs="宋体"/>
      <w:bCs/>
      <w:color w:val="000000"/>
      <w:sz w:val="22"/>
      <w:szCs w:val="22"/>
    </w:rPr>
  </w:style>
  <w:style w:type="character" w:customStyle="1" w:styleId="66">
    <w:name w:val="闻政表文字 字符"/>
    <w:basedOn w:val="45"/>
    <w:link w:val="65"/>
    <w:qFormat/>
    <w:uiPriority w:val="5"/>
    <w:rPr>
      <w:rFonts w:ascii="Times New Roman" w:hAnsi="Times New Roman" w:eastAsia="仿宋_GB2312" w:cs="宋体"/>
      <w:bCs/>
      <w:color w:val="000000"/>
      <w:kern w:val="0"/>
      <w:sz w:val="22"/>
      <w:szCs w:val="22"/>
      <w:lang w:val="zh-CN" w:eastAsia="zh-CN"/>
    </w:rPr>
  </w:style>
  <w:style w:type="character" w:customStyle="1" w:styleId="67">
    <w:name w:val="批注文字 字符"/>
    <w:basedOn w:val="27"/>
    <w:link w:val="11"/>
    <w:qFormat/>
    <w:uiPriority w:val="99"/>
  </w:style>
  <w:style w:type="character" w:customStyle="1" w:styleId="68">
    <w:name w:val="批注主题 字符"/>
    <w:basedOn w:val="67"/>
    <w:link w:val="22"/>
    <w:semiHidden/>
    <w:qFormat/>
    <w:uiPriority w:val="99"/>
    <w:rPr>
      <w:b/>
      <w:bCs/>
    </w:rPr>
  </w:style>
  <w:style w:type="paragraph" w:customStyle="1" w:styleId="69">
    <w:name w:val="p0"/>
    <w:basedOn w:val="1"/>
    <w:qFormat/>
    <w:uiPriority w:val="0"/>
    <w:rPr>
      <w:rFonts w:ascii="Calibri" w:hAnsi="Calibri"/>
    </w:rPr>
  </w:style>
  <w:style w:type="paragraph" w:customStyle="1" w:styleId="70">
    <w:name w:val="报告正文"/>
    <w:basedOn w:val="1"/>
    <w:qFormat/>
    <w:uiPriority w:val="0"/>
    <w:rPr>
      <w:rFonts w:ascii="Times New Roman" w:hAnsi="Times New Roman"/>
    </w:rPr>
  </w:style>
  <w:style w:type="character" w:customStyle="1" w:styleId="71">
    <w:name w:val="font41"/>
    <w:qFormat/>
    <w:uiPriority w:val="0"/>
    <w:rPr>
      <w:rFonts w:hint="eastAsia" w:ascii="仿宋_GB2312" w:eastAsia="仿宋_GB2312" w:cs="仿宋_GB2312"/>
      <w:color w:val="000000"/>
      <w:sz w:val="22"/>
      <w:szCs w:val="22"/>
      <w:u w:val="none"/>
    </w:rPr>
  </w:style>
  <w:style w:type="paragraph" w:customStyle="1" w:styleId="72">
    <w:name w:val="正文格式"/>
    <w:basedOn w:val="1"/>
    <w:qFormat/>
    <w:uiPriority w:val="0"/>
    <w:pPr>
      <w:spacing w:line="264" w:lineRule="auto"/>
      <w:ind w:firstLine="200" w:firstLineChars="200"/>
    </w:pPr>
    <w:rPr>
      <w:rFonts w:ascii="Times New Roman" w:hAnsi="Times New Roman" w:eastAsia="宋体"/>
      <w:sz w:val="22"/>
      <w:szCs w:val="28"/>
    </w:rPr>
  </w:style>
  <w:style w:type="character" w:customStyle="1" w:styleId="73">
    <w:name w:val="font31"/>
    <w:basedOn w:val="27"/>
    <w:qFormat/>
    <w:uiPriority w:val="0"/>
    <w:rPr>
      <w:rFonts w:ascii="仿宋_GB2312" w:eastAsia="仿宋_GB2312" w:cs="仿宋_GB2312"/>
      <w:b/>
      <w:bCs/>
      <w:color w:val="000000"/>
      <w:sz w:val="22"/>
      <w:szCs w:val="22"/>
      <w:u w:val="none"/>
    </w:rPr>
  </w:style>
  <w:style w:type="character" w:customStyle="1" w:styleId="74">
    <w:name w:val="font11"/>
    <w:basedOn w:val="27"/>
    <w:qFormat/>
    <w:uiPriority w:val="0"/>
    <w:rPr>
      <w:rFonts w:hint="eastAsia" w:ascii="仿宋_GB2312" w:eastAsia="仿宋_GB2312" w:cs="仿宋_GB2312"/>
      <w:color w:val="000000"/>
      <w:sz w:val="22"/>
      <w:szCs w:val="22"/>
      <w:u w:val="none"/>
    </w:rPr>
  </w:style>
  <w:style w:type="character" w:customStyle="1" w:styleId="75">
    <w:name w:val="font51"/>
    <w:basedOn w:val="27"/>
    <w:qFormat/>
    <w:uiPriority w:val="0"/>
    <w:rPr>
      <w:rFonts w:hint="default" w:ascii="Times New Roman" w:hAnsi="Times New Roman" w:cs="Times New Roman"/>
      <w:color w:val="000000"/>
      <w:sz w:val="22"/>
      <w:szCs w:val="22"/>
      <w:u w:val="none"/>
    </w:rPr>
  </w:style>
  <w:style w:type="character" w:customStyle="1" w:styleId="76">
    <w:name w:val="font81"/>
    <w:basedOn w:val="27"/>
    <w:qFormat/>
    <w:uiPriority w:val="0"/>
    <w:rPr>
      <w:rFonts w:ascii="仿宋_GB2312" w:eastAsia="仿宋_GB2312" w:cs="仿宋_GB2312"/>
      <w:b/>
      <w:bCs/>
      <w:color w:val="000000"/>
      <w:sz w:val="22"/>
      <w:szCs w:val="22"/>
      <w:u w:val="none"/>
    </w:rPr>
  </w:style>
  <w:style w:type="character" w:customStyle="1" w:styleId="77">
    <w:name w:val="font91"/>
    <w:basedOn w:val="27"/>
    <w:qFormat/>
    <w:uiPriority w:val="0"/>
    <w:rPr>
      <w:rFonts w:hint="eastAsia" w:ascii="仿宋_GB2312" w:eastAsia="仿宋_GB2312" w:cs="仿宋_GB2312"/>
      <w:b/>
      <w:bCs/>
      <w:color w:val="000000"/>
      <w:sz w:val="22"/>
      <w:szCs w:val="22"/>
      <w:u w:val="none"/>
    </w:rPr>
  </w:style>
  <w:style w:type="character" w:customStyle="1" w:styleId="78">
    <w:name w:val="font101"/>
    <w:basedOn w:val="27"/>
    <w:qFormat/>
    <w:uiPriority w:val="0"/>
    <w:rPr>
      <w:rFonts w:hint="eastAsia" w:ascii="仿宋_GB2312" w:eastAsia="仿宋_GB2312" w:cs="仿宋_GB2312"/>
      <w:color w:val="000000"/>
      <w:sz w:val="22"/>
      <w:szCs w:val="22"/>
      <w:u w:val="none"/>
    </w:rPr>
  </w:style>
  <w:style w:type="character" w:customStyle="1" w:styleId="79">
    <w:name w:val="font112"/>
    <w:basedOn w:val="27"/>
    <w:qFormat/>
    <w:uiPriority w:val="0"/>
    <w:rPr>
      <w:rFonts w:hint="eastAsia" w:ascii="仿宋_GB2312" w:eastAsia="仿宋_GB2312" w:cs="仿宋_GB2312"/>
      <w:color w:val="000000"/>
      <w:sz w:val="22"/>
      <w:szCs w:val="22"/>
      <w:u w:val="none"/>
    </w:rPr>
  </w:style>
  <w:style w:type="character" w:customStyle="1" w:styleId="80">
    <w:name w:val="font21"/>
    <w:basedOn w:val="27"/>
    <w:qFormat/>
    <w:uiPriority w:val="0"/>
    <w:rPr>
      <w:rFonts w:ascii="仿宋_GB2312" w:eastAsia="仿宋_GB2312" w:cs="仿宋_GB2312"/>
      <w:b/>
      <w:bCs/>
      <w:color w:val="000000"/>
      <w:sz w:val="22"/>
      <w:szCs w:val="22"/>
      <w:u w:val="none"/>
    </w:rPr>
  </w:style>
  <w:style w:type="character" w:customStyle="1" w:styleId="81">
    <w:name w:val="font01"/>
    <w:basedOn w:val="27"/>
    <w:qFormat/>
    <w:uiPriority w:val="0"/>
    <w:rPr>
      <w:rFonts w:ascii="仿宋_GB2312" w:eastAsia="仿宋_GB2312" w:cs="仿宋_GB2312"/>
      <w:b/>
      <w:bCs/>
      <w:color w:val="000000"/>
      <w:sz w:val="22"/>
      <w:szCs w:val="22"/>
      <w:u w:val="none"/>
    </w:rPr>
  </w:style>
  <w:style w:type="paragraph" w:customStyle="1" w:styleId="82">
    <w:name w:val="六级标题"/>
    <w:basedOn w:val="83"/>
    <w:next w:val="72"/>
    <w:qFormat/>
    <w:uiPriority w:val="0"/>
    <w:pPr>
      <w:spacing w:before="50" w:after="50"/>
      <w:outlineLvl w:val="5"/>
    </w:pPr>
    <w:rPr>
      <w:rFonts w:hAnsi="Times New Roman"/>
    </w:rPr>
  </w:style>
  <w:style w:type="paragraph" w:customStyle="1" w:styleId="83">
    <w:name w:val="五级标题"/>
    <w:basedOn w:val="84"/>
    <w:next w:val="72"/>
    <w:qFormat/>
    <w:uiPriority w:val="0"/>
    <w:pPr>
      <w:numPr>
        <w:ilvl w:val="4"/>
      </w:numPr>
      <w:outlineLvl w:val="4"/>
    </w:pPr>
    <w:rPr>
      <w:rFonts w:hAnsi="宋体"/>
    </w:rPr>
  </w:style>
  <w:style w:type="paragraph" w:customStyle="1" w:styleId="84">
    <w:name w:val="四级标题"/>
    <w:basedOn w:val="85"/>
    <w:next w:val="72"/>
    <w:qFormat/>
    <w:uiPriority w:val="0"/>
    <w:pPr>
      <w:numPr>
        <w:ilvl w:val="3"/>
      </w:numPr>
      <w:outlineLvl w:val="3"/>
    </w:pPr>
    <w:rPr>
      <w:sz w:val="22"/>
    </w:rPr>
  </w:style>
  <w:style w:type="paragraph" w:customStyle="1" w:styleId="85">
    <w:name w:val="三级标题"/>
    <w:basedOn w:val="86"/>
    <w:next w:val="72"/>
    <w:qFormat/>
    <w:uiPriority w:val="0"/>
    <w:pPr>
      <w:numPr>
        <w:ilvl w:val="2"/>
      </w:numPr>
      <w:outlineLvl w:val="2"/>
    </w:pPr>
    <w:rPr>
      <w:lang w:val="zh-CN"/>
    </w:rPr>
  </w:style>
  <w:style w:type="paragraph" w:customStyle="1" w:styleId="86">
    <w:name w:val="二级标题"/>
    <w:basedOn w:val="87"/>
    <w:next w:val="72"/>
    <w:qFormat/>
    <w:uiPriority w:val="0"/>
    <w:pPr>
      <w:numPr>
        <w:ilvl w:val="1"/>
      </w:numPr>
      <w:spacing w:before="156" w:after="156"/>
      <w:jc w:val="left"/>
      <w:outlineLvl w:val="1"/>
    </w:pPr>
  </w:style>
  <w:style w:type="paragraph" w:customStyle="1" w:styleId="87">
    <w:name w:val="一级标题"/>
    <w:basedOn w:val="72"/>
    <w:next w:val="72"/>
    <w:qFormat/>
    <w:uiPriority w:val="0"/>
    <w:pPr>
      <w:numPr>
        <w:ilvl w:val="0"/>
        <w:numId w:val="2"/>
      </w:numPr>
      <w:spacing w:before="50" w:beforeLines="50" w:after="50" w:afterLines="50" w:line="240" w:lineRule="auto"/>
      <w:ind w:firstLineChars="0"/>
      <w:jc w:val="center"/>
      <w:outlineLvl w:val="0"/>
    </w:pPr>
    <w:rPr>
      <w:rFonts w:cs="Times New Roman"/>
      <w:b/>
      <w:sz w:val="24"/>
    </w:rPr>
  </w:style>
  <w:style w:type="character" w:customStyle="1" w:styleId="88">
    <w:name w:val="font61"/>
    <w:basedOn w:val="27"/>
    <w:qFormat/>
    <w:uiPriority w:val="0"/>
    <w:rPr>
      <w:rFonts w:hint="eastAsia" w:ascii="仿宋_GB2312" w:eastAsia="仿宋_GB2312" w:cs="仿宋_GB2312"/>
      <w:color w:val="000000"/>
      <w:sz w:val="22"/>
      <w:szCs w:val="22"/>
      <w:u w:val="none"/>
    </w:rPr>
  </w:style>
  <w:style w:type="character" w:customStyle="1" w:styleId="89">
    <w:name w:val="闻政脚注 Char"/>
    <w:link w:val="60"/>
    <w:qFormat/>
    <w:uiPriority w:val="9"/>
    <w:rPr>
      <w:sz w:val="18"/>
    </w:rPr>
  </w:style>
  <w:style w:type="paragraph" w:customStyle="1" w:styleId="90">
    <w:name w:val="修订1"/>
    <w:hidden/>
    <w:unhideWhenUsed/>
    <w:qFormat/>
    <w:uiPriority w:val="99"/>
    <w:rPr>
      <w:rFonts w:asciiTheme="minorHAnsi" w:hAnsiTheme="minorHAnsi" w:eastAsiaTheme="minorEastAsia" w:cstheme="minorBidi"/>
      <w:kern w:val="2"/>
      <w:sz w:val="21"/>
      <w:szCs w:val="21"/>
      <w:lang w:val="en-US" w:eastAsia="zh-CN" w:bidi="ar-SA"/>
    </w:rPr>
  </w:style>
  <w:style w:type="character" w:customStyle="1" w:styleId="91">
    <w:name w:val="尾注文本 字符"/>
    <w:basedOn w:val="27"/>
    <w:link w:val="14"/>
    <w:semiHidden/>
    <w:qFormat/>
    <w:uiPriority w:val="99"/>
    <w:rPr>
      <w:rFonts w:asciiTheme="minorHAnsi" w:hAnsiTheme="minorHAnsi" w:eastAsiaTheme="minorEastAsia" w:cstheme="minorBidi"/>
      <w:kern w:val="2"/>
      <w:sz w:val="21"/>
      <w:szCs w:val="21"/>
    </w:rPr>
  </w:style>
  <w:style w:type="paragraph" w:customStyle="1" w:styleId="92">
    <w:name w:val="修订2"/>
    <w:hidden/>
    <w:unhideWhenUsed/>
    <w:qFormat/>
    <w:uiPriority w:val="99"/>
    <w:rPr>
      <w:rFonts w:asciiTheme="minorHAnsi" w:hAnsiTheme="minorHAnsi" w:eastAsiaTheme="minorEastAsia" w:cstheme="minorBidi"/>
      <w:kern w:val="2"/>
      <w:sz w:val="21"/>
      <w:szCs w:val="21"/>
      <w:lang w:val="en-US" w:eastAsia="zh-CN" w:bidi="ar-SA"/>
    </w:rPr>
  </w:style>
  <w:style w:type="paragraph" w:customStyle="1" w:styleId="93">
    <w:name w:val="Revision"/>
    <w:hidden/>
    <w:semiHidden/>
    <w:qFormat/>
    <w:uiPriority w:val="99"/>
    <w:rPr>
      <w:rFonts w:asciiTheme="minorHAnsi" w:hAnsiTheme="minorHAnsi" w:eastAsiaTheme="minorEastAsia" w:cstheme="minorBidi"/>
      <w:kern w:val="2"/>
      <w:sz w:val="21"/>
      <w:szCs w:val="21"/>
      <w:lang w:val="en-US" w:eastAsia="zh-CN" w:bidi="ar-SA"/>
    </w:rPr>
  </w:style>
  <w:style w:type="paragraph" w:customStyle="1" w:styleId="94">
    <w:name w:val="列出段落1"/>
    <w:basedOn w:val="1"/>
    <w:qFormat/>
    <w:uiPriority w:val="99"/>
    <w:pPr>
      <w:ind w:firstLine="420"/>
    </w:pPr>
    <w:rPr>
      <w:rFonts w:ascii="Calibri" w:hAnsi="Calibri" w:cs="黑体"/>
    </w:rPr>
  </w:style>
  <w:style w:type="paragraph" w:customStyle="1" w:styleId="95">
    <w:name w:val="目录 61"/>
    <w:next w:val="1"/>
    <w:qFormat/>
    <w:uiPriority w:val="0"/>
    <w:pPr>
      <w:wordWrap w:val="0"/>
      <w:ind w:left="2125"/>
      <w:jc w:val="both"/>
    </w:pPr>
    <w:rPr>
      <w:rFonts w:ascii="Calibri" w:hAnsi="Calibri"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chart" Target="charts/chart1.xml"/><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65614\Documents\Tencent%20Files\656147200\FileRecv\MobileFile\04-&#38395;&#25919;-&#26684;&#24335;&#27169;&#26495;-20190219-&#26356;&#26032;-v3.dotm"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800" b="1" i="0" u="none" strike="noStrike" kern="1200" baseline="0">
                <a:solidFill>
                  <a:schemeClr val="dk1">
                    <a:lumMod val="75000"/>
                    <a:lumOff val="25000"/>
                  </a:schemeClr>
                </a:solidFill>
                <a:latin typeface="+mn-lt"/>
                <a:ea typeface="+mn-ea"/>
                <a:cs typeface="+mn-cs"/>
              </a:defRPr>
            </a:pPr>
            <a:r>
              <a:t>各区县已喷码统计图</a:t>
            </a:r>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已喷码数量</c:v>
                </c:pt>
              </c:strCache>
            </c:strRef>
          </c:tx>
          <c:spPr>
            <a:solidFill>
              <a:schemeClr val="accent2"/>
            </a:solidFill>
            <a:ln w="9525" cap="flat" cmpd="sng" algn="ctr">
              <a:solidFill>
                <a:schemeClr val="lt1">
                  <a:alpha val="50000"/>
                </a:schemeClr>
              </a:solidFill>
              <a:round/>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ysClr val="windowText" lastClr="000000"/>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Sheet1!$A$2:$A$12</c:f>
              <c:strCache>
                <c:ptCount val="11"/>
                <c:pt idx="0">
                  <c:v>郓城县</c:v>
                </c:pt>
                <c:pt idx="1">
                  <c:v>曹县</c:v>
                </c:pt>
                <c:pt idx="2">
                  <c:v>牡丹区</c:v>
                </c:pt>
                <c:pt idx="3">
                  <c:v>东明县</c:v>
                </c:pt>
                <c:pt idx="4">
                  <c:v>定陶区</c:v>
                </c:pt>
                <c:pt idx="5">
                  <c:v>鄄城县</c:v>
                </c:pt>
                <c:pt idx="6">
                  <c:v>经济开发区</c:v>
                </c:pt>
                <c:pt idx="7">
                  <c:v>单县</c:v>
                </c:pt>
                <c:pt idx="8">
                  <c:v>巨野县</c:v>
                </c:pt>
                <c:pt idx="9">
                  <c:v>成武县</c:v>
                </c:pt>
                <c:pt idx="10">
                  <c:v>高新技术产业开发区</c:v>
                </c:pt>
              </c:strCache>
            </c:strRef>
          </c:cat>
          <c:val>
            <c:numRef>
              <c:f>Sheet1!$B$2:$B$12</c:f>
              <c:numCache>
                <c:formatCode>General</c:formatCode>
                <c:ptCount val="11"/>
                <c:pt idx="0">
                  <c:v>2002</c:v>
                </c:pt>
                <c:pt idx="1">
                  <c:v>1988</c:v>
                </c:pt>
                <c:pt idx="2">
                  <c:v>1185</c:v>
                </c:pt>
                <c:pt idx="3">
                  <c:v>798</c:v>
                </c:pt>
                <c:pt idx="4">
                  <c:v>749</c:v>
                </c:pt>
                <c:pt idx="5">
                  <c:v>591</c:v>
                </c:pt>
                <c:pt idx="6">
                  <c:v>546</c:v>
                </c:pt>
                <c:pt idx="7">
                  <c:v>411</c:v>
                </c:pt>
                <c:pt idx="8">
                  <c:v>317</c:v>
                </c:pt>
                <c:pt idx="9">
                  <c:v>287</c:v>
                </c:pt>
                <c:pt idx="10">
                  <c:v>264</c:v>
                </c:pt>
              </c:numCache>
            </c:numRef>
          </c:val>
        </c:ser>
        <c:dLbls>
          <c:showLegendKey val="0"/>
          <c:showVal val="1"/>
          <c:showCatName val="0"/>
          <c:showSerName val="0"/>
          <c:showPercent val="0"/>
          <c:showBubbleSize val="0"/>
        </c:dLbls>
        <c:gapWidth val="65"/>
        <c:overlap val="0"/>
        <c:axId val="224256254"/>
        <c:axId val="539669826"/>
      </c:barChart>
      <c:catAx>
        <c:axId val="224256254"/>
        <c:scaling>
          <c:orientation val="minMax"/>
        </c:scaling>
        <c:delete val="0"/>
        <c:axPos val="b"/>
        <c:numFmt formatCode="General" sourceLinked="0"/>
        <c:majorTickMark val="none"/>
        <c:minorTickMark val="none"/>
        <c:tickLblPos val="nextTo"/>
        <c:spPr>
          <a:noFill/>
          <a:ln w="19050" cap="flat" cmpd="sng" algn="ctr">
            <a:solidFill>
              <a:schemeClr val="dk1">
                <a:lumMod val="75000"/>
                <a:lumOff val="25000"/>
              </a:schemeClr>
            </a:solidFill>
            <a:round/>
          </a:ln>
          <a:effectLst/>
        </c:spPr>
        <c:txPr>
          <a:bodyPr rot="-60000000" spcFirstLastPara="0" vertOverflow="ellipsis" vert="horz" wrap="square" anchor="ctr" anchorCtr="1"/>
          <a:lstStyle/>
          <a:p>
            <a:pPr>
              <a:defRPr lang="zh-CN" sz="900" b="0" i="0" u="none" strike="noStrike" kern="1200" cap="all" baseline="0">
                <a:solidFill>
                  <a:schemeClr val="dk1">
                    <a:lumMod val="75000"/>
                    <a:lumOff val="25000"/>
                  </a:schemeClr>
                </a:solidFill>
                <a:latin typeface="+mn-lt"/>
                <a:ea typeface="+mn-ea"/>
                <a:cs typeface="+mn-cs"/>
              </a:defRPr>
            </a:pPr>
          </a:p>
        </c:txPr>
        <c:crossAx val="539669826"/>
        <c:crosses val="autoZero"/>
        <c:auto val="1"/>
        <c:lblAlgn val="ctr"/>
        <c:lblOffset val="100"/>
        <c:noMultiLvlLbl val="0"/>
      </c:catAx>
      <c:valAx>
        <c:axId val="53966982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txPr>
          <a:bodyPr rot="-6000000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crossAx val="224256254"/>
        <c:crosses val="autoZero"/>
        <c:crossBetween val="between"/>
      </c:valAx>
      <c:spPr>
        <a:noFill/>
        <a:ln>
          <a:noFill/>
        </a:ln>
        <a:effectLst/>
      </c:spPr>
    </c:plotArea>
    <c:legend>
      <c:legendPos val="b"/>
      <c:layout/>
      <c:overlay val="0"/>
      <c:spPr>
        <a:solidFill>
          <a:schemeClr val="lt1">
            <a:lumMod val="95000"/>
            <a:alpha val="39000"/>
          </a:schemeClr>
        </a:solidFill>
        <a:ln>
          <a:noFill/>
        </a:ln>
        <a:effectLst/>
      </c:spPr>
      <c:txPr>
        <a:bodyPr rot="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F2FF8C-C958-461E-82C3-6D57C4E01190}">
  <ds:schemaRefs/>
</ds:datastoreItem>
</file>

<file path=docProps/app.xml><?xml version="1.0" encoding="utf-8"?>
<Properties xmlns="http://schemas.openxmlformats.org/officeDocument/2006/extended-properties" xmlns:vt="http://schemas.openxmlformats.org/officeDocument/2006/docPropsVTypes">
  <Template>04-闻政-格式模板-20190219-更新-v3.dotm</Template>
  <Pages>17</Pages>
  <Words>5935</Words>
  <Characters>6370</Characters>
  <Lines>293</Lines>
  <Paragraphs>82</Paragraphs>
  <TotalTime>0</TotalTime>
  <ScaleCrop>false</ScaleCrop>
  <LinksUpToDate>false</LinksUpToDate>
  <CharactersWithSpaces>6427</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2021-06-17T05:24:00Z</dcterms:created>
  <dc:creator>ps</dc:creator>
  <cp:lastModifiedBy>TiAmo</cp:lastModifiedBy>
  <cp:lastPrinted>2022-07-01T03:17:00Z</cp:lastPrinted>
  <dcterms:modified xsi:type="dcterms:W3CDTF">2022-12-14T03:15:20Z</dcterms:modified>
  <cp:revision>182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AC9E018DA68C4D72B8D5B2B13EFAD2E7</vt:lpwstr>
  </property>
</Properties>
</file>