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2C" w:rsidRDefault="009D6D2C">
      <w:pPr>
        <w:rPr>
          <w:rFonts w:cs="Times New Roman"/>
          <w:szCs w:val="32"/>
        </w:rPr>
      </w:pPr>
    </w:p>
    <w:p w:rsidR="009D6D2C" w:rsidRDefault="009D6D2C">
      <w:pPr>
        <w:rPr>
          <w:rFonts w:cs="Times New Roman"/>
          <w:szCs w:val="32"/>
        </w:rPr>
      </w:pPr>
    </w:p>
    <w:p w:rsidR="009D6D2C" w:rsidRDefault="009D6D2C">
      <w:pPr>
        <w:rPr>
          <w:rFonts w:cs="Times New Roman"/>
          <w:szCs w:val="32"/>
        </w:rPr>
      </w:pPr>
    </w:p>
    <w:p w:rsidR="009D6D2C" w:rsidRDefault="009D6D2C">
      <w:pPr>
        <w:rPr>
          <w:rFonts w:cs="Times New Roman"/>
          <w:szCs w:val="32"/>
        </w:rPr>
      </w:pPr>
    </w:p>
    <w:p w:rsidR="009D6D2C" w:rsidRDefault="009D6D2C">
      <w:pPr>
        <w:rPr>
          <w:rFonts w:cs="Times New Roman"/>
          <w:szCs w:val="32"/>
        </w:rPr>
      </w:pPr>
    </w:p>
    <w:p w:rsidR="009D6D2C" w:rsidRDefault="009D6D2C">
      <w:pPr>
        <w:rPr>
          <w:rFonts w:cs="Times New Roman"/>
          <w:szCs w:val="32"/>
        </w:rPr>
      </w:pPr>
    </w:p>
    <w:p w:rsidR="009D6D2C" w:rsidRDefault="009D6D2C">
      <w:pPr>
        <w:rPr>
          <w:rFonts w:cs="Times New Roman"/>
          <w:szCs w:val="32"/>
        </w:rPr>
      </w:pPr>
    </w:p>
    <w:p w:rsidR="009D6D2C" w:rsidRDefault="00122BAD">
      <w:pPr>
        <w:jc w:val="center"/>
        <w:rPr>
          <w:rFonts w:cs="Times New Roman"/>
          <w:szCs w:val="32"/>
        </w:rPr>
      </w:pPr>
      <w:r>
        <w:rPr>
          <w:rFonts w:cs="Times New Roman"/>
          <w:szCs w:val="32"/>
        </w:rPr>
        <w:t>菏定</w:t>
      </w:r>
      <w:r>
        <w:rPr>
          <w:rFonts w:cs="Times New Roman" w:hint="eastAsia"/>
          <w:szCs w:val="32"/>
        </w:rPr>
        <w:t>政</w:t>
      </w:r>
      <w:r>
        <w:rPr>
          <w:rFonts w:cs="Times New Roman" w:hint="eastAsia"/>
        </w:rPr>
        <w:t>办字</w:t>
      </w:r>
      <w:r>
        <w:rPr>
          <w:rFonts w:cs="Times New Roman"/>
          <w:szCs w:val="32"/>
        </w:rPr>
        <w:t>〔</w:t>
      </w:r>
      <w:r>
        <w:rPr>
          <w:rFonts w:cs="Times New Roman"/>
          <w:szCs w:val="32"/>
        </w:rPr>
        <w:t>20</w:t>
      </w:r>
      <w:r>
        <w:rPr>
          <w:rFonts w:cs="Times New Roman" w:hint="eastAsia"/>
          <w:szCs w:val="32"/>
        </w:rPr>
        <w:t>23</w:t>
      </w:r>
      <w:r>
        <w:rPr>
          <w:rFonts w:cs="Times New Roman"/>
          <w:szCs w:val="32"/>
        </w:rPr>
        <w:t>〕</w:t>
      </w:r>
      <w:r w:rsidR="005E27C9">
        <w:rPr>
          <w:rFonts w:cs="Times New Roman" w:hint="eastAsia"/>
          <w:szCs w:val="32"/>
        </w:rPr>
        <w:t>1</w:t>
      </w:r>
      <w:r>
        <w:rPr>
          <w:rFonts w:cs="Times New Roman"/>
          <w:szCs w:val="32"/>
        </w:rPr>
        <w:t>号</w:t>
      </w:r>
    </w:p>
    <w:p w:rsidR="009D6D2C" w:rsidRDefault="009D6D2C">
      <w:pPr>
        <w:jc w:val="center"/>
        <w:rPr>
          <w:rFonts w:cs="Times New Roman"/>
          <w:szCs w:val="32"/>
        </w:rPr>
      </w:pPr>
    </w:p>
    <w:p w:rsidR="009D6D2C" w:rsidRDefault="009D6D2C">
      <w:pPr>
        <w:jc w:val="center"/>
        <w:rPr>
          <w:rFonts w:cs="Times New Roman"/>
          <w:szCs w:val="32"/>
        </w:rPr>
      </w:pPr>
    </w:p>
    <w:p w:rsidR="009D6D2C" w:rsidRDefault="00122BAD">
      <w:pPr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菏泽市定陶区人民政府办公室</w:t>
      </w:r>
    </w:p>
    <w:p w:rsidR="009D6D2C" w:rsidRDefault="00122BAD">
      <w:pPr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关于印发菏泽市定陶区土地储备三年</w:t>
      </w:r>
    </w:p>
    <w:p w:rsidR="009D6D2C" w:rsidRDefault="00122BAD">
      <w:pPr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（2023—2025）滚动计划和2023年度土地</w:t>
      </w:r>
    </w:p>
    <w:p w:rsidR="009D6D2C" w:rsidRDefault="00122BAD">
      <w:pPr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储备计划的通知</w:t>
      </w:r>
    </w:p>
    <w:p w:rsidR="009D6D2C" w:rsidRDefault="009D6D2C">
      <w:pPr>
        <w:rPr>
          <w:rFonts w:eastAsia="仿宋" w:cs="Times New Roman"/>
          <w:szCs w:val="32"/>
        </w:rPr>
      </w:pPr>
    </w:p>
    <w:p w:rsidR="009D6D2C" w:rsidRDefault="00122BAD">
      <w:pPr>
        <w:rPr>
          <w:rFonts w:cs="Times New Roman"/>
          <w:szCs w:val="32"/>
        </w:rPr>
      </w:pPr>
      <w:r>
        <w:rPr>
          <w:rFonts w:cs="Times New Roman"/>
          <w:szCs w:val="32"/>
        </w:rPr>
        <w:t>各镇人民政府、街道办事处，区政府有关部门：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cs="Times New Roman"/>
          <w:szCs w:val="32"/>
        </w:rPr>
        <w:t>《菏泽市定陶区土地储备三年（</w:t>
      </w:r>
      <w:r>
        <w:rPr>
          <w:rFonts w:cs="Times New Roman"/>
          <w:szCs w:val="32"/>
        </w:rPr>
        <w:t>2023—2025</w:t>
      </w:r>
      <w:r>
        <w:rPr>
          <w:rFonts w:cs="Times New Roman"/>
          <w:szCs w:val="32"/>
        </w:rPr>
        <w:t>）滚动计划和</w:t>
      </w:r>
      <w:r>
        <w:rPr>
          <w:rFonts w:cs="Times New Roman"/>
          <w:szCs w:val="32"/>
        </w:rPr>
        <w:t>2023</w:t>
      </w:r>
      <w:r>
        <w:rPr>
          <w:rFonts w:cs="Times New Roman"/>
          <w:szCs w:val="32"/>
        </w:rPr>
        <w:t>年度土地储备计划》已经区政府同意，现印发给你们，请结合实际，认真贯彻</w:t>
      </w:r>
      <w:r>
        <w:rPr>
          <w:rFonts w:cs="Times New Roman" w:hint="eastAsia"/>
          <w:szCs w:val="32"/>
        </w:rPr>
        <w:t>执行</w:t>
      </w:r>
      <w:r>
        <w:rPr>
          <w:rFonts w:cs="Times New Roman"/>
          <w:szCs w:val="32"/>
        </w:rPr>
        <w:t>。</w:t>
      </w:r>
    </w:p>
    <w:p w:rsidR="009D6D2C" w:rsidRDefault="00122BAD">
      <w:pPr>
        <w:wordWrap w:val="0"/>
        <w:jc w:val="right"/>
        <w:rPr>
          <w:rFonts w:cs="Times New Roman"/>
          <w:szCs w:val="32"/>
        </w:rPr>
      </w:pPr>
      <w:r>
        <w:rPr>
          <w:rFonts w:cs="Times New Roman"/>
          <w:szCs w:val="32"/>
        </w:rPr>
        <w:t xml:space="preserve">菏泽市定陶区人民政府办公室　</w:t>
      </w:r>
    </w:p>
    <w:p w:rsidR="009D6D2C" w:rsidRDefault="00122BAD">
      <w:pPr>
        <w:wordWrap w:val="0"/>
        <w:jc w:val="right"/>
        <w:rPr>
          <w:rFonts w:cs="Times New Roman"/>
          <w:szCs w:val="32"/>
        </w:rPr>
      </w:pPr>
      <w:r>
        <w:rPr>
          <w:rFonts w:cs="Times New Roman"/>
          <w:szCs w:val="32"/>
        </w:rPr>
        <w:t>20</w:t>
      </w:r>
      <w:r>
        <w:rPr>
          <w:rFonts w:cs="Times New Roman" w:hint="eastAsia"/>
          <w:szCs w:val="32"/>
        </w:rPr>
        <w:t>23</w:t>
      </w:r>
      <w:r>
        <w:rPr>
          <w:rFonts w:cs="Times New Roman"/>
          <w:szCs w:val="32"/>
        </w:rPr>
        <w:t>年</w:t>
      </w:r>
      <w:r>
        <w:rPr>
          <w:rFonts w:cs="Times New Roman" w:hint="eastAsia"/>
          <w:szCs w:val="32"/>
        </w:rPr>
        <w:t>1</w:t>
      </w:r>
      <w:r>
        <w:rPr>
          <w:rFonts w:cs="Times New Roman"/>
          <w:szCs w:val="32"/>
        </w:rPr>
        <w:t>月</w:t>
      </w:r>
      <w:r w:rsidR="005E27C9">
        <w:rPr>
          <w:rFonts w:cs="Times New Roman" w:hint="eastAsia"/>
          <w:szCs w:val="32"/>
        </w:rPr>
        <w:t>13</w:t>
      </w:r>
      <w:r>
        <w:rPr>
          <w:rFonts w:cs="Times New Roman"/>
          <w:szCs w:val="32"/>
        </w:rPr>
        <w:t xml:space="preserve">日　　　　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（此件公开发布）</w:t>
      </w:r>
    </w:p>
    <w:p w:rsidR="009D6D2C" w:rsidRDefault="009D6D2C">
      <w:pPr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9D6D2C" w:rsidRDefault="00122BAD">
      <w:pPr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菏泽市定陶区土地储备三年（2023—2025）</w:t>
      </w:r>
    </w:p>
    <w:p w:rsidR="009D6D2C" w:rsidRDefault="00122BAD">
      <w:pPr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滚动计划和2023年度土地储备计划</w:t>
      </w:r>
    </w:p>
    <w:p w:rsidR="009D6D2C" w:rsidRDefault="009D6D2C">
      <w:pPr>
        <w:rPr>
          <w:rFonts w:cs="Times New Roman"/>
          <w:szCs w:val="32"/>
        </w:rPr>
      </w:pP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cs="Times New Roman"/>
          <w:szCs w:val="32"/>
        </w:rPr>
        <w:t>为切实贯彻中央精神落实，推进土地收储制度改革，更好地实施城市总体规划和国土空间规划，进一步增强政府对建设用地市场的宏观调控和保障能力，促进土地资源的高效配置和合理利用、土地节约集约利用，提高建设用地保障水平，切实发挥土地调控作用，根据《国土资源部、财政部、中国人民银行、中国银行业监督管理委员会关于印发〈土地储备管理办法〉的通知》（国土资规〔</w:t>
      </w:r>
      <w:r>
        <w:rPr>
          <w:rFonts w:cs="Times New Roman"/>
          <w:szCs w:val="32"/>
        </w:rPr>
        <w:t>2017</w:t>
      </w:r>
      <w:r>
        <w:rPr>
          <w:rFonts w:cs="Times New Roman"/>
          <w:szCs w:val="32"/>
        </w:rPr>
        <w:t>〕</w:t>
      </w:r>
      <w:r>
        <w:rPr>
          <w:rFonts w:cs="Times New Roman"/>
          <w:szCs w:val="32"/>
        </w:rPr>
        <w:t>17</w:t>
      </w:r>
      <w:r>
        <w:rPr>
          <w:rFonts w:cs="Times New Roman"/>
          <w:szCs w:val="32"/>
        </w:rPr>
        <w:t>号）、《财政部、国土资源部关于印发土地储备资金财务管理办法的通知》（财综〔</w:t>
      </w:r>
      <w:r>
        <w:rPr>
          <w:rFonts w:cs="Times New Roman"/>
          <w:szCs w:val="32"/>
        </w:rPr>
        <w:t>2018</w:t>
      </w:r>
      <w:r>
        <w:rPr>
          <w:rFonts w:cs="Times New Roman"/>
          <w:szCs w:val="32"/>
        </w:rPr>
        <w:t>〕</w:t>
      </w:r>
      <w:r>
        <w:rPr>
          <w:rFonts w:cs="Times New Roman"/>
          <w:szCs w:val="32"/>
        </w:rPr>
        <w:t>8</w:t>
      </w:r>
      <w:r>
        <w:rPr>
          <w:rFonts w:cs="Times New Roman"/>
          <w:szCs w:val="32"/>
        </w:rPr>
        <w:t>号）等有关规定，特制定菏泽市定陶区土地储备三年（</w:t>
      </w:r>
      <w:r>
        <w:rPr>
          <w:rFonts w:cs="Times New Roman"/>
          <w:szCs w:val="32"/>
        </w:rPr>
        <w:t>2023—2025</w:t>
      </w:r>
      <w:r>
        <w:rPr>
          <w:rFonts w:cs="Times New Roman"/>
          <w:szCs w:val="32"/>
        </w:rPr>
        <w:t>）滚动计划和</w:t>
      </w:r>
      <w:r>
        <w:rPr>
          <w:rFonts w:cs="Times New Roman"/>
          <w:szCs w:val="32"/>
        </w:rPr>
        <w:t>2023</w:t>
      </w:r>
      <w:r>
        <w:rPr>
          <w:rFonts w:cs="Times New Roman"/>
          <w:szCs w:val="32"/>
        </w:rPr>
        <w:t>年度土地储备计划。</w:t>
      </w:r>
    </w:p>
    <w:p w:rsidR="009D6D2C" w:rsidRDefault="00122BAD">
      <w:pPr>
        <w:ind w:firstLineChars="202" w:firstLine="638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一、指导思想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cs="Times New Roman"/>
          <w:szCs w:val="32"/>
        </w:rPr>
        <w:t>以习近平新时代中国特色社会主义思想为指导，深入贯彻二十大精神，全面落实中央政治局会议提出</w:t>
      </w:r>
      <w:r>
        <w:rPr>
          <w:rFonts w:cs="Times New Roman"/>
          <w:szCs w:val="32"/>
        </w:rPr>
        <w:t>“</w:t>
      </w:r>
      <w:r>
        <w:rPr>
          <w:rFonts w:cs="Times New Roman"/>
          <w:szCs w:val="32"/>
        </w:rPr>
        <w:t>支持商品房市场更好满足购房者的合理住房需求，促进房地产业健康发展和良性循环</w:t>
      </w:r>
      <w:r>
        <w:rPr>
          <w:rFonts w:cs="Times New Roman"/>
          <w:szCs w:val="32"/>
        </w:rPr>
        <w:t>”</w:t>
      </w:r>
      <w:r>
        <w:rPr>
          <w:rFonts w:cs="Times New Roman"/>
          <w:szCs w:val="32"/>
        </w:rPr>
        <w:t>安排部署，立足新发展阶段、贯彻新发展理念、融入新发展格局，严格执行土地储备计划管理，促进土地要素有序流动，提高土地要素配置效率，为菏泽市定陶区</w:t>
      </w:r>
      <w:r>
        <w:rPr>
          <w:rFonts w:cs="Times New Roman"/>
          <w:szCs w:val="32"/>
        </w:rPr>
        <w:t>“</w:t>
      </w:r>
      <w:r>
        <w:rPr>
          <w:rFonts w:cs="Times New Roman"/>
          <w:szCs w:val="32"/>
        </w:rPr>
        <w:t>十四五</w:t>
      </w:r>
      <w:r>
        <w:rPr>
          <w:rFonts w:cs="Times New Roman"/>
          <w:szCs w:val="32"/>
        </w:rPr>
        <w:t>”</w:t>
      </w:r>
      <w:r>
        <w:rPr>
          <w:rFonts w:cs="Times New Roman"/>
          <w:szCs w:val="32"/>
        </w:rPr>
        <w:t>经济高质量发展提供土地要素保障。</w:t>
      </w:r>
    </w:p>
    <w:p w:rsidR="009D6D2C" w:rsidRDefault="00122BAD">
      <w:pPr>
        <w:ind w:firstLineChars="202" w:firstLine="638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/>
          <w:szCs w:val="32"/>
        </w:rPr>
        <w:lastRenderedPageBreak/>
        <w:t>二、编制期限及范围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（一）编制期限。</w:t>
      </w:r>
      <w:r>
        <w:rPr>
          <w:rFonts w:cs="Times New Roman"/>
          <w:szCs w:val="32"/>
        </w:rPr>
        <w:t>三年滚动计划为法定土地储备计划内容之一，菏泽市定陶区土地储备三年（</w:t>
      </w:r>
      <w:r>
        <w:rPr>
          <w:rFonts w:cs="Times New Roman"/>
          <w:szCs w:val="32"/>
        </w:rPr>
        <w:t>2023—2025</w:t>
      </w:r>
      <w:r>
        <w:rPr>
          <w:rFonts w:cs="Times New Roman"/>
          <w:szCs w:val="32"/>
        </w:rPr>
        <w:t>）滚动计划编制期限为</w:t>
      </w:r>
      <w:r>
        <w:rPr>
          <w:rFonts w:cs="Times New Roman"/>
          <w:szCs w:val="32"/>
        </w:rPr>
        <w:t>2023</w:t>
      </w:r>
      <w:r>
        <w:rPr>
          <w:rFonts w:cs="Times New Roman"/>
          <w:szCs w:val="32"/>
        </w:rPr>
        <w:t>年</w:t>
      </w:r>
      <w:r>
        <w:rPr>
          <w:rFonts w:cs="Times New Roman"/>
          <w:szCs w:val="32"/>
        </w:rPr>
        <w:t>1</w:t>
      </w:r>
      <w:r>
        <w:rPr>
          <w:rFonts w:cs="Times New Roman"/>
          <w:szCs w:val="32"/>
        </w:rPr>
        <w:t>月</w:t>
      </w:r>
      <w:r>
        <w:rPr>
          <w:rFonts w:cs="Times New Roman"/>
          <w:szCs w:val="32"/>
        </w:rPr>
        <w:t>1</w:t>
      </w:r>
      <w:r>
        <w:rPr>
          <w:rFonts w:cs="Times New Roman"/>
          <w:szCs w:val="32"/>
        </w:rPr>
        <w:t>日至</w:t>
      </w:r>
      <w:r>
        <w:rPr>
          <w:rFonts w:cs="Times New Roman"/>
          <w:szCs w:val="32"/>
        </w:rPr>
        <w:t>2025</w:t>
      </w:r>
      <w:r>
        <w:rPr>
          <w:rFonts w:cs="Times New Roman"/>
          <w:szCs w:val="32"/>
        </w:rPr>
        <w:t>年</w:t>
      </w:r>
      <w:r>
        <w:rPr>
          <w:rFonts w:cs="Times New Roman"/>
          <w:szCs w:val="32"/>
        </w:rPr>
        <w:t>12</w:t>
      </w:r>
      <w:r>
        <w:rPr>
          <w:rFonts w:cs="Times New Roman"/>
          <w:szCs w:val="32"/>
        </w:rPr>
        <w:t>月</w:t>
      </w:r>
      <w:r>
        <w:rPr>
          <w:rFonts w:cs="Times New Roman"/>
          <w:szCs w:val="32"/>
        </w:rPr>
        <w:t>31</w:t>
      </w:r>
      <w:r>
        <w:rPr>
          <w:rFonts w:cs="Times New Roman"/>
          <w:szCs w:val="32"/>
        </w:rPr>
        <w:t>日。菏泽市定陶区</w:t>
      </w:r>
      <w:r>
        <w:rPr>
          <w:rFonts w:cs="Times New Roman"/>
          <w:szCs w:val="32"/>
        </w:rPr>
        <w:t>2023</w:t>
      </w:r>
      <w:r>
        <w:rPr>
          <w:rFonts w:cs="Times New Roman"/>
          <w:szCs w:val="32"/>
        </w:rPr>
        <w:t>年度土地储备计划编制期限为</w:t>
      </w:r>
      <w:r>
        <w:rPr>
          <w:rFonts w:cs="Times New Roman"/>
          <w:szCs w:val="32"/>
        </w:rPr>
        <w:t>2023</w:t>
      </w:r>
      <w:r>
        <w:rPr>
          <w:rFonts w:cs="Times New Roman"/>
          <w:szCs w:val="32"/>
        </w:rPr>
        <w:t>年</w:t>
      </w:r>
      <w:r>
        <w:rPr>
          <w:rFonts w:cs="Times New Roman"/>
          <w:szCs w:val="32"/>
        </w:rPr>
        <w:t>1</w:t>
      </w:r>
      <w:r>
        <w:rPr>
          <w:rFonts w:cs="Times New Roman"/>
          <w:szCs w:val="32"/>
        </w:rPr>
        <w:t>月</w:t>
      </w:r>
      <w:r>
        <w:rPr>
          <w:rFonts w:cs="Times New Roman"/>
          <w:szCs w:val="32"/>
        </w:rPr>
        <w:t>1</w:t>
      </w:r>
      <w:r>
        <w:rPr>
          <w:rFonts w:cs="Times New Roman"/>
          <w:szCs w:val="32"/>
        </w:rPr>
        <w:t>日至</w:t>
      </w:r>
      <w:r>
        <w:rPr>
          <w:rFonts w:cs="Times New Roman"/>
          <w:szCs w:val="32"/>
        </w:rPr>
        <w:t>12</w:t>
      </w:r>
      <w:r>
        <w:rPr>
          <w:rFonts w:cs="Times New Roman"/>
          <w:szCs w:val="32"/>
        </w:rPr>
        <w:t>月</w:t>
      </w:r>
      <w:r>
        <w:rPr>
          <w:rFonts w:cs="Times New Roman"/>
          <w:szCs w:val="32"/>
        </w:rPr>
        <w:t>31</w:t>
      </w:r>
      <w:r>
        <w:rPr>
          <w:rFonts w:cs="Times New Roman"/>
          <w:szCs w:val="32"/>
        </w:rPr>
        <w:t>日。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ascii="楷体_GB2312" w:eastAsia="楷体_GB2312" w:hAnsi="楷体_GB2312" w:cs="楷体_GB2312"/>
          <w:szCs w:val="32"/>
        </w:rPr>
        <w:t>（二）编制范围。</w:t>
      </w:r>
      <w:r>
        <w:rPr>
          <w:rFonts w:cs="Times New Roman"/>
          <w:szCs w:val="32"/>
        </w:rPr>
        <w:t>包括老城区、新城区、汽车小镇、万福新城规划区、中小企业园区、科技新材料片区、润鑫工业园区。</w:t>
      </w:r>
    </w:p>
    <w:p w:rsidR="009D6D2C" w:rsidRDefault="00122BAD">
      <w:pPr>
        <w:ind w:firstLineChars="202" w:firstLine="638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/>
          <w:szCs w:val="32"/>
        </w:rPr>
        <w:t>三、编制原则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ascii="楷体_GB2312" w:eastAsia="楷体_GB2312" w:hAnsi="楷体_GB2312" w:cs="楷体_GB2312"/>
          <w:szCs w:val="32"/>
        </w:rPr>
        <w:t>（一）规划先行原则。</w:t>
      </w:r>
      <w:r>
        <w:rPr>
          <w:rFonts w:cs="Times New Roman"/>
          <w:szCs w:val="32"/>
        </w:rPr>
        <w:t>根据国民经济和社会发展计划、国土空间规划等，紧扣菏泽市定陶区</w:t>
      </w:r>
      <w:r>
        <w:rPr>
          <w:rFonts w:cs="Times New Roman"/>
          <w:szCs w:val="32"/>
        </w:rPr>
        <w:t>“</w:t>
      </w:r>
      <w:r>
        <w:rPr>
          <w:rFonts w:cs="Times New Roman"/>
          <w:szCs w:val="32"/>
        </w:rPr>
        <w:t>十四五</w:t>
      </w:r>
      <w:r>
        <w:rPr>
          <w:rFonts w:cs="Times New Roman"/>
          <w:szCs w:val="32"/>
        </w:rPr>
        <w:t>”</w:t>
      </w:r>
      <w:r>
        <w:rPr>
          <w:rFonts w:cs="Times New Roman"/>
          <w:szCs w:val="32"/>
        </w:rPr>
        <w:t>规划用地需求，综合考虑人口资源环境承载能力和土地储备开发潜力，编制定菏泽市定陶区土地储备三年（</w:t>
      </w:r>
      <w:r>
        <w:rPr>
          <w:rFonts w:cs="Times New Roman"/>
          <w:szCs w:val="32"/>
        </w:rPr>
        <w:t>2023—2025</w:t>
      </w:r>
      <w:r>
        <w:rPr>
          <w:rFonts w:cs="Times New Roman"/>
          <w:szCs w:val="32"/>
        </w:rPr>
        <w:t>）滚动计划和</w:t>
      </w:r>
      <w:r>
        <w:rPr>
          <w:rFonts w:cs="Times New Roman"/>
          <w:szCs w:val="32"/>
        </w:rPr>
        <w:t>2023</w:t>
      </w:r>
      <w:r>
        <w:rPr>
          <w:rFonts w:cs="Times New Roman"/>
          <w:szCs w:val="32"/>
        </w:rPr>
        <w:t>年度土地储备计划，合理确定未来三年土地储备规模，保障土地储备供需总量动态平衡，保障土地市场平稳健康发展。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ascii="楷体_GB2312" w:eastAsia="楷体_GB2312" w:hAnsi="楷体_GB2312" w:cs="楷体_GB2312"/>
          <w:szCs w:val="32"/>
        </w:rPr>
        <w:t>（二）项目优先原则。</w:t>
      </w:r>
      <w:r>
        <w:rPr>
          <w:rFonts w:cs="Times New Roman"/>
          <w:szCs w:val="32"/>
        </w:rPr>
        <w:t>坚持</w:t>
      </w:r>
      <w:r>
        <w:rPr>
          <w:rFonts w:cs="Times New Roman"/>
          <w:szCs w:val="32"/>
        </w:rPr>
        <w:t>“</w:t>
      </w:r>
      <w:r>
        <w:rPr>
          <w:rFonts w:cs="Times New Roman"/>
          <w:szCs w:val="32"/>
        </w:rPr>
        <w:t>土地要素跟着项目走</w:t>
      </w:r>
      <w:r>
        <w:rPr>
          <w:rFonts w:cs="Times New Roman"/>
          <w:szCs w:val="32"/>
        </w:rPr>
        <w:t>”</w:t>
      </w:r>
      <w:r>
        <w:rPr>
          <w:rFonts w:cs="Times New Roman"/>
          <w:szCs w:val="32"/>
        </w:rPr>
        <w:t>，以有效的项目投资作为配置土地要素的依据，结合定菏泽市定陶区建设大市新区、产业园区集聚发展、补齐基础设施短板等发展方向，加强用地计划指标统筹，优先向产业链项目和投资强度大、亩均产出高的园区倾斜，优先保障重点项目用地。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ascii="楷体_GB2312" w:eastAsia="楷体_GB2312" w:hAnsi="楷体_GB2312" w:cs="楷体_GB2312"/>
          <w:szCs w:val="32"/>
        </w:rPr>
        <w:t>（三）节约集约原则。</w:t>
      </w:r>
      <w:r>
        <w:rPr>
          <w:rFonts w:cs="Times New Roman"/>
          <w:szCs w:val="32"/>
        </w:rPr>
        <w:t>纳入储备的土地必须符合规划、计划，既要重点盘活存量，又要兼顾增量土地的收储。做好盘活存量土地文章，加大对批而未供、供而未用、闲置土地和低效利用土地</w:t>
      </w:r>
      <w:r>
        <w:rPr>
          <w:rFonts w:cs="Times New Roman"/>
          <w:szCs w:val="32"/>
        </w:rPr>
        <w:lastRenderedPageBreak/>
        <w:t>的处置力度，优化收储土地结构，切实提高土地利用率。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ascii="楷体_GB2312" w:eastAsia="楷体_GB2312" w:hAnsi="楷体_GB2312" w:cs="楷体_GB2312"/>
          <w:szCs w:val="32"/>
        </w:rPr>
        <w:t>（四）以供定储原则。</w:t>
      </w:r>
      <w:r>
        <w:rPr>
          <w:rFonts w:cs="Times New Roman"/>
          <w:szCs w:val="32"/>
        </w:rPr>
        <w:t>保障土地市场的有效供给与调控，重点围绕产业、民生、基础设施等重大项目用地，紧盯市场需求为导向，合理优化收储经营性用地，以实现土地有效供应为目标，保持适度弹性，以</w:t>
      </w:r>
      <w:r>
        <w:rPr>
          <w:rFonts w:cs="Times New Roman"/>
          <w:szCs w:val="32"/>
        </w:rPr>
        <w:t>“</w:t>
      </w:r>
      <w:r>
        <w:rPr>
          <w:rFonts w:cs="Times New Roman"/>
          <w:szCs w:val="32"/>
        </w:rPr>
        <w:t>供</w:t>
      </w:r>
      <w:r>
        <w:rPr>
          <w:rFonts w:cs="Times New Roman"/>
          <w:szCs w:val="32"/>
        </w:rPr>
        <w:t>”</w:t>
      </w:r>
      <w:r>
        <w:rPr>
          <w:rFonts w:cs="Times New Roman"/>
          <w:szCs w:val="32"/>
        </w:rPr>
        <w:t>定</w:t>
      </w:r>
      <w:r>
        <w:rPr>
          <w:rFonts w:cs="Times New Roman"/>
          <w:szCs w:val="32"/>
        </w:rPr>
        <w:t>“</w:t>
      </w:r>
      <w:r>
        <w:rPr>
          <w:rFonts w:cs="Times New Roman"/>
          <w:szCs w:val="32"/>
        </w:rPr>
        <w:t>储</w:t>
      </w:r>
      <w:r>
        <w:rPr>
          <w:rFonts w:cs="Times New Roman"/>
          <w:szCs w:val="32"/>
        </w:rPr>
        <w:t>”</w:t>
      </w:r>
      <w:r>
        <w:rPr>
          <w:rFonts w:cs="Times New Roman"/>
          <w:szCs w:val="32"/>
        </w:rPr>
        <w:t>安排年度土地储备计划。</w:t>
      </w:r>
    </w:p>
    <w:p w:rsidR="009D6D2C" w:rsidRDefault="00122BAD">
      <w:pPr>
        <w:ind w:firstLineChars="202" w:firstLine="638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/>
          <w:szCs w:val="32"/>
        </w:rPr>
        <w:t>四、计划内容</w:t>
      </w:r>
    </w:p>
    <w:p w:rsidR="009D6D2C" w:rsidRDefault="00122BAD">
      <w:pPr>
        <w:ind w:firstLineChars="202" w:firstLine="638"/>
        <w:rPr>
          <w:rFonts w:ascii="楷体_GB2312" w:eastAsia="楷体_GB2312" w:hAnsi="楷体_GB2312" w:cs="楷体_GB2312"/>
          <w:szCs w:val="32"/>
        </w:rPr>
      </w:pPr>
      <w:r>
        <w:rPr>
          <w:rFonts w:ascii="楷体_GB2312" w:eastAsia="楷体_GB2312" w:hAnsi="楷体_GB2312" w:cs="楷体_GB2312"/>
          <w:szCs w:val="32"/>
        </w:rPr>
        <w:t>（一）土地储备三年（2023—2025）滚动计划</w:t>
      </w:r>
      <w:r>
        <w:rPr>
          <w:rFonts w:ascii="楷体_GB2312" w:eastAsia="楷体_GB2312" w:hAnsi="楷体_GB2312" w:cs="楷体_GB2312" w:hint="eastAsia"/>
          <w:szCs w:val="32"/>
        </w:rPr>
        <w:t>。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cs="Times New Roman"/>
          <w:szCs w:val="32"/>
        </w:rPr>
        <w:t>1</w:t>
      </w:r>
      <w:r>
        <w:rPr>
          <w:rFonts w:cs="Times New Roman"/>
          <w:szCs w:val="32"/>
        </w:rPr>
        <w:t>．菏泽市定陶区计划实施收储项目</w:t>
      </w:r>
      <w:r>
        <w:rPr>
          <w:rFonts w:cs="Times New Roman"/>
          <w:szCs w:val="32"/>
        </w:rPr>
        <w:t>25</w:t>
      </w:r>
      <w:r>
        <w:rPr>
          <w:rFonts w:cs="Times New Roman"/>
          <w:szCs w:val="32"/>
        </w:rPr>
        <w:t>个，总面积</w:t>
      </w:r>
      <w:r>
        <w:rPr>
          <w:rFonts w:cs="Times New Roman"/>
          <w:szCs w:val="32"/>
        </w:rPr>
        <w:t>202.891</w:t>
      </w:r>
      <w:r>
        <w:rPr>
          <w:rFonts w:cs="Times New Roman"/>
          <w:szCs w:val="32"/>
        </w:rPr>
        <w:t>公顷，收储资金总概算</w:t>
      </w:r>
      <w:r>
        <w:rPr>
          <w:rFonts w:cs="Times New Roman"/>
          <w:szCs w:val="32"/>
        </w:rPr>
        <w:t>145997.73</w:t>
      </w:r>
      <w:r>
        <w:rPr>
          <w:rFonts w:cs="Times New Roman"/>
          <w:szCs w:val="32"/>
        </w:rPr>
        <w:t>万元。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cs="Times New Roman"/>
          <w:szCs w:val="32"/>
        </w:rPr>
        <w:t>2</w:t>
      </w:r>
      <w:r>
        <w:rPr>
          <w:rFonts w:cs="Times New Roman"/>
          <w:szCs w:val="32"/>
        </w:rPr>
        <w:t>．全区计划供应项目</w:t>
      </w:r>
      <w:r>
        <w:rPr>
          <w:rFonts w:cs="Times New Roman"/>
          <w:szCs w:val="32"/>
        </w:rPr>
        <w:t>25</w:t>
      </w:r>
      <w:r>
        <w:rPr>
          <w:rFonts w:cs="Times New Roman"/>
          <w:szCs w:val="32"/>
        </w:rPr>
        <w:t>个，总面积</w:t>
      </w:r>
      <w:r>
        <w:rPr>
          <w:rFonts w:cs="Times New Roman"/>
          <w:szCs w:val="32"/>
        </w:rPr>
        <w:t>202.891</w:t>
      </w:r>
      <w:r>
        <w:rPr>
          <w:rFonts w:cs="Times New Roman"/>
          <w:szCs w:val="32"/>
        </w:rPr>
        <w:t>公顷，预计供应价款</w:t>
      </w:r>
      <w:r>
        <w:rPr>
          <w:rFonts w:cs="Times New Roman"/>
          <w:szCs w:val="32"/>
        </w:rPr>
        <w:t>233672.1</w:t>
      </w:r>
      <w:r>
        <w:rPr>
          <w:rFonts w:cs="Times New Roman"/>
          <w:szCs w:val="32"/>
        </w:rPr>
        <w:t>万元。以出让方式供应项目</w:t>
      </w:r>
      <w:r>
        <w:rPr>
          <w:rFonts w:cs="Times New Roman"/>
          <w:szCs w:val="32"/>
        </w:rPr>
        <w:t>24</w:t>
      </w:r>
      <w:r>
        <w:rPr>
          <w:rFonts w:cs="Times New Roman"/>
          <w:szCs w:val="32"/>
        </w:rPr>
        <w:t>个，面积</w:t>
      </w:r>
      <w:r>
        <w:rPr>
          <w:rFonts w:cs="Times New Roman"/>
          <w:szCs w:val="32"/>
        </w:rPr>
        <w:t>186.4365</w:t>
      </w:r>
      <w:r>
        <w:rPr>
          <w:rFonts w:cs="Times New Roman"/>
          <w:szCs w:val="32"/>
        </w:rPr>
        <w:t>公顷，预计供应价款</w:t>
      </w:r>
      <w:r>
        <w:rPr>
          <w:rFonts w:cs="Times New Roman"/>
          <w:szCs w:val="32"/>
        </w:rPr>
        <w:t>233672.1</w:t>
      </w:r>
      <w:r>
        <w:rPr>
          <w:rFonts w:cs="Times New Roman"/>
          <w:szCs w:val="32"/>
        </w:rPr>
        <w:t>万元；以划拨方式供应项目</w:t>
      </w:r>
      <w:r>
        <w:rPr>
          <w:rFonts w:cs="Times New Roman"/>
          <w:szCs w:val="32"/>
        </w:rPr>
        <w:t>1</w:t>
      </w:r>
      <w:r>
        <w:rPr>
          <w:rFonts w:cs="Times New Roman"/>
          <w:szCs w:val="32"/>
        </w:rPr>
        <w:t>个，面积</w:t>
      </w:r>
      <w:r>
        <w:rPr>
          <w:rFonts w:cs="Times New Roman"/>
          <w:szCs w:val="32"/>
        </w:rPr>
        <w:t>16.4545</w:t>
      </w:r>
      <w:r>
        <w:rPr>
          <w:rFonts w:cs="Times New Roman"/>
          <w:szCs w:val="32"/>
        </w:rPr>
        <w:t>公顷。</w:t>
      </w:r>
    </w:p>
    <w:p w:rsidR="009D6D2C" w:rsidRDefault="00122BAD">
      <w:pPr>
        <w:ind w:firstLineChars="202" w:firstLine="638"/>
        <w:rPr>
          <w:rFonts w:ascii="楷体_GB2312" w:eastAsia="楷体_GB2312" w:hAnsi="楷体_GB2312" w:cs="楷体_GB2312"/>
          <w:szCs w:val="32"/>
        </w:rPr>
      </w:pPr>
      <w:r>
        <w:rPr>
          <w:rFonts w:ascii="楷体_GB2312" w:eastAsia="楷体_GB2312" w:hAnsi="楷体_GB2312" w:cs="楷体_GB2312"/>
          <w:szCs w:val="32"/>
        </w:rPr>
        <w:t>（二）2023年度土地储备计划</w:t>
      </w:r>
      <w:r>
        <w:rPr>
          <w:rFonts w:ascii="楷体_GB2312" w:eastAsia="楷体_GB2312" w:hAnsi="楷体_GB2312" w:cs="楷体_GB2312" w:hint="eastAsia"/>
          <w:szCs w:val="32"/>
        </w:rPr>
        <w:t>。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cs="Times New Roman"/>
          <w:szCs w:val="32"/>
        </w:rPr>
        <w:t>全区计划实施收储项目</w:t>
      </w:r>
      <w:r>
        <w:rPr>
          <w:rFonts w:cs="Times New Roman"/>
          <w:szCs w:val="32"/>
        </w:rPr>
        <w:t>19</w:t>
      </w:r>
      <w:r>
        <w:rPr>
          <w:rFonts w:cs="Times New Roman"/>
          <w:szCs w:val="32"/>
        </w:rPr>
        <w:t>个，总面积</w:t>
      </w:r>
      <w:r>
        <w:rPr>
          <w:rFonts w:cs="Times New Roman"/>
          <w:szCs w:val="32"/>
        </w:rPr>
        <w:t>86.891</w:t>
      </w:r>
      <w:r>
        <w:rPr>
          <w:rFonts w:cs="Times New Roman"/>
          <w:szCs w:val="32"/>
        </w:rPr>
        <w:t>公顷，收储资金总概算</w:t>
      </w:r>
      <w:r>
        <w:rPr>
          <w:rFonts w:cs="Times New Roman"/>
          <w:szCs w:val="32"/>
        </w:rPr>
        <w:t>93797.73</w:t>
      </w:r>
      <w:r>
        <w:rPr>
          <w:rFonts w:cs="Times New Roman"/>
          <w:szCs w:val="32"/>
        </w:rPr>
        <w:t>万元。</w:t>
      </w:r>
      <w:r>
        <w:rPr>
          <w:rFonts w:cs="Times New Roman"/>
          <w:szCs w:val="32"/>
        </w:rPr>
        <w:t xml:space="preserve"> 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cs="Times New Roman"/>
          <w:szCs w:val="32"/>
        </w:rPr>
        <w:t>全区计划供应项目</w:t>
      </w:r>
      <w:r>
        <w:rPr>
          <w:rFonts w:cs="Times New Roman"/>
          <w:szCs w:val="32"/>
        </w:rPr>
        <w:t>19</w:t>
      </w:r>
      <w:r>
        <w:rPr>
          <w:rFonts w:cs="Times New Roman"/>
          <w:szCs w:val="32"/>
        </w:rPr>
        <w:t>个，面积</w:t>
      </w:r>
      <w:r>
        <w:rPr>
          <w:rFonts w:cs="Times New Roman"/>
          <w:szCs w:val="32"/>
        </w:rPr>
        <w:t>86.891</w:t>
      </w:r>
      <w:r>
        <w:rPr>
          <w:rFonts w:cs="Times New Roman"/>
          <w:szCs w:val="32"/>
        </w:rPr>
        <w:t>公顷，预计供应价款</w:t>
      </w:r>
      <w:r>
        <w:rPr>
          <w:rFonts w:cs="Times New Roman"/>
          <w:szCs w:val="32"/>
        </w:rPr>
        <w:t>90422.1</w:t>
      </w:r>
      <w:r>
        <w:rPr>
          <w:rFonts w:cs="Times New Roman"/>
          <w:szCs w:val="32"/>
        </w:rPr>
        <w:t>万元。其中：从供地用途看，供应工矿仓储用地</w:t>
      </w:r>
      <w:r>
        <w:rPr>
          <w:rFonts w:cs="Times New Roman"/>
          <w:szCs w:val="32"/>
        </w:rPr>
        <w:t>36.7988</w:t>
      </w:r>
      <w:r>
        <w:rPr>
          <w:rFonts w:cs="Times New Roman"/>
          <w:szCs w:val="32"/>
        </w:rPr>
        <w:t>公顷、商业住宅用地</w:t>
      </w:r>
      <w:r>
        <w:rPr>
          <w:rFonts w:cs="Times New Roman"/>
          <w:szCs w:val="32"/>
        </w:rPr>
        <w:t>32.0395</w:t>
      </w:r>
      <w:r>
        <w:rPr>
          <w:rFonts w:cs="Times New Roman"/>
          <w:szCs w:val="32"/>
        </w:rPr>
        <w:t>公顷、商服用地</w:t>
      </w:r>
      <w:r>
        <w:rPr>
          <w:rFonts w:cs="Times New Roman"/>
          <w:szCs w:val="32"/>
        </w:rPr>
        <w:t>1.5982</w:t>
      </w:r>
      <w:r>
        <w:rPr>
          <w:rFonts w:cs="Times New Roman"/>
          <w:szCs w:val="32"/>
        </w:rPr>
        <w:t>公顷、教育用地</w:t>
      </w:r>
      <w:r>
        <w:rPr>
          <w:rFonts w:cs="Times New Roman"/>
          <w:szCs w:val="32"/>
        </w:rPr>
        <w:t>16.4545</w:t>
      </w:r>
      <w:r>
        <w:rPr>
          <w:rFonts w:cs="Times New Roman"/>
          <w:szCs w:val="32"/>
        </w:rPr>
        <w:t>公顷。</w:t>
      </w:r>
    </w:p>
    <w:p w:rsidR="009D6D2C" w:rsidRDefault="00122BAD">
      <w:pPr>
        <w:ind w:firstLineChars="202" w:firstLine="638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/>
          <w:szCs w:val="32"/>
        </w:rPr>
        <w:t>五、保障措施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ascii="楷体_GB2312" w:eastAsia="楷体_GB2312" w:hAnsi="楷体_GB2312" w:cs="楷体_GB2312"/>
          <w:szCs w:val="32"/>
        </w:rPr>
        <w:t>（一）强化组织领导。</w:t>
      </w:r>
      <w:r>
        <w:rPr>
          <w:rFonts w:cs="Times New Roman"/>
          <w:szCs w:val="32"/>
        </w:rPr>
        <w:t>各镇人民政府、街道办事处、园区管</w:t>
      </w:r>
      <w:r>
        <w:rPr>
          <w:rFonts w:cs="Times New Roman"/>
          <w:szCs w:val="32"/>
        </w:rPr>
        <w:lastRenderedPageBreak/>
        <w:t>委会是《定菏泽市定陶区土地储备三年（</w:t>
      </w:r>
      <w:r>
        <w:rPr>
          <w:rFonts w:cs="Times New Roman"/>
          <w:szCs w:val="32"/>
        </w:rPr>
        <w:t>2023—2025</w:t>
      </w:r>
      <w:r>
        <w:rPr>
          <w:rFonts w:cs="Times New Roman"/>
          <w:szCs w:val="32"/>
        </w:rPr>
        <w:t>）滚动计划和</w:t>
      </w:r>
      <w:r>
        <w:rPr>
          <w:rFonts w:cs="Times New Roman"/>
          <w:szCs w:val="32"/>
        </w:rPr>
        <w:t>2023</w:t>
      </w:r>
      <w:r>
        <w:rPr>
          <w:rFonts w:cs="Times New Roman"/>
          <w:szCs w:val="32"/>
        </w:rPr>
        <w:t>年度土地储备计划》执行的责任主体，要高度重视，加强组织保障，制定实施方案，细化工作措施、责任清单，在项目立项、报批、征收、供应等各个阶段建立时间表、路线图，精准谋划，统筹推进全区土地储备工作。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ascii="楷体_GB2312" w:eastAsia="楷体_GB2312" w:hAnsi="楷体_GB2312" w:cs="楷体_GB2312"/>
          <w:szCs w:val="32"/>
        </w:rPr>
        <w:t>（二）强化统筹协调。</w:t>
      </w:r>
      <w:r>
        <w:rPr>
          <w:rFonts w:cs="Times New Roman"/>
          <w:szCs w:val="32"/>
        </w:rPr>
        <w:t>区直有关部门要按照部门职责，加大对土地储备工作的指导和支持力度，形成合力，以强有力的措施推动土地储备计划执行。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ascii="楷体_GB2312" w:eastAsia="楷体_GB2312" w:hAnsi="楷体_GB2312" w:cs="楷体_GB2312"/>
          <w:szCs w:val="32"/>
        </w:rPr>
        <w:t>（三）强化要素保障。</w:t>
      </w:r>
      <w:r>
        <w:rPr>
          <w:rFonts w:cs="Times New Roman"/>
          <w:szCs w:val="32"/>
        </w:rPr>
        <w:t>坚持全生命周期要素保障原则，将土地储备项目分为</w:t>
      </w:r>
      <w:r>
        <w:rPr>
          <w:rFonts w:cs="Times New Roman"/>
          <w:szCs w:val="32"/>
        </w:rPr>
        <w:t>“</w:t>
      </w:r>
      <w:r>
        <w:rPr>
          <w:rFonts w:cs="Times New Roman"/>
          <w:szCs w:val="32"/>
        </w:rPr>
        <w:t>规划计划管理、耕地保护管理、土地权益利用、行政审批</w:t>
      </w:r>
      <w:r>
        <w:rPr>
          <w:rFonts w:cs="Times New Roman"/>
          <w:szCs w:val="32"/>
        </w:rPr>
        <w:t>”</w:t>
      </w:r>
      <w:r>
        <w:rPr>
          <w:rFonts w:cs="Times New Roman"/>
          <w:szCs w:val="32"/>
        </w:rPr>
        <w:t>四个阶段分类管理，有序衔接，形成土地生命周期业务数据链，实现土地要素保障全生命周期化管理。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ascii="楷体_GB2312" w:eastAsia="楷体_GB2312" w:hAnsi="楷体_GB2312" w:cs="楷体_GB2312"/>
          <w:szCs w:val="32"/>
        </w:rPr>
        <w:t>（四）强化资金保障。</w:t>
      </w:r>
      <w:r>
        <w:rPr>
          <w:rFonts w:cs="Times New Roman"/>
          <w:szCs w:val="32"/>
        </w:rPr>
        <w:t>财政部门要严格执行土地储备资金收支管理规定，做到专款专用，将土地收储资金全额纳入财政预算，确保征地补偿、报批费用及时足额支付到位。</w:t>
      </w: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ascii="楷体_GB2312" w:eastAsia="楷体_GB2312" w:hAnsi="楷体_GB2312" w:cs="楷体_GB2312"/>
          <w:szCs w:val="32"/>
        </w:rPr>
        <w:t>（五）强化招商引资。</w:t>
      </w:r>
      <w:r>
        <w:rPr>
          <w:rFonts w:cs="Times New Roman"/>
          <w:szCs w:val="32"/>
        </w:rPr>
        <w:t>各镇人民政府、街道办事处、园区管委会要聚焦产业招大引强，加强招商队伍专业化建设，强化市场化、专业化、精准化招商，加强招商引资与储备计划之间的对接，引入项目优先使用存量和低效利用土地，确保项目及时落地。</w:t>
      </w: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122BAD">
      <w:pPr>
        <w:ind w:firstLineChars="202" w:firstLine="638"/>
        <w:rPr>
          <w:rFonts w:cs="Times New Roman"/>
          <w:szCs w:val="32"/>
        </w:rPr>
      </w:pPr>
      <w:r>
        <w:rPr>
          <w:rFonts w:cs="Times New Roman"/>
          <w:szCs w:val="32"/>
        </w:rPr>
        <w:t>附件：菏泽市定陶区土地储备三年（</w:t>
      </w:r>
      <w:r>
        <w:rPr>
          <w:rFonts w:cs="Times New Roman"/>
          <w:szCs w:val="32"/>
        </w:rPr>
        <w:t>2023—2025</w:t>
      </w:r>
      <w:r>
        <w:rPr>
          <w:rFonts w:cs="Times New Roman"/>
          <w:szCs w:val="32"/>
        </w:rPr>
        <w:t>）滚动计划和</w:t>
      </w:r>
      <w:r>
        <w:rPr>
          <w:rFonts w:cs="Times New Roman"/>
          <w:szCs w:val="32"/>
        </w:rPr>
        <w:t>2023</w:t>
      </w:r>
      <w:r>
        <w:rPr>
          <w:rFonts w:cs="Times New Roman"/>
          <w:szCs w:val="32"/>
        </w:rPr>
        <w:t>年度土地储备计划宗地情况明细表</w:t>
      </w:r>
    </w:p>
    <w:p w:rsidR="007D0019" w:rsidRDefault="007D0019">
      <w:pPr>
        <w:rPr>
          <w:rFonts w:cs="Times New Roman"/>
          <w:szCs w:val="32"/>
        </w:rPr>
      </w:pPr>
    </w:p>
    <w:p w:rsidR="009D6D2C" w:rsidRDefault="007D0019">
      <w:pPr>
        <w:rPr>
          <w:rFonts w:cs="Times New Roman"/>
          <w:szCs w:val="32"/>
        </w:rPr>
      </w:pPr>
      <w:r>
        <w:rPr>
          <w:rFonts w:cs="Times New Roman"/>
          <w:noProof/>
          <w:szCs w:val="32"/>
        </w:rPr>
        <w:drawing>
          <wp:inline distT="0" distB="0" distL="0" distR="0">
            <wp:extent cx="7769710" cy="5701805"/>
            <wp:effectExtent l="5080" t="0" r="825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菏泽市定陶区土地储备三年（2023—2025）滚动计划和2023年度土地储备计划宗地情况明细表_页面_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9" t="4960" r="7445" b="4160"/>
                    <a:stretch/>
                  </pic:blipFill>
                  <pic:spPr bwMode="auto">
                    <a:xfrm rot="16200000">
                      <a:off x="0" y="0"/>
                      <a:ext cx="7787745" cy="571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2BAD">
        <w:rPr>
          <w:rFonts w:cs="Times New Roman"/>
          <w:szCs w:val="32"/>
        </w:rPr>
        <w:br w:type="page"/>
      </w:r>
    </w:p>
    <w:p w:rsidR="007D0019" w:rsidRDefault="007D0019">
      <w:pPr>
        <w:widowControl/>
        <w:jc w:val="left"/>
        <w:rPr>
          <w:rFonts w:cs="Times New Roman"/>
          <w:szCs w:val="32"/>
        </w:rPr>
      </w:pPr>
      <w:r>
        <w:rPr>
          <w:rFonts w:cs="Times New Roman"/>
          <w:noProof/>
          <w:szCs w:val="32"/>
        </w:rPr>
        <w:lastRenderedPageBreak/>
        <w:drawing>
          <wp:inline distT="0" distB="0" distL="0" distR="0" wp14:anchorId="54F09E0F" wp14:editId="2DEC7A0B">
            <wp:extent cx="8574184" cy="4337396"/>
            <wp:effectExtent l="381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菏泽市定陶区土地储备三年（2023—2025）滚动计划和2023年度土地储备计划宗地情况明细表_页面_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2" t="2401" r="7784" b="35519"/>
                    <a:stretch/>
                  </pic:blipFill>
                  <pic:spPr bwMode="auto">
                    <a:xfrm rot="16200000">
                      <a:off x="0" y="0"/>
                      <a:ext cx="8575213" cy="4337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szCs w:val="32"/>
        </w:rPr>
        <w:br w:type="page"/>
      </w: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  <w:bookmarkStart w:id="0" w:name="_GoBack"/>
      <w:bookmarkEnd w:id="0"/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9D6D2C">
      <w:pPr>
        <w:ind w:firstLineChars="202" w:firstLine="638"/>
        <w:rPr>
          <w:rFonts w:cs="Times New Roman"/>
          <w:szCs w:val="32"/>
        </w:rPr>
      </w:pPr>
    </w:p>
    <w:p w:rsidR="009D6D2C" w:rsidRDefault="00122BAD">
      <w:pPr>
        <w:ind w:firstLineChars="100" w:firstLine="276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848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0pt;height:0pt;width:442.4pt;z-index:251659264;mso-width-relative:page;mso-height-relative:page;" filled="f" stroked="t" coordsize="21600,21600" o:gfxdata="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Db2+zSAAAAAgEAAA8AAAAAAAAAAQAgAAAAIgAAAGRycy9kb3ducmV2LnhtbFBLAQIU&#10;ABQAAAAIAIdO4kAMPswS+QEAAPMDAAAOAAAAAAAAAAEAIAAAACEBAABkcnMvZTJvRG9jLnhtbFBL&#10;BQYAAAAABgAGAFkBAACM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w:t>抄送：区委各部门，区人大常委会</w:t>
      </w:r>
      <w:r>
        <w:rPr>
          <w:rFonts w:hint="eastAsia"/>
          <w:sz w:val="28"/>
          <w:szCs w:val="28"/>
        </w:rPr>
        <w:t>办公室</w:t>
      </w:r>
      <w:r>
        <w:rPr>
          <w:sz w:val="28"/>
          <w:szCs w:val="28"/>
        </w:rPr>
        <w:t>，区政协</w:t>
      </w:r>
      <w:r>
        <w:rPr>
          <w:rFonts w:hint="eastAsia"/>
          <w:sz w:val="28"/>
          <w:szCs w:val="28"/>
        </w:rPr>
        <w:t>办公室</w:t>
      </w:r>
      <w:r>
        <w:rPr>
          <w:sz w:val="28"/>
          <w:szCs w:val="28"/>
        </w:rPr>
        <w:t>，区法院，</w:t>
      </w:r>
    </w:p>
    <w:p w:rsidR="009D6D2C" w:rsidRDefault="00122BAD" w:rsidP="007D0019">
      <w:pPr>
        <w:ind w:firstLineChars="398" w:firstLine="1098"/>
        <w:rPr>
          <w:sz w:val="28"/>
          <w:szCs w:val="28"/>
        </w:rPr>
      </w:pPr>
      <w:r>
        <w:rPr>
          <w:sz w:val="28"/>
          <w:szCs w:val="28"/>
        </w:rPr>
        <w:t>区检察院，区人武部。</w:t>
      </w:r>
    </w:p>
    <w:p w:rsidR="009D6D2C" w:rsidRDefault="00122BAD">
      <w:pPr>
        <w:ind w:firstLineChars="100" w:firstLine="276"/>
        <w:rPr>
          <w:rFonts w:cs="Times New Roman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390525</wp:posOffset>
                </wp:positionV>
                <wp:extent cx="561848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30.75pt;height:0pt;width:442.4pt;z-index:251661312;mso-width-relative:page;mso-height-relative:page;" filled="f" stroked="t" coordsize="21600,21600" o:gfxdata="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Nte301QAAAAYBAAAPAAAAAAAAAAEAIAAAACIAAABkcnMvZG93bnJldi54bWxQ&#10;SwECFAAUAAAACACHTuJAQRMHVPoBAADzAwAADgAAAAAAAAABACAAAAAkAQAAZHJzL2Uyb0RvYy54&#10;bWxQSwUGAAAAAAYABgBZAQAAk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848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0pt;height:0pt;width:442.4pt;z-index:251660288;mso-width-relative:page;mso-height-relative:page;" filled="f" stroked="t" coordsize="21600,21600" o:gfxdata="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1Kl7sdEAAAACAQAADwAAAAAAAAABACAAAAAiAAAAZHJzL2Rvd25yZXYueG1sUEsBAhQA&#10;FAAAAAgAh07iQDNqaj/5AQAA8gMAAA4AAAAAAAAAAQAgAAAAI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w:t xml:space="preserve">菏泽市定陶区人民政府办公室　　　　　　　　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23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月</w:t>
      </w:r>
      <w:r w:rsidR="005E27C9">
        <w:rPr>
          <w:rFonts w:hint="eastAsia"/>
          <w:sz w:val="28"/>
          <w:szCs w:val="28"/>
        </w:rPr>
        <w:t>13</w:t>
      </w:r>
      <w:r>
        <w:rPr>
          <w:sz w:val="28"/>
          <w:szCs w:val="28"/>
        </w:rPr>
        <w:t>日印发</w:t>
      </w:r>
    </w:p>
    <w:sectPr w:rsidR="009D6D2C">
      <w:footerReference w:type="default" r:id="rId10"/>
      <w:pgSz w:w="11906" w:h="16838"/>
      <w:pgMar w:top="1701" w:right="1474" w:bottom="1587" w:left="1587" w:header="851" w:footer="992" w:gutter="0"/>
      <w:cols w:space="0"/>
      <w:docGrid w:type="linesAndChars" w:linePitch="615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C59" w:rsidRDefault="00AC3C59">
      <w:r>
        <w:separator/>
      </w:r>
    </w:p>
  </w:endnote>
  <w:endnote w:type="continuationSeparator" w:id="0">
    <w:p w:rsidR="00AC3C59" w:rsidRDefault="00AC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D2C" w:rsidRDefault="00122BAD">
    <w:pPr>
      <w:pStyle w:val="a3"/>
      <w:ind w:leftChars="100" w:left="320" w:rightChars="100" w:right="3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D6D2C" w:rsidRDefault="00122BAD">
                          <w:pPr>
                            <w:pStyle w:val="a3"/>
                            <w:ind w:leftChars="100" w:left="320" w:rightChars="100" w:right="320"/>
                          </w:pPr>
                          <w:r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E27C9">
                            <w:rPr>
                              <w:rStyle w:val="a5"/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D6D2C" w:rsidRDefault="00122BAD">
                    <w:pPr>
                      <w:pStyle w:val="a3"/>
                      <w:ind w:leftChars="100" w:left="320" w:rightChars="100" w:right="320"/>
                    </w:pPr>
                    <w:r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="005E27C9">
                      <w:rPr>
                        <w:rStyle w:val="a5"/>
                        <w:rFonts w:ascii="宋体" w:hAnsi="宋体"/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C59" w:rsidRDefault="00AC3C59">
      <w:r>
        <w:separator/>
      </w:r>
    </w:p>
  </w:footnote>
  <w:footnote w:type="continuationSeparator" w:id="0">
    <w:p w:rsidR="00AC3C59" w:rsidRDefault="00AC3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attachedTemplate r:id="rId1"/>
  <w:defaultTabStop w:val="420"/>
  <w:drawingGridHorizontalSpacing w:val="158"/>
  <w:drawingGridVerticalSpacing w:val="308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xNzhjODIxNzYzOGQyMzc5YWZkMjRmNDFhMjE2NDkifQ=="/>
  </w:docVars>
  <w:rsids>
    <w:rsidRoot w:val="54F74A05"/>
    <w:rsid w:val="00122BAD"/>
    <w:rsid w:val="005E27C9"/>
    <w:rsid w:val="007D0019"/>
    <w:rsid w:val="009D6D2C"/>
    <w:rsid w:val="00AC3C59"/>
    <w:rsid w:val="00BB2CEB"/>
    <w:rsid w:val="012E1935"/>
    <w:rsid w:val="01CE3A19"/>
    <w:rsid w:val="04E4579B"/>
    <w:rsid w:val="06B50A56"/>
    <w:rsid w:val="08A62527"/>
    <w:rsid w:val="094D1E47"/>
    <w:rsid w:val="09AC78FB"/>
    <w:rsid w:val="0A1E5462"/>
    <w:rsid w:val="0AEF45F3"/>
    <w:rsid w:val="0B292ADF"/>
    <w:rsid w:val="11DF79A8"/>
    <w:rsid w:val="144B4E10"/>
    <w:rsid w:val="195914EF"/>
    <w:rsid w:val="1B1C0C9F"/>
    <w:rsid w:val="1D7E1C5A"/>
    <w:rsid w:val="1EAE0637"/>
    <w:rsid w:val="1F513795"/>
    <w:rsid w:val="1F8C43BC"/>
    <w:rsid w:val="23BF5D11"/>
    <w:rsid w:val="24032334"/>
    <w:rsid w:val="26733F3D"/>
    <w:rsid w:val="2732431E"/>
    <w:rsid w:val="29417B29"/>
    <w:rsid w:val="2AC71320"/>
    <w:rsid w:val="2B6160A4"/>
    <w:rsid w:val="2C793948"/>
    <w:rsid w:val="2ED852ED"/>
    <w:rsid w:val="2F2E2504"/>
    <w:rsid w:val="30B3664A"/>
    <w:rsid w:val="30E23A07"/>
    <w:rsid w:val="313A14F8"/>
    <w:rsid w:val="32412490"/>
    <w:rsid w:val="325B29A5"/>
    <w:rsid w:val="329511BD"/>
    <w:rsid w:val="351A79E4"/>
    <w:rsid w:val="382E4FE6"/>
    <w:rsid w:val="383A153D"/>
    <w:rsid w:val="39EB3F0E"/>
    <w:rsid w:val="3AF70F08"/>
    <w:rsid w:val="3CAD5AA5"/>
    <w:rsid w:val="4294485F"/>
    <w:rsid w:val="43D70F6C"/>
    <w:rsid w:val="46364E3E"/>
    <w:rsid w:val="47801145"/>
    <w:rsid w:val="490C1D6E"/>
    <w:rsid w:val="4C883863"/>
    <w:rsid w:val="4CE35256"/>
    <w:rsid w:val="4CE94B64"/>
    <w:rsid w:val="4D5B08A9"/>
    <w:rsid w:val="4E834801"/>
    <w:rsid w:val="4ED00633"/>
    <w:rsid w:val="51CD31E8"/>
    <w:rsid w:val="54F74A05"/>
    <w:rsid w:val="568F6F2F"/>
    <w:rsid w:val="58CB1D1F"/>
    <w:rsid w:val="5B1B02E8"/>
    <w:rsid w:val="5B48453E"/>
    <w:rsid w:val="5CC423E7"/>
    <w:rsid w:val="65C57615"/>
    <w:rsid w:val="67190D7C"/>
    <w:rsid w:val="677C293F"/>
    <w:rsid w:val="68F64B32"/>
    <w:rsid w:val="698E3D54"/>
    <w:rsid w:val="6A604A4F"/>
    <w:rsid w:val="6C946407"/>
    <w:rsid w:val="6D2250D6"/>
    <w:rsid w:val="6D535020"/>
    <w:rsid w:val="6E046D6E"/>
    <w:rsid w:val="7006270F"/>
    <w:rsid w:val="71C03E53"/>
    <w:rsid w:val="73154768"/>
    <w:rsid w:val="769F121B"/>
    <w:rsid w:val="770A12C1"/>
    <w:rsid w:val="77BB1E47"/>
    <w:rsid w:val="7A1633D9"/>
    <w:rsid w:val="7AE81298"/>
    <w:rsid w:val="7C0378E1"/>
    <w:rsid w:val="7ECB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page number" w:uiPriority="99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uiPriority w:val="99"/>
    <w:unhideWhenUsed/>
    <w:qFormat/>
  </w:style>
  <w:style w:type="paragraph" w:styleId="a6">
    <w:name w:val="Balloon Text"/>
    <w:basedOn w:val="a"/>
    <w:link w:val="Char"/>
    <w:rsid w:val="007D0019"/>
    <w:rPr>
      <w:sz w:val="18"/>
      <w:szCs w:val="18"/>
    </w:rPr>
  </w:style>
  <w:style w:type="character" w:customStyle="1" w:styleId="Char">
    <w:name w:val="批注框文本 Char"/>
    <w:basedOn w:val="a0"/>
    <w:link w:val="a6"/>
    <w:rsid w:val="007D0019"/>
    <w:rPr>
      <w:rFonts w:eastAsia="仿宋_GB2312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page number" w:uiPriority="99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uiPriority w:val="99"/>
    <w:unhideWhenUsed/>
    <w:qFormat/>
  </w:style>
  <w:style w:type="paragraph" w:styleId="a6">
    <w:name w:val="Balloon Text"/>
    <w:basedOn w:val="a"/>
    <w:link w:val="Char"/>
    <w:rsid w:val="007D0019"/>
    <w:rPr>
      <w:sz w:val="18"/>
      <w:szCs w:val="18"/>
    </w:rPr>
  </w:style>
  <w:style w:type="character" w:customStyle="1" w:styleId="Char">
    <w:name w:val="批注框文本 Char"/>
    <w:basedOn w:val="a0"/>
    <w:link w:val="a6"/>
    <w:rsid w:val="007D0019"/>
    <w:rPr>
      <w:rFonts w:eastAsia="仿宋_GB2312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10330</TotalTime>
  <Pages>8</Pages>
  <Words>370</Words>
  <Characters>2114</Characters>
  <Application>Microsoft Office Word</Application>
  <DocSecurity>0</DocSecurity>
  <Lines>17</Lines>
  <Paragraphs>4</Paragraphs>
  <ScaleCrop>false</ScaleCrop>
  <Company>微软中国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逍遥游</dc:creator>
  <cp:lastModifiedBy>微软用户</cp:lastModifiedBy>
  <cp:revision>3</cp:revision>
  <cp:lastPrinted>2023-01-13T02:32:00Z</cp:lastPrinted>
  <dcterms:created xsi:type="dcterms:W3CDTF">2018-10-28T05:06:00Z</dcterms:created>
  <dcterms:modified xsi:type="dcterms:W3CDTF">2023-01-13T02:32:00Z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38E42BAEE5DA44B5B63B9EC0F1DD5062</vt:lpwstr>
  </property>
</Properties>
</file>